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A9" w:rsidRPr="002925A9" w:rsidRDefault="002925A9" w:rsidP="002925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925A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Correlación estructura-citotoxicidad de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una serie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androtanos</w:t>
      </w:r>
      <w:proofErr w:type="spellEnd"/>
      <w:r w:rsidRPr="002925A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utilizando </w:t>
      </w:r>
      <w:r w:rsidRPr="002925A9">
        <w:rPr>
          <w:rFonts w:ascii="Times New Roman" w:hAnsi="Times New Roman" w:cs="Times New Roman"/>
          <w:b/>
          <w:sz w:val="24"/>
          <w:szCs w:val="24"/>
        </w:rPr>
        <w:t>Teoría del Funcional de la Densidad (</w:t>
      </w:r>
      <w:r w:rsidRPr="002925A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DFT) </w:t>
      </w:r>
    </w:p>
    <w:p w:rsidR="005836E4" w:rsidRDefault="00D30088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D30088">
        <w:rPr>
          <w:rFonts w:ascii="Times New Roman" w:hAnsi="Times New Roman" w:cs="Times New Roman"/>
          <w:sz w:val="24"/>
          <w:szCs w:val="24"/>
          <w:lang w:val="es-ES"/>
        </w:rPr>
        <w:t>Neacato P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30088">
        <w:rPr>
          <w:rFonts w:ascii="Times New Roman" w:hAnsi="Times New Roman" w:cs="Times New Roman"/>
          <w:sz w:val="24"/>
          <w:szCs w:val="24"/>
          <w:lang w:val="es-ES"/>
        </w:rPr>
        <w:t>., Fermín M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30088">
        <w:rPr>
          <w:rFonts w:ascii="Times New Roman" w:hAnsi="Times New Roman" w:cs="Times New Roman"/>
          <w:sz w:val="24"/>
          <w:szCs w:val="24"/>
          <w:lang w:val="es-ES"/>
        </w:rPr>
        <w:t>., Rodríguez-Ortega M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,3</w:t>
      </w:r>
      <w:proofErr w:type="gramEnd"/>
      <w:r w:rsidRPr="00D30088">
        <w:rPr>
          <w:rFonts w:ascii="Times New Roman" w:hAnsi="Times New Roman" w:cs="Times New Roman"/>
          <w:sz w:val="24"/>
          <w:szCs w:val="24"/>
          <w:lang w:val="es-ES"/>
        </w:rPr>
        <w:t>., Cabrera G</w:t>
      </w:r>
      <w:r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30088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D30088" w:rsidRPr="00D30088" w:rsidRDefault="00D30088" w:rsidP="00D30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1.- </w:t>
      </w:r>
      <w:r w:rsidRPr="00D30088">
        <w:rPr>
          <w:rFonts w:ascii="Times New Roman" w:hAnsi="Times New Roman" w:cs="Times New Roman"/>
          <w:sz w:val="24"/>
          <w:szCs w:val="24"/>
          <w:lang w:val="es-ES"/>
        </w:rPr>
        <w:t>Centro de Química Orgánica, Laboratorio de Productos Naturales, UCV.</w:t>
      </w:r>
    </w:p>
    <w:p w:rsidR="00D30088" w:rsidRPr="00D30088" w:rsidRDefault="00D30088" w:rsidP="00D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2.- </w:t>
      </w:r>
      <w:r w:rsidRPr="00D300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Instituto de Biomedicina Facultad de Medicina, </w:t>
      </w:r>
      <w:r w:rsidRPr="00D30088">
        <w:rPr>
          <w:rFonts w:ascii="Times New Roman" w:hAnsi="Times New Roman" w:cs="Times New Roman"/>
          <w:sz w:val="24"/>
          <w:szCs w:val="24"/>
          <w:lang w:val="es-ES"/>
        </w:rPr>
        <w:t>UCV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300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D30088" w:rsidRPr="00D30088" w:rsidRDefault="00D30088" w:rsidP="00D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3.- </w:t>
      </w:r>
      <w:r w:rsidRPr="00D300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Servicio Autónomo Instituto de Biomedicina del Ministerio del Poder Popular de Salud y Desarrollo Social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D3008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D30088" w:rsidRPr="00D30088" w:rsidRDefault="00D30088">
      <w:pPr>
        <w:rPr>
          <w:rFonts w:ascii="Times New Roman" w:hAnsi="Times New Roman" w:cs="Times New Roman"/>
          <w:sz w:val="24"/>
          <w:szCs w:val="24"/>
        </w:rPr>
      </w:pPr>
    </w:p>
    <w:p w:rsidR="00DC0ADC" w:rsidRPr="00DC0ADC" w:rsidRDefault="00DC0ADC" w:rsidP="002925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C0A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Introducción</w:t>
      </w:r>
    </w:p>
    <w:p w:rsidR="00DC0ADC" w:rsidRPr="00DC0ADC" w:rsidRDefault="002925A9" w:rsidP="00DC0AD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es-ES"/>
        </w:rPr>
      </w:pPr>
      <w:r w:rsidRPr="002925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presente trabajo es un estudio computacional de una serie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androstanos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los que se les determinó</w:t>
      </w:r>
      <w:r w:rsidRPr="002925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efecto </w:t>
      </w:r>
      <w:proofErr w:type="spellStart"/>
      <w:r w:rsidRPr="002925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citotóxico</w:t>
      </w:r>
      <w:proofErr w:type="spellEnd"/>
      <w:r w:rsidRPr="002925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las células Vero, calculando la dosis letal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80</w:t>
      </w:r>
      <w:r w:rsidRPr="002925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2925A9">
        <w:rPr>
          <w:rFonts w:ascii="Times New Roman" w:hAnsi="Times New Roman" w:cs="Times New Roman"/>
          <w:sz w:val="24"/>
          <w:szCs w:val="24"/>
        </w:rPr>
        <w:t>a fin de</w:t>
      </w:r>
      <w:r>
        <w:rPr>
          <w:rFonts w:ascii="Times New Roman" w:hAnsi="Times New Roman" w:cs="Times New Roman"/>
          <w:sz w:val="24"/>
          <w:szCs w:val="24"/>
        </w:rPr>
        <w:t xml:space="preserve"> proponer un modelo </w:t>
      </w:r>
      <w:r w:rsidRPr="002925A9">
        <w:rPr>
          <w:rFonts w:ascii="Times New Roman" w:hAnsi="Times New Roman" w:cs="Times New Roman"/>
          <w:sz w:val="24"/>
          <w:szCs w:val="24"/>
        </w:rPr>
        <w:t xml:space="preserve">SAR que permita ser usado para diseñar nuevos compuestos activos. Los parámetros moleculares de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androstanos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estudiado</w:t>
      </w:r>
      <w:r w:rsidRPr="002925A9">
        <w:rPr>
          <w:rFonts w:ascii="Times New Roman" w:hAnsi="Times New Roman" w:cs="Times New Roman"/>
          <w:sz w:val="24"/>
          <w:szCs w:val="24"/>
        </w:rPr>
        <w:t xml:space="preserve">s fueron calculados después de optimizar su geometría usando 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 xml:space="preserve">el método </w:t>
      </w:r>
      <w:r w:rsidR="002616B2">
        <w:rPr>
          <w:rFonts w:ascii="Times New Roman" w:hAnsi="Times New Roman" w:cs="Times New Roman"/>
          <w:sz w:val="24"/>
          <w:szCs w:val="24"/>
          <w:lang w:val="es-ES"/>
        </w:rPr>
        <w:t>funcional de la densidad B3LYP/6-3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>1G</w:t>
      </w:r>
      <w:r w:rsidR="009E0DDD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**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>. Report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amos un modelo 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>SAR que incluye parámetros moleculares relacionados con la citotoxicidad. La identificación de parámetros moleculares también</w:t>
      </w:r>
      <w:r w:rsidR="00DC0ADC">
        <w:rPr>
          <w:rFonts w:ascii="Times New Roman" w:hAnsi="Times New Roman" w:cs="Times New Roman"/>
          <w:sz w:val="24"/>
          <w:szCs w:val="24"/>
          <w:lang w:val="es-ES"/>
        </w:rPr>
        <w:t xml:space="preserve"> podría estar relacionada con la actividad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virucida</w:t>
      </w:r>
      <w:proofErr w:type="spellEnd"/>
      <w:r w:rsidR="00DC0ADC">
        <w:rPr>
          <w:rFonts w:ascii="Times New Roman" w:hAnsi="Times New Roman" w:cs="Times New Roman"/>
          <w:sz w:val="24"/>
          <w:szCs w:val="24"/>
          <w:lang w:val="es-ES"/>
        </w:rPr>
        <w:t xml:space="preserve"> contra el Dengue</w:t>
      </w:r>
      <w:r w:rsidRPr="002925A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C0A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C0ADC" w:rsidRPr="00DC0AD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este sentido hemos estudiado d</w:t>
      </w:r>
      <w:r w:rsidR="00DC0ADC" w:rsidRPr="00DC0ADC">
        <w:rPr>
          <w:rFonts w:ascii="Times New Roman" w:hAnsi="Times New Roman" w:cs="Times New Roman"/>
          <w:bCs/>
          <w:iCs/>
          <w:sz w:val="24"/>
          <w:szCs w:val="24"/>
          <w:lang w:val="es-ES"/>
        </w:rPr>
        <w:t>iversos parámetros moleculares que se han empleado para interpretar y relacionar la reactividad química con la estructura electrónica de átomos y moléculas. Análisis de distribución electrónica, carga</w:t>
      </w:r>
      <w:r w:rsidR="00DC0ADC">
        <w:rPr>
          <w:rFonts w:ascii="Times New Roman" w:hAnsi="Times New Roman" w:cs="Times New Roman"/>
          <w:bCs/>
          <w:iCs/>
          <w:sz w:val="24"/>
          <w:szCs w:val="24"/>
          <w:lang w:val="es-ES"/>
        </w:rPr>
        <w:t>s</w:t>
      </w:r>
      <w:r w:rsidR="00DC0ADC" w:rsidRPr="00DC0ADC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 atómicas, potenciales </w:t>
      </w:r>
      <w:proofErr w:type="spellStart"/>
      <w:r w:rsidR="00DC0ADC" w:rsidRPr="00DC0ADC">
        <w:rPr>
          <w:rFonts w:ascii="Times New Roman" w:hAnsi="Times New Roman" w:cs="Times New Roman"/>
          <w:bCs/>
          <w:iCs/>
          <w:sz w:val="24"/>
          <w:szCs w:val="24"/>
          <w:lang w:val="es-ES"/>
        </w:rPr>
        <w:t>eléctrostáticos</w:t>
      </w:r>
      <w:proofErr w:type="spellEnd"/>
      <w:r w:rsidR="00DC0ADC" w:rsidRPr="00DC0ADC">
        <w:rPr>
          <w:rFonts w:ascii="Times New Roman" w:hAnsi="Times New Roman" w:cs="Times New Roman"/>
          <w:bCs/>
          <w:iCs/>
          <w:sz w:val="24"/>
          <w:szCs w:val="24"/>
          <w:lang w:val="es-ES"/>
        </w:rPr>
        <w:t>, Log P, etc. son algunos de los parámetros que pudiésemos citar como ejemplos.</w:t>
      </w:r>
    </w:p>
    <w:p w:rsidR="002925A9" w:rsidRPr="00DC0ADC" w:rsidRDefault="002925A9" w:rsidP="00DC0ADC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</w:p>
    <w:p w:rsidR="00DC0ADC" w:rsidRPr="00DC0ADC" w:rsidRDefault="00DC0ADC" w:rsidP="00DC0A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C0AD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Objetivo</w:t>
      </w:r>
    </w:p>
    <w:p w:rsidR="00DC0ADC" w:rsidRPr="00DC0ADC" w:rsidRDefault="00DC0ADC" w:rsidP="00DC0A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Encontrar una posible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c</w:t>
      </w:r>
      <w:r w:rsidRPr="00DC0AD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orrelación estructura-citotoxicidad de una serie de </w:t>
      </w:r>
      <w:proofErr w:type="spellStart"/>
      <w:r w:rsidRPr="00DC0ADC">
        <w:rPr>
          <w:rFonts w:ascii="Times New Roman" w:hAnsi="Times New Roman" w:cs="Times New Roman"/>
          <w:bCs/>
          <w:sz w:val="24"/>
          <w:szCs w:val="24"/>
          <w:lang w:val="es-ES"/>
        </w:rPr>
        <w:t>androtanos</w:t>
      </w:r>
      <w:proofErr w:type="spellEnd"/>
      <w:r w:rsidRPr="00DC0AD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utilizando </w:t>
      </w:r>
      <w:r w:rsidRPr="00DC0ADC">
        <w:rPr>
          <w:rFonts w:ascii="Times New Roman" w:hAnsi="Times New Roman" w:cs="Times New Roman"/>
          <w:sz w:val="24"/>
          <w:szCs w:val="24"/>
        </w:rPr>
        <w:t>Teoría del Funcional de la Densidad (</w:t>
      </w:r>
      <w:r w:rsidRPr="00DC0ADC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DFT) </w:t>
      </w:r>
    </w:p>
    <w:p w:rsidR="00DC0ADC" w:rsidRPr="00DC0ADC" w:rsidRDefault="00DC0ADC" w:rsidP="00DC0A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DC0ADC" w:rsidRDefault="00DC0ADC" w:rsidP="00DC0A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C0AD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Metodología</w:t>
      </w:r>
    </w:p>
    <w:p w:rsidR="00DC0ADC" w:rsidRPr="00DC0ADC" w:rsidRDefault="00DC0ADC" w:rsidP="001B49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DC0ADC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androstanos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empleados para este estudio fueron adquiridos comercialmente o </w:t>
      </w:r>
      <w:r w:rsidRPr="00DC0AD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sintetizado</w:t>
      </w:r>
      <w:r w:rsidRPr="00DC0ADC">
        <w:rPr>
          <w:rFonts w:ascii="Times New Roman" w:hAnsi="Times New Roman" w:cs="Times New Roman"/>
          <w:sz w:val="24"/>
          <w:szCs w:val="24"/>
        </w:rPr>
        <w:t>s previamente en nuestro laboratorio</w:t>
      </w:r>
      <w:r w:rsidR="00E633C9" w:rsidRPr="00E633C9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DC0ADC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DC0ADC">
        <w:rPr>
          <w:rFonts w:ascii="Times New Roman" w:eastAsia="Calibri" w:hAnsi="Times New Roman" w:cs="Times New Roman"/>
          <w:sz w:val="24"/>
          <w:szCs w:val="24"/>
        </w:rPr>
        <w:t>Todo el material ensayado fue pesado (1 mg/ml en</w:t>
      </w:r>
      <w:r w:rsidRPr="00DC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DC">
        <w:rPr>
          <w:rFonts w:ascii="Times New Roman" w:hAnsi="Times New Roman" w:cs="Times New Roman"/>
          <w:sz w:val="24"/>
          <w:szCs w:val="24"/>
        </w:rPr>
        <w:t>d</w:t>
      </w:r>
      <w:r w:rsidR="00522420">
        <w:rPr>
          <w:rFonts w:ascii="Times New Roman" w:eastAsia="Calibri" w:hAnsi="Times New Roman" w:cs="Times New Roman"/>
          <w:sz w:val="24"/>
          <w:szCs w:val="24"/>
        </w:rPr>
        <w:t>imetil</w:t>
      </w:r>
      <w:r w:rsidR="00E633C9">
        <w:rPr>
          <w:rFonts w:ascii="Times New Roman" w:eastAsia="Calibri" w:hAnsi="Times New Roman" w:cs="Times New Roman"/>
          <w:sz w:val="24"/>
          <w:szCs w:val="24"/>
        </w:rPr>
        <w:t>sulfóxido</w:t>
      </w:r>
      <w:proofErr w:type="spellEnd"/>
      <w:r w:rsidR="00E633C9">
        <w:rPr>
          <w:rFonts w:ascii="Times New Roman" w:eastAsia="Calibri" w:hAnsi="Times New Roman" w:cs="Times New Roman"/>
          <w:sz w:val="24"/>
          <w:szCs w:val="24"/>
        </w:rPr>
        <w:t xml:space="preserve"> 10%)</w:t>
      </w:r>
    </w:p>
    <w:p w:rsidR="00DC0ADC" w:rsidRPr="00DC0ADC" w:rsidRDefault="00DC0ADC" w:rsidP="001B4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989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1B4989">
        <w:rPr>
          <w:rFonts w:ascii="Times New Roman" w:hAnsi="Times New Roman" w:cs="Times New Roman"/>
          <w:i/>
          <w:sz w:val="24"/>
          <w:szCs w:val="24"/>
        </w:rPr>
        <w:t>Material biológico</w:t>
      </w:r>
      <w:r w:rsidRPr="00DC0A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C0ADC">
        <w:rPr>
          <w:rFonts w:ascii="Times New Roman" w:hAnsi="Times New Roman" w:cs="Times New Roman"/>
          <w:sz w:val="24"/>
          <w:szCs w:val="24"/>
        </w:rPr>
        <w:t xml:space="preserve">Células Vero: fibroblastos aislados de riñón de mono </w:t>
      </w:r>
      <w:proofErr w:type="spellStart"/>
      <w:r w:rsidRPr="00DC0ADC">
        <w:rPr>
          <w:rFonts w:ascii="Times New Roman" w:hAnsi="Times New Roman" w:cs="Times New Roman"/>
          <w:i/>
          <w:sz w:val="24"/>
          <w:szCs w:val="24"/>
        </w:rPr>
        <w:t>Macacus</w:t>
      </w:r>
      <w:proofErr w:type="spellEnd"/>
      <w:r w:rsidRPr="00DC0A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0ADC">
        <w:rPr>
          <w:rFonts w:ascii="Times New Roman" w:hAnsi="Times New Roman" w:cs="Times New Roman"/>
          <w:i/>
          <w:sz w:val="24"/>
          <w:szCs w:val="24"/>
        </w:rPr>
        <w:t>rhesus</w:t>
      </w:r>
      <w:proofErr w:type="spellEnd"/>
      <w:r w:rsidRPr="00DC0ADC">
        <w:rPr>
          <w:rFonts w:ascii="Times New Roman" w:hAnsi="Times New Roman" w:cs="Times New Roman"/>
          <w:sz w:val="24"/>
          <w:szCs w:val="24"/>
        </w:rPr>
        <w:t xml:space="preserve">, suministradas por el Instituto Nacional de Higiene “Rafael Rangel”, Ministerio del Poder Popular de Salud y Desarrollo Social (M.P.P.S.D.S). </w:t>
      </w:r>
    </w:p>
    <w:p w:rsidR="00DC0ADC" w:rsidRPr="00E633C9" w:rsidRDefault="00DC0ADC" w:rsidP="001B498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989">
        <w:rPr>
          <w:rFonts w:ascii="Times New Roman" w:hAnsi="Times New Roman" w:cs="Times New Roman"/>
          <w:i/>
          <w:sz w:val="24"/>
          <w:szCs w:val="24"/>
        </w:rPr>
        <w:lastRenderedPageBreak/>
        <w:t>Ensayo de citotoxicidad:</w:t>
      </w:r>
      <w:r w:rsidRPr="001B4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989" w:rsidRPr="001B4989">
        <w:rPr>
          <w:rFonts w:ascii="Times New Roman" w:hAnsi="Times New Roman" w:cs="Times New Roman"/>
          <w:sz w:val="24"/>
          <w:szCs w:val="24"/>
        </w:rPr>
        <w:t xml:space="preserve">se realizó el ensayo colorimétrico del 3-(4,5-Dimetiltiazol 2yl)-2,4-difenilbromuro de </w:t>
      </w:r>
      <w:proofErr w:type="spellStart"/>
      <w:r w:rsidR="001B4989" w:rsidRPr="001B4989">
        <w:rPr>
          <w:rFonts w:ascii="Times New Roman" w:hAnsi="Times New Roman" w:cs="Times New Roman"/>
          <w:sz w:val="24"/>
          <w:szCs w:val="24"/>
        </w:rPr>
        <w:t>tetrazolio</w:t>
      </w:r>
      <w:proofErr w:type="spellEnd"/>
      <w:r w:rsidR="001B4989" w:rsidRPr="001B4989">
        <w:rPr>
          <w:rFonts w:ascii="Times New Roman" w:hAnsi="Times New Roman" w:cs="Times New Roman"/>
          <w:sz w:val="24"/>
          <w:szCs w:val="24"/>
        </w:rPr>
        <w:t xml:space="preserve"> (MTT)</w:t>
      </w:r>
      <w:r w:rsidR="00E633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4989">
        <w:rPr>
          <w:rFonts w:ascii="Times New Roman" w:hAnsi="Times New Roman" w:cs="Times New Roman"/>
          <w:sz w:val="24"/>
          <w:szCs w:val="24"/>
        </w:rPr>
        <w:t xml:space="preserve"> en placas de </w:t>
      </w:r>
      <w:r w:rsidRPr="001B4989">
        <w:rPr>
          <w:rFonts w:ascii="Times New Roman" w:hAnsi="Times New Roman" w:cs="Times New Roman"/>
          <w:sz w:val="24"/>
          <w:szCs w:val="24"/>
        </w:rPr>
        <w:t>fondo plano de 96 pozos</w:t>
      </w:r>
      <w:r w:rsidR="001B4989">
        <w:rPr>
          <w:rFonts w:ascii="Times New Roman" w:hAnsi="Times New Roman" w:cs="Times New Roman"/>
          <w:sz w:val="24"/>
          <w:szCs w:val="24"/>
        </w:rPr>
        <w:t>. El experimento se realizó por cuadriplicado.</w:t>
      </w:r>
      <w:r w:rsidRPr="001B4989">
        <w:rPr>
          <w:rFonts w:ascii="Times New Roman" w:hAnsi="Times New Roman" w:cs="Times New Roman"/>
          <w:sz w:val="24"/>
          <w:szCs w:val="24"/>
        </w:rPr>
        <w:t xml:space="preserve"> La absorbancia fue determinada a 570 </w:t>
      </w:r>
      <w:proofErr w:type="spellStart"/>
      <w:r w:rsidRPr="001B4989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1B4989">
        <w:rPr>
          <w:rFonts w:ascii="Times New Roman" w:hAnsi="Times New Roman" w:cs="Times New Roman"/>
          <w:sz w:val="24"/>
          <w:szCs w:val="24"/>
        </w:rPr>
        <w:t xml:space="preserve"> en un lector de Elisa </w:t>
      </w:r>
      <w:proofErr w:type="spellStart"/>
      <w:r w:rsidRPr="001B4989">
        <w:rPr>
          <w:rFonts w:ascii="Times New Roman" w:hAnsi="Times New Roman" w:cs="Times New Roman"/>
          <w:sz w:val="24"/>
          <w:szCs w:val="24"/>
        </w:rPr>
        <w:t>Multiscan</w:t>
      </w:r>
      <w:proofErr w:type="spellEnd"/>
      <w:r w:rsidRPr="001B4989">
        <w:rPr>
          <w:rFonts w:ascii="Times New Roman" w:hAnsi="Times New Roman" w:cs="Times New Roman"/>
          <w:sz w:val="24"/>
          <w:szCs w:val="24"/>
        </w:rPr>
        <w:t xml:space="preserve"> EX. Con los datos obtenidos se determinó la viabilidad celular</w:t>
      </w:r>
      <w:r w:rsidR="001B4989">
        <w:rPr>
          <w:rFonts w:ascii="Times New Roman" w:hAnsi="Times New Roman" w:cs="Times New Roman"/>
          <w:sz w:val="24"/>
          <w:szCs w:val="24"/>
        </w:rPr>
        <w:t xml:space="preserve"> a las 120 horas. </w:t>
      </w:r>
      <w:r w:rsidRPr="001B4989">
        <w:rPr>
          <w:rFonts w:ascii="Times New Roman" w:eastAsia="Calibri" w:hAnsi="Times New Roman" w:cs="Times New Roman"/>
          <w:sz w:val="24"/>
          <w:szCs w:val="24"/>
        </w:rPr>
        <w:t>El LD</w:t>
      </w:r>
      <w:r w:rsidR="001B4989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1B4989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0 </w:t>
      </w:r>
      <w:r w:rsidRPr="001B4989">
        <w:rPr>
          <w:rFonts w:ascii="Times New Roman" w:eastAsia="Calibri" w:hAnsi="Times New Roman" w:cs="Times New Roman"/>
          <w:sz w:val="24"/>
          <w:szCs w:val="24"/>
        </w:rPr>
        <w:t xml:space="preserve">de los compuestos utilizados se calculo utilizando la </w:t>
      </w:r>
      <w:r w:rsidR="007F0625">
        <w:rPr>
          <w:rFonts w:ascii="Times New Roman" w:eastAsia="Calibri" w:hAnsi="Times New Roman" w:cs="Times New Roman"/>
          <w:sz w:val="24"/>
          <w:szCs w:val="24"/>
        </w:rPr>
        <w:t>e</w:t>
      </w:r>
      <w:r w:rsidRPr="001B4989">
        <w:rPr>
          <w:rFonts w:ascii="Times New Roman" w:eastAsia="Calibri" w:hAnsi="Times New Roman" w:cs="Times New Roman"/>
          <w:sz w:val="24"/>
          <w:szCs w:val="24"/>
        </w:rPr>
        <w:t>cuación de la recta</w:t>
      </w:r>
    </w:p>
    <w:p w:rsidR="00DC0ADC" w:rsidRPr="001B4989" w:rsidRDefault="00DC0ADC" w:rsidP="001B4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B4989">
        <w:rPr>
          <w:rFonts w:ascii="Times New Roman" w:hAnsi="Times New Roman" w:cs="Times New Roman"/>
          <w:bCs/>
          <w:i/>
          <w:iCs/>
          <w:sz w:val="24"/>
          <w:szCs w:val="24"/>
          <w:lang w:val="es-ES"/>
        </w:rPr>
        <w:t>Modelo Computacional</w:t>
      </w:r>
      <w:r w:rsidR="001B4989">
        <w:rPr>
          <w:rFonts w:ascii="Times New Roman" w:hAnsi="Times New Roman" w:cs="Times New Roman"/>
          <w:bCs/>
          <w:iCs/>
          <w:sz w:val="24"/>
          <w:szCs w:val="24"/>
          <w:lang w:val="es-ES"/>
        </w:rPr>
        <w:t xml:space="preserve">: 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>Las estructuras fueron optimizadas en Gaussian</w:t>
      </w:r>
      <w:r w:rsidR="00E633C9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2616B2">
        <w:rPr>
          <w:rFonts w:ascii="Times New Roman" w:hAnsi="Times New Roman" w:cs="Times New Roman"/>
          <w:sz w:val="24"/>
          <w:szCs w:val="24"/>
          <w:lang w:val="es-ES"/>
        </w:rPr>
        <w:t xml:space="preserve"> 03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 emple</w:t>
      </w:r>
      <w:r w:rsidR="002616B2">
        <w:rPr>
          <w:rFonts w:ascii="Times New Roman" w:hAnsi="Times New Roman" w:cs="Times New Roman"/>
          <w:sz w:val="24"/>
          <w:szCs w:val="24"/>
          <w:lang w:val="es-ES"/>
        </w:rPr>
        <w:t>ando DFT método B3LYP con base 6-3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>1G</w:t>
      </w:r>
      <w:r w:rsidR="009E0DDD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**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. Los parámetros moleculares fueron calculados en las estructuras optimizadas usando </w:t>
      </w:r>
      <w:proofErr w:type="spellStart"/>
      <w:r w:rsidRPr="001B4989">
        <w:rPr>
          <w:rFonts w:ascii="Times New Roman" w:hAnsi="Times New Roman" w:cs="Times New Roman"/>
          <w:sz w:val="24"/>
          <w:szCs w:val="24"/>
          <w:lang w:val="es-ES"/>
        </w:rPr>
        <w:t>Hyperchem</w:t>
      </w:r>
      <w:proofErr w:type="spellEnd"/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 7.5</w:t>
      </w:r>
      <w:r w:rsidR="00E633C9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>. Las propiedades calculadas fueron: Área Superficial Mole</w:t>
      </w:r>
      <w:r w:rsidR="005265E6">
        <w:rPr>
          <w:rFonts w:ascii="Times New Roman" w:hAnsi="Times New Roman" w:cs="Times New Roman"/>
          <w:sz w:val="24"/>
          <w:szCs w:val="24"/>
          <w:lang w:val="es-ES"/>
        </w:rPr>
        <w:t>cular, (A), Volumen Molecular (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V), Energía de </w:t>
      </w:r>
      <w:r w:rsidR="005265E6">
        <w:rPr>
          <w:rFonts w:ascii="Times New Roman" w:hAnsi="Times New Roman" w:cs="Times New Roman"/>
          <w:sz w:val="24"/>
          <w:szCs w:val="24"/>
          <w:lang w:val="es-ES"/>
        </w:rPr>
        <w:t>Hidratación (Es)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5265E6"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Log P, </w:t>
      </w:r>
      <w:proofErr w:type="spellStart"/>
      <w:r w:rsidR="00454AF2">
        <w:rPr>
          <w:rFonts w:ascii="Times New Roman" w:hAnsi="Times New Roman" w:cs="Times New Roman"/>
          <w:sz w:val="24"/>
          <w:szCs w:val="24"/>
          <w:lang w:val="es-ES"/>
        </w:rPr>
        <w:t>Refractividad</w:t>
      </w:r>
      <w:proofErr w:type="spellEnd"/>
      <w:r w:rsidR="00454AF2">
        <w:rPr>
          <w:rFonts w:ascii="Times New Roman" w:hAnsi="Times New Roman" w:cs="Times New Roman"/>
          <w:sz w:val="24"/>
          <w:szCs w:val="24"/>
          <w:lang w:val="es-ES"/>
        </w:rPr>
        <w:t xml:space="preserve"> Molar (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454AF2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) y </w:t>
      </w:r>
      <w:proofErr w:type="spellStart"/>
      <w:r w:rsidRPr="001B4989">
        <w:rPr>
          <w:rFonts w:ascii="Times New Roman" w:hAnsi="Times New Roman" w:cs="Times New Roman"/>
          <w:sz w:val="24"/>
          <w:szCs w:val="24"/>
          <w:lang w:val="es-ES"/>
        </w:rPr>
        <w:t>Polarizabilidad</w:t>
      </w:r>
      <w:proofErr w:type="spellEnd"/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 (P). Los LD</w:t>
      </w:r>
      <w:r w:rsidR="001B4989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8</w:t>
      </w:r>
      <w:r w:rsidRPr="001B4989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0</w:t>
      </w:r>
      <w:r w:rsidRPr="001B4989">
        <w:rPr>
          <w:rFonts w:ascii="Times New Roman" w:hAnsi="Times New Roman" w:cs="Times New Roman"/>
          <w:sz w:val="24"/>
          <w:szCs w:val="24"/>
          <w:lang w:val="es-ES"/>
        </w:rPr>
        <w:t xml:space="preserve"> obtenidos fueron correlacionados con los parámetros moleculares a fin de proponer un modelo SAR. </w:t>
      </w:r>
    </w:p>
    <w:p w:rsidR="00DC0ADC" w:rsidRPr="00DC0ADC" w:rsidRDefault="00DC0ADC" w:rsidP="001B498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:rsidR="001B4989" w:rsidRDefault="001B4989" w:rsidP="001B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  <w:r w:rsidRPr="00517211">
        <w:rPr>
          <w:rFonts w:ascii="Times New Roman" w:hAnsi="Times New Roman" w:cs="Times New Roman"/>
          <w:b/>
          <w:szCs w:val="24"/>
        </w:rPr>
        <w:t>Resultados</w:t>
      </w:r>
    </w:p>
    <w:p w:rsidR="00D16478" w:rsidRPr="00812E17" w:rsidRDefault="00D16478" w:rsidP="001B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1276"/>
        <w:gridCol w:w="851"/>
        <w:gridCol w:w="850"/>
        <w:gridCol w:w="851"/>
        <w:gridCol w:w="815"/>
      </w:tblGrid>
      <w:tr w:rsidR="00454AF2" w:rsidRPr="005265E6" w:rsidTr="00064CB3">
        <w:tc>
          <w:tcPr>
            <w:tcW w:w="2235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Compuesto</w:t>
            </w:r>
          </w:p>
        </w:tc>
        <w:tc>
          <w:tcPr>
            <w:tcW w:w="850" w:type="dxa"/>
          </w:tcPr>
          <w:p w:rsidR="005265E6" w:rsidRPr="005265E6" w:rsidRDefault="005265E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0649B6" w:rsidRPr="005265E6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  <w:p w:rsidR="000649B6" w:rsidRPr="005265E6" w:rsidRDefault="005265E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(Å</w:t>
            </w: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2</w:t>
            </w: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</w:tcPr>
          <w:p w:rsidR="005265E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0649B6" w:rsidRPr="005265E6" w:rsidRDefault="005265E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(Å</w:t>
            </w: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Pr="005265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265E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65E6" w:rsidRPr="00526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5E6" w:rsidRPr="005265E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(</w:t>
            </w:r>
            <w:proofErr w:type="spellStart"/>
            <w:r w:rsidR="005265E6" w:rsidRPr="005265E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Kca</w:t>
            </w:r>
            <w:proofErr w:type="spellEnd"/>
            <w:r w:rsidR="005265E6" w:rsidRPr="005265E6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/mol)</w:t>
            </w:r>
          </w:p>
        </w:tc>
        <w:tc>
          <w:tcPr>
            <w:tcW w:w="851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Lop</w:t>
            </w:r>
            <w:proofErr w:type="spellEnd"/>
            <w:r w:rsidRPr="005265E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</w:tc>
        <w:tc>
          <w:tcPr>
            <w:tcW w:w="850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54AF2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(Å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54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(Å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="00454AF2" w:rsidRPr="00454A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15" w:type="dxa"/>
          </w:tcPr>
          <w:p w:rsidR="000649B6" w:rsidRPr="005265E6" w:rsidRDefault="000649B6" w:rsidP="00454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E6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  <w:r w:rsidRPr="005265E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80</w:t>
            </w:r>
          </w:p>
        </w:tc>
      </w:tr>
      <w:tr w:rsidR="00454AF2" w:rsidTr="00064CB3">
        <w:tc>
          <w:tcPr>
            <w:tcW w:w="2235" w:type="dxa"/>
          </w:tcPr>
          <w:p w:rsidR="000649B6" w:rsidRPr="00B2779A" w:rsidRDefault="000649B6" w:rsidP="00454AF2">
            <w:r w:rsidRPr="00B2779A">
              <w:t>Testosterona</w:t>
            </w:r>
            <w:r w:rsidR="00D16478">
              <w:t xml:space="preserve">, </w:t>
            </w:r>
            <w:r w:rsidR="00D16478" w:rsidRPr="00D16478">
              <w:rPr>
                <w:u w:val="single"/>
              </w:rPr>
              <w:t>4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387.19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855.86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2.00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3.84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84.43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33.07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23.33</w:t>
            </w:r>
          </w:p>
        </w:tc>
      </w:tr>
      <w:tr w:rsidR="00454AF2" w:rsidTr="00064CB3">
        <w:tc>
          <w:tcPr>
            <w:tcW w:w="2235" w:type="dxa"/>
          </w:tcPr>
          <w:p w:rsidR="000649B6" w:rsidRPr="00D16478" w:rsidRDefault="000649B6" w:rsidP="00454AF2">
            <w:pPr>
              <w:rPr>
                <w:u w:val="single"/>
              </w:rPr>
            </w:pPr>
            <w:r w:rsidRPr="00B2779A">
              <w:t>3</w:t>
            </w:r>
            <w:r w:rsidR="00D16478">
              <w:rPr>
                <w:rFonts w:cstheme="minorHAnsi"/>
              </w:rPr>
              <w:t>β</w:t>
            </w:r>
            <w:r w:rsidR="00D16478">
              <w:t>-</w:t>
            </w:r>
            <w:r w:rsidRPr="00B2779A">
              <w:t>17</w:t>
            </w:r>
            <w:r w:rsidR="00D16478">
              <w:rPr>
                <w:rFonts w:cstheme="minorHAnsi"/>
              </w:rPr>
              <w:t>β</w:t>
            </w:r>
            <w:r w:rsidRPr="00B2779A">
              <w:t>-</w:t>
            </w:r>
            <w:r w:rsidR="00D16478">
              <w:t>androstan</w:t>
            </w:r>
            <w:r w:rsidRPr="00B2779A">
              <w:t>diol</w:t>
            </w:r>
            <w:r w:rsidR="00D16478">
              <w:t xml:space="preserve">, </w:t>
            </w:r>
            <w:r w:rsidR="00D16478">
              <w:rPr>
                <w:u w:val="single"/>
              </w:rPr>
              <w:t>1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395.42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880.49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5.86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3.73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84.63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33.82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86.78</w:t>
            </w:r>
          </w:p>
        </w:tc>
      </w:tr>
      <w:tr w:rsidR="00454AF2" w:rsidTr="00064CB3">
        <w:tc>
          <w:tcPr>
            <w:tcW w:w="2235" w:type="dxa"/>
          </w:tcPr>
          <w:p w:rsidR="000649B6" w:rsidRPr="00D16478" w:rsidRDefault="000649B6" w:rsidP="00454AF2">
            <w:pPr>
              <w:rPr>
                <w:u w:val="single"/>
              </w:rPr>
            </w:pPr>
            <w:r w:rsidRPr="00B2779A">
              <w:t>3</w:t>
            </w:r>
            <w:r w:rsidR="00D16478">
              <w:rPr>
                <w:rFonts w:cstheme="minorHAnsi"/>
              </w:rPr>
              <w:t>β</w:t>
            </w:r>
            <w:r w:rsidRPr="00B2779A">
              <w:t>-</w:t>
            </w:r>
            <w:r w:rsidR="00D16478">
              <w:t>hidroxi-</w:t>
            </w:r>
            <w:r w:rsidRPr="00B2779A">
              <w:t>17</w:t>
            </w:r>
            <w:r w:rsidR="00D16478">
              <w:t>-androestan</w:t>
            </w:r>
            <w:r w:rsidRPr="00B2779A">
              <w:t>ona</w:t>
            </w:r>
            <w:r w:rsidR="00D16478">
              <w:t xml:space="preserve"> </w:t>
            </w:r>
            <w:r w:rsidR="00D16478">
              <w:rPr>
                <w:u w:val="single"/>
              </w:rPr>
              <w:t>2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394.24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866.53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3.37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4.25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83.81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33.27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61.51</w:t>
            </w:r>
          </w:p>
        </w:tc>
      </w:tr>
      <w:tr w:rsidR="00454AF2" w:rsidTr="00064CB3">
        <w:tc>
          <w:tcPr>
            <w:tcW w:w="2235" w:type="dxa"/>
          </w:tcPr>
          <w:p w:rsidR="000649B6" w:rsidRPr="00B2779A" w:rsidRDefault="000649B6" w:rsidP="00454AF2">
            <w:r w:rsidRPr="00B2779A">
              <w:t>Testoste</w:t>
            </w:r>
            <w:r w:rsidR="00D16478">
              <w:t xml:space="preserve">rona </w:t>
            </w:r>
            <w:proofErr w:type="spellStart"/>
            <w:r w:rsidRPr="00B2779A">
              <w:t>Ac</w:t>
            </w:r>
            <w:r w:rsidR="00D16478">
              <w:t>etilada</w:t>
            </w:r>
            <w:proofErr w:type="spellEnd"/>
            <w:r w:rsidR="00D16478">
              <w:t xml:space="preserve">, </w:t>
            </w:r>
            <w:r w:rsidR="00D16478" w:rsidRPr="00D16478">
              <w:rPr>
                <w:u w:val="single"/>
              </w:rPr>
              <w:t>5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456.08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961.63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0.71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3.96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93.58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36.83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23.13</w:t>
            </w:r>
          </w:p>
        </w:tc>
      </w:tr>
      <w:tr w:rsidR="00454AF2" w:rsidTr="00064CB3">
        <w:tc>
          <w:tcPr>
            <w:tcW w:w="2235" w:type="dxa"/>
          </w:tcPr>
          <w:p w:rsidR="000649B6" w:rsidRPr="00D16478" w:rsidRDefault="00D16478" w:rsidP="00454AF2">
            <w:pPr>
              <w:rPr>
                <w:u w:val="single"/>
              </w:rPr>
            </w:pPr>
            <w:proofErr w:type="spellStart"/>
            <w:r>
              <w:t>C</w:t>
            </w:r>
            <w:r w:rsidR="000649B6" w:rsidRPr="00B2779A">
              <w:t>olestano</w:t>
            </w:r>
            <w:r>
              <w:t>l</w:t>
            </w:r>
            <w:proofErr w:type="spellEnd"/>
            <w:r>
              <w:t xml:space="preserve">, </w:t>
            </w:r>
            <w:r>
              <w:rPr>
                <w:u w:val="single"/>
              </w:rPr>
              <w:t>3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619.93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1230.35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0.34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7.61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119.77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47.86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22.14</w:t>
            </w:r>
          </w:p>
        </w:tc>
      </w:tr>
      <w:tr w:rsidR="00454AF2" w:rsidTr="00064CB3">
        <w:tc>
          <w:tcPr>
            <w:tcW w:w="2235" w:type="dxa"/>
          </w:tcPr>
          <w:p w:rsidR="000649B6" w:rsidRPr="00D16478" w:rsidRDefault="000649B6" w:rsidP="00454AF2">
            <w:pPr>
              <w:rPr>
                <w:u w:val="single"/>
              </w:rPr>
            </w:pPr>
            <w:r w:rsidRPr="00B2779A">
              <w:t>17</w:t>
            </w:r>
            <w:r w:rsidR="00D16478">
              <w:rPr>
                <w:rFonts w:cstheme="minorHAnsi"/>
              </w:rPr>
              <w:t>β</w:t>
            </w:r>
            <w:r w:rsidRPr="00B2779A">
              <w:t>-</w:t>
            </w:r>
            <w:r w:rsidR="00D16478">
              <w:t>hidroxi-1,4-dien-3-androtan</w:t>
            </w:r>
            <w:r w:rsidRPr="00B2779A">
              <w:t>ona</w:t>
            </w:r>
            <w:r w:rsidR="00D16478">
              <w:t xml:space="preserve">, </w:t>
            </w:r>
            <w:r w:rsidR="00D16478">
              <w:rPr>
                <w:u w:val="single"/>
              </w:rPr>
              <w:t>6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382.08</w:t>
            </w:r>
          </w:p>
        </w:tc>
        <w:tc>
          <w:tcPr>
            <w:tcW w:w="992" w:type="dxa"/>
          </w:tcPr>
          <w:p w:rsidR="000649B6" w:rsidRDefault="000649B6" w:rsidP="00454AF2">
            <w:pPr>
              <w:jc w:val="center"/>
            </w:pPr>
            <w:r>
              <w:t>845.35</w:t>
            </w:r>
          </w:p>
        </w:tc>
        <w:tc>
          <w:tcPr>
            <w:tcW w:w="1276" w:type="dxa"/>
          </w:tcPr>
          <w:p w:rsidR="000649B6" w:rsidRDefault="000649B6" w:rsidP="00454AF2">
            <w:pPr>
              <w:jc w:val="center"/>
            </w:pPr>
            <w:r>
              <w:t>2.40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3.91</w:t>
            </w:r>
          </w:p>
        </w:tc>
        <w:tc>
          <w:tcPr>
            <w:tcW w:w="850" w:type="dxa"/>
          </w:tcPr>
          <w:p w:rsidR="000649B6" w:rsidRDefault="000649B6" w:rsidP="00454AF2">
            <w:pPr>
              <w:jc w:val="center"/>
            </w:pPr>
            <w:r>
              <w:t>85.52</w:t>
            </w:r>
          </w:p>
        </w:tc>
        <w:tc>
          <w:tcPr>
            <w:tcW w:w="851" w:type="dxa"/>
          </w:tcPr>
          <w:p w:rsidR="000649B6" w:rsidRDefault="000649B6" w:rsidP="00454AF2">
            <w:pPr>
              <w:jc w:val="center"/>
            </w:pPr>
            <w:r>
              <w:t>32.88</w:t>
            </w:r>
          </w:p>
        </w:tc>
        <w:tc>
          <w:tcPr>
            <w:tcW w:w="815" w:type="dxa"/>
          </w:tcPr>
          <w:p w:rsidR="000649B6" w:rsidRDefault="000649B6" w:rsidP="00454AF2">
            <w:pPr>
              <w:jc w:val="center"/>
            </w:pPr>
            <w:r>
              <w:t>43.06</w:t>
            </w:r>
          </w:p>
        </w:tc>
      </w:tr>
    </w:tbl>
    <w:p w:rsidR="009E0DDD" w:rsidRDefault="009E0DDD" w:rsidP="001B4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Cs w:val="24"/>
        </w:rPr>
      </w:pPr>
    </w:p>
    <w:p w:rsidR="006363A3" w:rsidRPr="00812E17" w:rsidRDefault="006363A3" w:rsidP="006363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12E17">
        <w:rPr>
          <w:rFonts w:ascii="Times New Roman" w:hAnsi="Times New Roman" w:cs="Times New Roman"/>
          <w:sz w:val="24"/>
          <w:szCs w:val="24"/>
          <w:lang w:val="es-ES"/>
        </w:rPr>
        <w:t>Al graficar los valores de LD</w:t>
      </w:r>
      <w:r w:rsidRPr="00812E17">
        <w:rPr>
          <w:rFonts w:ascii="Times New Roman" w:hAnsi="Times New Roman" w:cs="Times New Roman"/>
          <w:sz w:val="24"/>
          <w:szCs w:val="24"/>
          <w:vertAlign w:val="subscript"/>
          <w:lang w:val="es-ES"/>
        </w:rPr>
        <w:t>50</w:t>
      </w:r>
      <w:r w:rsidRPr="00812E17">
        <w:rPr>
          <w:rFonts w:ascii="Times New Roman" w:hAnsi="Times New Roman" w:cs="Times New Roman"/>
          <w:sz w:val="24"/>
          <w:szCs w:val="24"/>
          <w:lang w:val="es-ES"/>
        </w:rPr>
        <w:t xml:space="preserve"> vs. Parámetros Moleculares [</w:t>
      </w:r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>A (Å</w:t>
      </w:r>
      <w:r w:rsidRPr="00812E17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2</w:t>
      </w:r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>), MV (Å</w:t>
      </w:r>
      <w:r w:rsidRPr="00812E17">
        <w:rPr>
          <w:rFonts w:ascii="Times New Roman" w:hAnsi="Times New Roman" w:cs="Times New Roman"/>
          <w:bCs/>
          <w:sz w:val="24"/>
          <w:szCs w:val="24"/>
          <w:vertAlign w:val="superscript"/>
          <w:lang w:val="es-ES"/>
        </w:rPr>
        <w:t>3</w:t>
      </w:r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>), 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H</w:t>
      </w:r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(</w:t>
      </w:r>
      <w:proofErr w:type="spellStart"/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>Kca</w:t>
      </w:r>
      <w:proofErr w:type="spellEnd"/>
      <w:r w:rsidRPr="00812E17">
        <w:rPr>
          <w:rFonts w:ascii="Times New Roman" w:hAnsi="Times New Roman" w:cs="Times New Roman"/>
          <w:bCs/>
          <w:sz w:val="24"/>
          <w:szCs w:val="24"/>
          <w:lang w:val="es-ES"/>
        </w:rPr>
        <w:t>/mol), Log P,]</w:t>
      </w:r>
      <w:r w:rsidRPr="00812E1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812E17">
        <w:rPr>
          <w:rFonts w:ascii="Times New Roman" w:hAnsi="Times New Roman" w:cs="Times New Roman"/>
          <w:sz w:val="24"/>
          <w:szCs w:val="24"/>
          <w:lang w:val="es-ES"/>
        </w:rPr>
        <w:t xml:space="preserve">se obtuvieron buenos resultados. (Figura 2). De donde se obtiene la ecuación de la recta: </w:t>
      </w:r>
    </w:p>
    <w:p w:rsidR="006363A3" w:rsidRPr="00D30088" w:rsidRDefault="006363A3" w:rsidP="006363A3">
      <w:pPr>
        <w:rPr>
          <w:rFonts w:ascii="Times New Roman" w:hAnsi="Times New Roman" w:cs="Times New Roman"/>
          <w:sz w:val="24"/>
          <w:szCs w:val="24"/>
        </w:rPr>
      </w:pPr>
      <w:r w:rsidRPr="00D30088">
        <w:rPr>
          <w:rFonts w:ascii="Times New Roman" w:hAnsi="Times New Roman" w:cs="Times New Roman"/>
          <w:sz w:val="24"/>
          <w:szCs w:val="24"/>
        </w:rPr>
        <w:t xml:space="preserve">Y= 15.202 + 0.121 Área – 0.300 </w:t>
      </w:r>
      <w:proofErr w:type="spellStart"/>
      <w:r w:rsidRPr="00D30088">
        <w:rPr>
          <w:rFonts w:ascii="Times New Roman" w:hAnsi="Times New Roman" w:cs="Times New Roman"/>
          <w:sz w:val="24"/>
          <w:szCs w:val="24"/>
        </w:rPr>
        <w:t>LogP</w:t>
      </w:r>
      <w:proofErr w:type="spellEnd"/>
      <w:r w:rsidRPr="00D30088">
        <w:rPr>
          <w:rFonts w:ascii="Times New Roman" w:hAnsi="Times New Roman" w:cs="Times New Roman"/>
          <w:sz w:val="24"/>
          <w:szCs w:val="24"/>
        </w:rPr>
        <w:t xml:space="preserve"> – 0.070 V – 0.327 EH</w:t>
      </w:r>
    </w:p>
    <w:tbl>
      <w:tblPr>
        <w:tblW w:w="55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1936"/>
      </w:tblGrid>
      <w:tr w:rsidR="006363A3" w:rsidRPr="00D30088" w:rsidTr="00DD3644">
        <w:trPr>
          <w:trHeight w:val="30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Coeficiente de correlación múltiple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0.998292144</w:t>
            </w:r>
          </w:p>
        </w:tc>
      </w:tr>
      <w:tr w:rsidR="006363A3" w:rsidRPr="00D30088" w:rsidTr="00DD3644">
        <w:trPr>
          <w:trHeight w:val="30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Coeficiente de determinación R</w:t>
            </w: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S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0.996587206</w:t>
            </w:r>
          </w:p>
        </w:tc>
      </w:tr>
      <w:tr w:rsidR="006363A3" w:rsidRPr="00D30088" w:rsidTr="00DD3644">
        <w:trPr>
          <w:trHeight w:val="300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R</w:t>
            </w: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ES"/>
              </w:rPr>
              <w:t>2</w:t>
            </w: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 ajustado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3A3" w:rsidRPr="00D30088" w:rsidRDefault="006363A3" w:rsidP="00DD36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D3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0.982936028</w:t>
            </w:r>
          </w:p>
        </w:tc>
      </w:tr>
    </w:tbl>
    <w:p w:rsidR="00DC0ADC" w:rsidRPr="00D30088" w:rsidRDefault="00DC0ADC" w:rsidP="001B498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s-ES"/>
        </w:rPr>
      </w:pPr>
    </w:p>
    <w:bookmarkStart w:id="0" w:name="_GoBack"/>
    <w:p w:rsidR="002925A9" w:rsidRDefault="006363A3" w:rsidP="001B4989">
      <w:pPr>
        <w:spacing w:after="0" w:line="360" w:lineRule="auto"/>
      </w:pPr>
      <w:r>
        <w:object w:dxaOrig="9010" w:dyaOrig="3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161.25pt" o:ole="">
            <v:imagedata r:id="rId7" o:title=""/>
          </v:shape>
          <o:OLEObject Type="Embed" ProgID="ACD.ChemSketch.20" ShapeID="_x0000_i1025" DrawAspect="Content" ObjectID="_1413952324" r:id="rId8"/>
        </w:object>
      </w:r>
      <w:bookmarkEnd w:id="0"/>
    </w:p>
    <w:p w:rsidR="009E0DDD" w:rsidRDefault="009E0DDD" w:rsidP="001B4989">
      <w:pPr>
        <w:spacing w:after="0" w:line="360" w:lineRule="auto"/>
      </w:pPr>
    </w:p>
    <w:p w:rsidR="009E0DDD" w:rsidRDefault="009E0DDD" w:rsidP="001B4989">
      <w:pPr>
        <w:spacing w:after="0" w:line="360" w:lineRule="auto"/>
        <w:rPr>
          <w:lang w:val="es-ES"/>
        </w:rPr>
      </w:pPr>
    </w:p>
    <w:p w:rsidR="009E0DDD" w:rsidRDefault="009E0DDD" w:rsidP="001B4989">
      <w:pPr>
        <w:spacing w:after="0" w:line="360" w:lineRule="auto"/>
        <w:rPr>
          <w:lang w:val="es-ES"/>
        </w:rPr>
      </w:pPr>
      <w:r w:rsidRPr="009E0DDD">
        <w:rPr>
          <w:noProof/>
        </w:rPr>
        <w:drawing>
          <wp:inline distT="0" distB="0" distL="0" distR="0">
            <wp:extent cx="5400040" cy="3325076"/>
            <wp:effectExtent l="19050" t="0" r="10160" b="8674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0DDD" w:rsidRDefault="009E0DDD" w:rsidP="009E0DDD">
      <w:pPr>
        <w:spacing w:after="0" w:line="360" w:lineRule="auto"/>
      </w:pPr>
    </w:p>
    <w:p w:rsidR="009E0DDD" w:rsidRDefault="006363A3" w:rsidP="001B49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363A3">
        <w:rPr>
          <w:rFonts w:ascii="Times New Roman" w:hAnsi="Times New Roman" w:cs="Times New Roman"/>
          <w:b/>
          <w:sz w:val="24"/>
          <w:szCs w:val="24"/>
          <w:lang w:val="es-ES"/>
        </w:rPr>
        <w:t>Conclusión</w:t>
      </w:r>
    </w:p>
    <w:p w:rsidR="006363A3" w:rsidRPr="00812E17" w:rsidRDefault="006363A3" w:rsidP="006363A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888888"/>
          <w:sz w:val="24"/>
          <w:szCs w:val="24"/>
          <w:lang w:val="es-ES" w:eastAsia="es-ES"/>
        </w:rPr>
      </w:pPr>
      <w:r w:rsidRPr="006363A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Entre los parámetros utilizados para la correlación se encontró que el Á</w:t>
      </w:r>
      <w:r w:rsidR="00522420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rea superficial molecular (A), parámetro L</w:t>
      </w:r>
      <w:r w:rsidRPr="006363A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og P, y la Energía de Hidratación, son factores importantes en la citotoxicidad. Sin embargo, Área superficial molecular tiene el peso más alto en la correlación.</w:t>
      </w:r>
    </w:p>
    <w:p w:rsidR="006363A3" w:rsidRDefault="006363A3" w:rsidP="001B498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E633C9" w:rsidRDefault="00E633C9" w:rsidP="001B49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633C9">
        <w:rPr>
          <w:rFonts w:ascii="Times New Roman" w:hAnsi="Times New Roman" w:cs="Times New Roman"/>
          <w:b/>
          <w:sz w:val="24"/>
          <w:szCs w:val="24"/>
          <w:lang w:val="es-ES"/>
        </w:rPr>
        <w:t>Referencia</w:t>
      </w:r>
    </w:p>
    <w:p w:rsidR="00E633C9" w:rsidRDefault="00E633C9" w:rsidP="00D30088">
      <w:pPr>
        <w:pStyle w:val="Textoindependien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82050">
        <w:rPr>
          <w:rFonts w:ascii="Times New Roman" w:hAnsi="Times New Roman" w:cs="Times New Roman"/>
        </w:rPr>
        <w:t xml:space="preserve">Neacato, P. Síntesis de derivados de </w:t>
      </w:r>
      <w:proofErr w:type="spellStart"/>
      <w:r w:rsidRPr="00182050">
        <w:rPr>
          <w:rFonts w:ascii="Times New Roman" w:hAnsi="Times New Roman" w:cs="Times New Roman"/>
        </w:rPr>
        <w:t>androstanos</w:t>
      </w:r>
      <w:proofErr w:type="spellEnd"/>
      <w:r w:rsidRPr="00182050">
        <w:rPr>
          <w:rFonts w:ascii="Times New Roman" w:hAnsi="Times New Roman" w:cs="Times New Roman"/>
        </w:rPr>
        <w:t xml:space="preserve"> como posibles agentes antivirales. Trabajo Especial de Grado, Facultad de Ciencias, UCV (2007)</w:t>
      </w:r>
      <w:r>
        <w:rPr>
          <w:rFonts w:ascii="Times New Roman" w:hAnsi="Times New Roman" w:cs="Times New Roman"/>
        </w:rPr>
        <w:t>.</w:t>
      </w:r>
    </w:p>
    <w:p w:rsidR="00E633C9" w:rsidRPr="00E633C9" w:rsidRDefault="00E633C9" w:rsidP="00D30088">
      <w:pPr>
        <w:pStyle w:val="Textoindependien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proofErr w:type="spellStart"/>
      <w:r w:rsidRPr="00E633C9">
        <w:rPr>
          <w:rFonts w:ascii="Times New Roman" w:hAnsi="Times New Roman" w:cs="Times New Roman"/>
          <w:szCs w:val="24"/>
          <w:lang w:val="en-GB"/>
        </w:rPr>
        <w:lastRenderedPageBreak/>
        <w:t>Mosmann</w:t>
      </w:r>
      <w:proofErr w:type="spellEnd"/>
      <w:r w:rsidRPr="00E633C9">
        <w:rPr>
          <w:rFonts w:ascii="Times New Roman" w:hAnsi="Times New Roman" w:cs="Times New Roman"/>
          <w:szCs w:val="24"/>
          <w:lang w:val="en-GB"/>
        </w:rPr>
        <w:t xml:space="preserve"> T. 1983. Rapid colorimetric assay for cellular growth and </w:t>
      </w:r>
      <w:proofErr w:type="spellStart"/>
      <w:r w:rsidRPr="00E633C9">
        <w:rPr>
          <w:rFonts w:ascii="Times New Roman" w:hAnsi="Times New Roman" w:cs="Times New Roman"/>
          <w:szCs w:val="24"/>
          <w:lang w:val="en-GB"/>
        </w:rPr>
        <w:t>survival</w:t>
      </w:r>
      <w:proofErr w:type="gramStart"/>
      <w:r w:rsidRPr="00E633C9">
        <w:rPr>
          <w:rFonts w:ascii="Times New Roman" w:hAnsi="Times New Roman" w:cs="Times New Roman"/>
          <w:szCs w:val="24"/>
          <w:lang w:val="en-GB"/>
        </w:rPr>
        <w:t>:application</w:t>
      </w:r>
      <w:proofErr w:type="spellEnd"/>
      <w:proofErr w:type="gramEnd"/>
      <w:r w:rsidRPr="00E633C9">
        <w:rPr>
          <w:rFonts w:ascii="Times New Roman" w:hAnsi="Times New Roman" w:cs="Times New Roman"/>
          <w:szCs w:val="24"/>
          <w:lang w:val="en-GB"/>
        </w:rPr>
        <w:t xml:space="preserve"> to proliferation and </w:t>
      </w:r>
      <w:proofErr w:type="spellStart"/>
      <w:r w:rsidRPr="00E633C9">
        <w:rPr>
          <w:rFonts w:ascii="Times New Roman" w:hAnsi="Times New Roman" w:cs="Times New Roman"/>
          <w:szCs w:val="24"/>
          <w:lang w:val="en-GB"/>
        </w:rPr>
        <w:t>citotoxicy</w:t>
      </w:r>
      <w:proofErr w:type="spellEnd"/>
      <w:r w:rsidRPr="00E633C9">
        <w:rPr>
          <w:rFonts w:ascii="Times New Roman" w:hAnsi="Times New Roman" w:cs="Times New Roman"/>
          <w:szCs w:val="24"/>
          <w:lang w:val="en-GB"/>
        </w:rPr>
        <w:t xml:space="preserve"> assays. </w:t>
      </w:r>
      <w:r w:rsidRPr="00E633C9">
        <w:rPr>
          <w:rFonts w:ascii="Times New Roman" w:hAnsi="Times New Roman" w:cs="Times New Roman"/>
          <w:b/>
          <w:szCs w:val="24"/>
          <w:lang w:val="en-US"/>
        </w:rPr>
        <w:t xml:space="preserve">J </w:t>
      </w:r>
      <w:proofErr w:type="spellStart"/>
      <w:r w:rsidRPr="00E633C9">
        <w:rPr>
          <w:rFonts w:ascii="Times New Roman" w:hAnsi="Times New Roman" w:cs="Times New Roman"/>
          <w:b/>
          <w:szCs w:val="24"/>
          <w:lang w:val="en-US"/>
        </w:rPr>
        <w:t>Immunolol</w:t>
      </w:r>
      <w:proofErr w:type="spellEnd"/>
      <w:r w:rsidRPr="00E633C9">
        <w:rPr>
          <w:rFonts w:ascii="Times New Roman" w:hAnsi="Times New Roman" w:cs="Times New Roman"/>
          <w:b/>
          <w:szCs w:val="24"/>
          <w:lang w:val="en-US"/>
        </w:rPr>
        <w:t xml:space="preserve"> Meth</w:t>
      </w:r>
      <w:r w:rsidRPr="00E633C9">
        <w:rPr>
          <w:rFonts w:ascii="Times New Roman" w:hAnsi="Times New Roman" w:cs="Times New Roman"/>
          <w:szCs w:val="24"/>
          <w:lang w:val="en-US"/>
        </w:rPr>
        <w:t>. 65:55-63.</w:t>
      </w:r>
    </w:p>
    <w:p w:rsidR="00E633C9" w:rsidRPr="00D30088" w:rsidRDefault="00E633C9" w:rsidP="00D300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Gaussian 98, Revision A.6, M. J. Frisch, G. W. Trucks, H. B. Schlegel, G. E.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Scuseria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M. A. Robb, J. R.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Cheeseman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V. G.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Zakrzewski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A. Montgomery, Jr., R. E.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Stratmann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C.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Burant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S.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Dapprich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M.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Millam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A. D. Daniels, K. N.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Kudin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M. C. Strain, O.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Farkas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Tomasi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V.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Barone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M.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Cossi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R.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Cammi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B.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Mennucci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C.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Pomelli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C.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Adamo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S. Clifford, J.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Ochterski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G. A.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Petersson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P. Y. Ayala, Q. Cui, K.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Morokuma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D. K.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Malick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A. D.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Rabuck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K.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Raghavachari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B.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Foresman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Cioslowski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J. V. Ortiz, B. B.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Stefanov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G. Liu, A.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Liashenko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P.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Piskorz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I.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Komaromi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R.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Gomperts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, R. L. Martin, D. J. Fox, T. Keith, M. A. Al-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Laham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C. Y.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Peng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A.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Nanayakkara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C. Gonzalez, M.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Challacombe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P. M. W. Gill, B. Johnson, W. Chen, M. W. Wong, J. L. Andres, C. Gonzalez, M. Head-Gordon, E. S.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Replogle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and J. A. </w:t>
      </w:r>
      <w:proofErr w:type="spellStart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Pople</w:t>
      </w:r>
      <w:proofErr w:type="spellEnd"/>
      <w:r w:rsidRPr="00D30088">
        <w:rPr>
          <w:rStyle w:val="apple-style-span"/>
          <w:rFonts w:ascii="Times New Roman" w:hAnsi="Times New Roman" w:cs="Times New Roman"/>
          <w:color w:val="333333"/>
          <w:sz w:val="24"/>
          <w:szCs w:val="24"/>
          <w:lang w:val="en-US"/>
        </w:rPr>
        <w:t>, Gaussian, Inc., Pittsburgh PA, 1998.</w:t>
      </w:r>
    </w:p>
    <w:p w:rsidR="00E633C9" w:rsidRPr="00D30088" w:rsidRDefault="00E633C9" w:rsidP="00D30088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008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  <w:t>HyperChem</w:t>
      </w:r>
      <w:proofErr w:type="spellEnd"/>
      <w:r w:rsidRPr="00D3008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  <w:t>(TM) Professional 7.51, Hypercube, Inc., 1115 NW 4th Street, Gainesville, Florida 32601, USA</w:t>
      </w:r>
      <w:r w:rsidR="00D30088" w:rsidRPr="00D30088"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sectPr w:rsidR="00E633C9" w:rsidRPr="00D30088" w:rsidSect="005836E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04AD3"/>
    <w:multiLevelType w:val="hybridMultilevel"/>
    <w:tmpl w:val="A4B65D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A9"/>
    <w:rsid w:val="00037413"/>
    <w:rsid w:val="000649B6"/>
    <w:rsid w:val="00064CB3"/>
    <w:rsid w:val="00164FEB"/>
    <w:rsid w:val="001B4989"/>
    <w:rsid w:val="002616B2"/>
    <w:rsid w:val="002925A9"/>
    <w:rsid w:val="00454AF2"/>
    <w:rsid w:val="004913C7"/>
    <w:rsid w:val="005055BE"/>
    <w:rsid w:val="00522420"/>
    <w:rsid w:val="005265E6"/>
    <w:rsid w:val="005836E4"/>
    <w:rsid w:val="006363A3"/>
    <w:rsid w:val="007F0625"/>
    <w:rsid w:val="00812E17"/>
    <w:rsid w:val="009E0DDD"/>
    <w:rsid w:val="00A34BB8"/>
    <w:rsid w:val="00AB5493"/>
    <w:rsid w:val="00B17594"/>
    <w:rsid w:val="00D16478"/>
    <w:rsid w:val="00D30088"/>
    <w:rsid w:val="00DC0ADC"/>
    <w:rsid w:val="00E633C9"/>
    <w:rsid w:val="00EB365F"/>
    <w:rsid w:val="00F1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DD"/>
    <w:rPr>
      <w:rFonts w:ascii="Tahoma" w:hAnsi="Tahoma" w:cs="Tahoma"/>
      <w:sz w:val="16"/>
      <w:szCs w:val="16"/>
      <w:lang w:val="es-V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33C9"/>
    <w:pPr>
      <w:spacing w:after="120" w:line="360" w:lineRule="auto"/>
      <w:jc w:val="both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33C9"/>
    <w:rPr>
      <w:rFonts w:ascii="Arial" w:hAnsi="Arial"/>
      <w:sz w:val="24"/>
    </w:rPr>
  </w:style>
  <w:style w:type="character" w:customStyle="1" w:styleId="apple-style-span">
    <w:name w:val="apple-style-span"/>
    <w:basedOn w:val="Fuentedeprrafopredeter"/>
    <w:rsid w:val="00E633C9"/>
  </w:style>
  <w:style w:type="paragraph" w:styleId="Prrafodelista">
    <w:name w:val="List Paragraph"/>
    <w:basedOn w:val="Normal"/>
    <w:uiPriority w:val="34"/>
    <w:qFormat/>
    <w:rsid w:val="00D3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0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DD"/>
    <w:rPr>
      <w:rFonts w:ascii="Tahoma" w:hAnsi="Tahoma" w:cs="Tahoma"/>
      <w:sz w:val="16"/>
      <w:szCs w:val="16"/>
      <w:lang w:val="es-V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633C9"/>
    <w:pPr>
      <w:spacing w:after="120" w:line="360" w:lineRule="auto"/>
      <w:jc w:val="both"/>
    </w:pPr>
    <w:rPr>
      <w:rFonts w:ascii="Arial" w:hAnsi="Arial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633C9"/>
    <w:rPr>
      <w:rFonts w:ascii="Arial" w:hAnsi="Arial"/>
      <w:sz w:val="24"/>
    </w:rPr>
  </w:style>
  <w:style w:type="character" w:customStyle="1" w:styleId="apple-style-span">
    <w:name w:val="apple-style-span"/>
    <w:basedOn w:val="Fuentedeprrafopredeter"/>
    <w:rsid w:val="00E633C9"/>
  </w:style>
  <w:style w:type="paragraph" w:styleId="Prrafodelista">
    <w:name w:val="List Paragraph"/>
    <w:basedOn w:val="Normal"/>
    <w:uiPriority w:val="34"/>
    <w:qFormat/>
    <w:rsid w:val="00D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uatavo%20Cabrera\Desktop\Blocs%20de%20notas%20de%20OneNote\Salidas%20Androstanos%20B3LYP-631G(d,p)\QS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VE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Relación Lineal Mulpitle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Hoja5!$R$25</c:f>
              <c:strCache>
                <c:ptCount val="1"/>
                <c:pt idx="0">
                  <c:v>X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0"/>
              <c:layout>
                <c:manualLayout>
                  <c:x val="-6.4308670817417712E-3"/>
                  <c:y val="1.0443867092608371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7170404980900886E-2"/>
                  <c:y val="-2.0887734185216725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441580129869922E-2"/>
                  <c:y val="-4.5256757401302722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2861734163483483E-2"/>
                  <c:y val="2.0887734185216725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</c:dLbl>
            <c:showLegendKey val="0"/>
            <c:showVal val="0"/>
            <c:showCatName val="1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Hoja5!$Q$26:$Q$31</c:f>
              <c:numCache>
                <c:formatCode>General</c:formatCode>
                <c:ptCount val="6"/>
                <c:pt idx="0">
                  <c:v>1.35</c:v>
                </c:pt>
                <c:pt idx="1">
                  <c:v>1.36</c:v>
                </c:pt>
                <c:pt idx="2">
                  <c:v>1.37</c:v>
                </c:pt>
                <c:pt idx="3">
                  <c:v>1.6300000000000001</c:v>
                </c:pt>
                <c:pt idx="4">
                  <c:v>1.7900000000000011</c:v>
                </c:pt>
                <c:pt idx="5">
                  <c:v>1.9400000000000017</c:v>
                </c:pt>
              </c:numCache>
            </c:numRef>
          </c:xVal>
          <c:yVal>
            <c:numRef>
              <c:f>Hoja5!$R$26:$R$31</c:f>
              <c:numCache>
                <c:formatCode>General</c:formatCode>
                <c:ptCount val="6"/>
                <c:pt idx="0">
                  <c:v>1.34</c:v>
                </c:pt>
                <c:pt idx="1">
                  <c:v>1.37</c:v>
                </c:pt>
                <c:pt idx="2">
                  <c:v>1.3800000000000001</c:v>
                </c:pt>
                <c:pt idx="3">
                  <c:v>1.61</c:v>
                </c:pt>
                <c:pt idx="4">
                  <c:v>1.81</c:v>
                </c:pt>
                <c:pt idx="5">
                  <c:v>1.9400000000000017</c:v>
                </c:pt>
              </c:numCache>
            </c:numRef>
          </c:yVal>
          <c:smooth val="0"/>
        </c:ser>
        <c:dLbls>
          <c:showLegendKey val="0"/>
          <c:showVal val="1"/>
          <c:showCatName val="1"/>
          <c:showSerName val="0"/>
          <c:showPercent val="0"/>
          <c:showBubbleSize val="0"/>
        </c:dLbls>
        <c:axId val="211805696"/>
        <c:axId val="211807616"/>
      </c:scatterChart>
      <c:valAx>
        <c:axId val="211805696"/>
        <c:scaling>
          <c:orientation val="minMax"/>
          <c:min val="1.3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Ecuación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11807616"/>
        <c:crosses val="autoZero"/>
        <c:crossBetween val="midCat"/>
        <c:majorUnit val="5.00000000000001E-2"/>
      </c:valAx>
      <c:valAx>
        <c:axId val="211807616"/>
        <c:scaling>
          <c:orientation val="minMax"/>
          <c:max val="2"/>
          <c:min val="1.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Log CD80    </a:t>
                </a:r>
              </a:p>
            </c:rich>
          </c:tx>
          <c:layout>
            <c:manualLayout>
              <c:xMode val="edge"/>
              <c:yMode val="edge"/>
              <c:x val="2.3579845966386397E-2"/>
              <c:y val="0.4574564551048048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1805696"/>
        <c:crosses val="autoZero"/>
        <c:crossBetween val="midCat"/>
        <c:majorUnit val="5.00000000000001E-2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9B2A8-987C-418F-B0C9-6BC69AE1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Pablo José Neacato Matheus</cp:lastModifiedBy>
  <cp:revision>2</cp:revision>
  <cp:lastPrinted>2012-11-05T18:08:00Z</cp:lastPrinted>
  <dcterms:created xsi:type="dcterms:W3CDTF">2012-11-09T12:16:00Z</dcterms:created>
  <dcterms:modified xsi:type="dcterms:W3CDTF">2012-11-09T12:16:00Z</dcterms:modified>
</cp:coreProperties>
</file>