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spacing w:after="0" w:before="0" w:line="100" w:lineRule="atLeast"/>
      </w:pPr>
      <w:r>
        <w:rPr>
          <w:sz w:val="28"/>
          <w:b/>
          <w:szCs w:val="28"/>
          <w:rFonts w:ascii="Arial" w:cs="Arial" w:hAnsi="Arial"/>
        </w:rPr>
        <w:t>Universidad Central de Venezuela</w:t>
      </w:r>
    </w:p>
    <w:p>
      <w:pPr>
        <w:pStyle w:val="style0"/>
        <w:jc w:val="center"/>
        <w:spacing w:after="0" w:before="0" w:line="100" w:lineRule="atLeast"/>
      </w:pPr>
      <w:r>
        <w:rPr>
          <w:sz w:val="28"/>
          <w:b/>
          <w:szCs w:val="28"/>
          <w:rFonts w:ascii="Arial" w:cs="Arial" w:hAnsi="Arial"/>
        </w:rPr>
        <w:t>Facultad de Ciencias Económicas y Sociales</w:t>
      </w:r>
    </w:p>
    <w:p>
      <w:pPr>
        <w:pStyle w:val="style0"/>
        <w:jc w:val="center"/>
        <w:spacing w:after="0" w:before="0" w:line="100" w:lineRule="atLeast"/>
      </w:pPr>
      <w:r>
        <w:rPr>
          <w:sz w:val="28"/>
          <w:b/>
          <w:szCs w:val="28"/>
          <w:rFonts w:ascii="Arial" w:cs="Arial" w:hAnsi="Arial"/>
        </w:rPr>
        <w:t>Comisión  de Estudios de Postgrado</w:t>
      </w:r>
    </w:p>
    <w:p>
      <w:pPr>
        <w:pStyle w:val="style0"/>
        <w:jc w:val="center"/>
        <w:spacing w:after="0" w:before="0" w:line="100" w:lineRule="atLeast"/>
      </w:pPr>
      <w:r>
        <w:rPr>
          <w:sz w:val="28"/>
          <w:b/>
          <w:szCs w:val="28"/>
          <w:rFonts w:ascii="Arial" w:cs="Arial" w:hAnsi="Arial"/>
        </w:rPr>
        <w:t>Doctorado en Gestión de Investigación y Desarrollo</w:t>
      </w:r>
    </w:p>
    <w:p>
      <w:pPr>
        <w:pStyle w:val="style0"/>
        <w:jc w:val="center"/>
        <w:spacing w:after="0" w:before="0" w:line="100" w:lineRule="atLeast"/>
      </w:pPr>
      <w:r>
        <w:rPr>
          <w:sz w:val="28"/>
          <w:b/>
          <w:szCs w:val="28"/>
          <w:rFonts w:ascii="Arial" w:cs="Arial" w:hAnsi="Arial"/>
        </w:rPr>
        <w:t>Seminario: Ciencia y Política del Riesgo.</w:t>
      </w:r>
    </w:p>
    <w:p>
      <w:pPr>
        <w:pStyle w:val="style0"/>
        <w:jc w:val="center"/>
        <w:spacing w:after="0" w:before="0" w:line="100" w:lineRule="atLeast"/>
      </w:pPr>
      <w:r>
        <w:rPr>
          <w:sz w:val="24"/>
          <w:b/>
          <w:szCs w:val="24"/>
          <w:rFonts w:ascii="Arial" w:cs="Arial" w:hAnsi="Arial"/>
        </w:rPr>
        <w:t>Profesor. Doctor Nelson Lara.</w:t>
      </w:r>
    </w:p>
    <w:p>
      <w:pPr>
        <w:pStyle w:val="styl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sz w:val="36"/>
          <w:u w:val="single"/>
          <w:b/>
          <w:szCs w:val="36"/>
          <w:rFonts w:ascii="Arial" w:cs="Arial" w:hAnsi="Arial"/>
        </w:rPr>
        <w:t>El Riesgo de la Participación Ciudadana   en los Consejos Comunales.</w:t>
      </w:r>
      <w:r>
        <w:rPr>
          <w:sz w:val="36"/>
          <w:b/>
          <w:szCs w:val="36"/>
          <w:rFonts w:ascii="Arial" w:cs="Arial" w:hAnsi="Arial"/>
        </w:rPr>
        <w:t xml:space="preserve">  </w:t>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right"/>
        <w:spacing w:after="0" w:before="0"/>
      </w:pPr>
      <w:r>
        <w:rPr>
          <w:b/>
          <w:rFonts w:ascii="Arial" w:cs="Arial" w:hAnsi="Arial"/>
        </w:rPr>
        <w:t xml:space="preserve">Elaborado por: </w:t>
      </w:r>
    </w:p>
    <w:p>
      <w:pPr>
        <w:pStyle w:val="style0"/>
        <w:jc w:val="right"/>
        <w:spacing w:after="0" w:before="0"/>
      </w:pPr>
      <w:r>
        <w:rPr>
          <w:b/>
          <w:rFonts w:ascii="Arial" w:cs="Arial" w:hAnsi="Arial"/>
        </w:rPr>
        <w:t>Lic. Xiomara García</w:t>
      </w:r>
    </w:p>
    <w:p>
      <w:pPr>
        <w:pStyle w:val="style0"/>
        <w:jc w:val="right"/>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b/>
          <w:rFonts w:ascii="Arial" w:cs="Arial" w:hAnsi="Arial"/>
        </w:rPr>
        <w:t>Enero, 2013.</w:t>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r>
    </w:p>
    <w:p>
      <w:pPr>
        <w:pStyle w:val="style0"/>
        <w:jc w:val="center"/>
        <w:spacing w:after="0" w:before="0"/>
      </w:pPr>
      <w:r>
        <w:rPr>
          <w:sz w:val="26"/>
          <w:u w:val="single"/>
          <w:b/>
          <w:szCs w:val="26"/>
          <w:rFonts w:ascii="Arial" w:cs="Arial" w:hAnsi="Arial"/>
        </w:rPr>
        <w:t xml:space="preserve">El Riesgo de la Participación Ciudadana   </w:t>
      </w:r>
    </w:p>
    <w:p>
      <w:pPr>
        <w:pStyle w:val="style0"/>
        <w:jc w:val="center"/>
        <w:spacing w:after="0" w:before="0"/>
      </w:pPr>
      <w:r>
        <w:rPr>
          <w:sz w:val="26"/>
          <w:u w:val="single"/>
          <w:b/>
          <w:szCs w:val="26"/>
          <w:rFonts w:ascii="Arial" w:cs="Arial" w:hAnsi="Arial"/>
        </w:rPr>
        <w:t>en los Consejos Comunales.</w:t>
      </w:r>
      <w:r>
        <w:rPr>
          <w:sz w:val="26"/>
          <w:b/>
          <w:szCs w:val="26"/>
          <w:rFonts w:ascii="Arial" w:cs="Arial" w:hAnsi="Arial"/>
        </w:rPr>
        <w:t xml:space="preserve"> </w:t>
      </w:r>
      <w:r>
        <w:rPr>
          <w:sz w:val="22"/>
          <w:b/>
          <w:szCs w:val="22"/>
          <w:rFonts w:ascii="Arial" w:cs="Arial" w:hAnsi="Arial"/>
        </w:rPr>
        <w:t xml:space="preserve"> </w:t>
      </w:r>
    </w:p>
    <w:p>
      <w:pPr>
        <w:pStyle w:val="style0"/>
        <w:jc w:val="both"/>
      </w:pPr>
      <w:r>
        <w:rPr/>
      </w:r>
    </w:p>
    <w:p>
      <w:pPr>
        <w:pStyle w:val="style0"/>
        <w:jc w:val="both"/>
      </w:pPr>
      <w:r>
        <w:rPr/>
      </w:r>
    </w:p>
    <w:p>
      <w:pPr>
        <w:pStyle w:val="style0"/>
        <w:jc w:val="both"/>
      </w:pPr>
      <w:r>
        <w:rPr>
          <w:sz w:val="22"/>
          <w:b/>
          <w:szCs w:val="22"/>
          <w:rFonts w:ascii="DejaVu Sans" w:cs="Arial" w:hAnsi="DejaVu Sans"/>
        </w:rPr>
        <w:t>I</w:t>
      </w:r>
      <w:r>
        <w:rPr>
          <w:sz w:val="22"/>
          <w:u w:val="single"/>
          <w:b/>
          <w:szCs w:val="22"/>
          <w:rFonts w:ascii="DejaVu Sans" w:cs="Arial" w:hAnsi="DejaVu Sans"/>
        </w:rPr>
        <w:t xml:space="preserve">ntroducción: </w:t>
      </w:r>
    </w:p>
    <w:p>
      <w:pPr>
        <w:pStyle w:val="style0"/>
        <w:jc w:val="both"/>
      </w:pPr>
      <w:r>
        <w:rPr/>
      </w:r>
    </w:p>
    <w:p>
      <w:pPr>
        <w:pStyle w:val="style0"/>
        <w:jc w:val="both"/>
      </w:pPr>
      <w:r>
        <w:rPr>
          <w:sz w:val="22"/>
          <w:szCs w:val="22"/>
          <w:rFonts w:ascii="DejaVu Sans" w:cs="Arial" w:hAnsi="DejaVu Sans"/>
        </w:rPr>
        <w:t>El siguiente trabajo cierra en forma teórica y práctica el Seminario de Ciencia y Política de Riesgo. En el mismo se ha podido destacar los aspectos conceptuales, tendencias y enfoques desde la sociedad del riesgo, el riego como ciencia y política Desde esta visión, el riesgo visto desde  la participación ciudadana, tiene un protagonismo en la sociedad  que valora  el  carácter democrático de un Estado social y de equidad.</w:t>
      </w:r>
    </w:p>
    <w:p>
      <w:pPr>
        <w:pStyle w:val="style0"/>
        <w:jc w:val="both"/>
      </w:pPr>
      <w:r>
        <w:rPr/>
      </w:r>
    </w:p>
    <w:p>
      <w:pPr>
        <w:pStyle w:val="style0"/>
        <w:jc w:val="both"/>
      </w:pPr>
      <w:r>
        <w:rPr>
          <w:sz w:val="22"/>
          <w:szCs w:val="22"/>
          <w:rFonts w:ascii="DejaVu Sans" w:cs="Arial" w:hAnsi="DejaVu Sans"/>
        </w:rPr>
        <w:t xml:space="preserve">Venezuela ha venido perfeccionado los mecanismos de participación, desde el punto de vista electoral, legal y organizativo. Sin embargo, en este último se ha masificado el número de organizaciones, como los consejos comunales, que por su génesis y acción han presentado  contradicciones dentro de la sociedad civil. </w:t>
      </w:r>
    </w:p>
    <w:p>
      <w:pPr>
        <w:pStyle w:val="style0"/>
        <w:jc w:val="both"/>
      </w:pPr>
      <w:r>
        <w:rPr/>
      </w:r>
    </w:p>
    <w:p>
      <w:pPr>
        <w:pStyle w:val="style0"/>
        <w:jc w:val="both"/>
      </w:pPr>
      <w:r>
        <w:rPr>
          <w:sz w:val="22"/>
          <w:szCs w:val="22"/>
          <w:rFonts w:ascii="DejaVu Sans" w:cs="Arial" w:hAnsi="DejaVu Sans"/>
        </w:rPr>
        <w:t>Se hace necesario,  detenerse en el significado de los que es la participación en  una sociedad moderna en contante riesgo e incertidumbre, donde la sociedad venezolana debe   conducir  su futuro hacia políticas públicas de inclusión, que fortalezcan un capital social y humano para el  pleno ejercicio de la ciudadanía, que incida en lo público, en la participación de las agendas públicas y con posiciones críticas hacia un bienestar colectivo.</w:t>
      </w:r>
    </w:p>
    <w:p>
      <w:pPr>
        <w:pStyle w:val="style0"/>
        <w:jc w:val="both"/>
      </w:pPr>
      <w:r>
        <w:rPr/>
      </w:r>
    </w:p>
    <w:p>
      <w:pPr>
        <w:pStyle w:val="style0"/>
        <w:jc w:val="both"/>
      </w:pPr>
      <w:r>
        <w:rPr>
          <w:sz w:val="22"/>
          <w:u w:val="single"/>
          <w:b/>
          <w:szCs w:val="22"/>
          <w:rFonts w:ascii="DejaVu Sans" w:cs="Arial" w:hAnsi="DejaVu Sans"/>
        </w:rPr>
        <w:t>Marco Contextual:</w:t>
      </w:r>
    </w:p>
    <w:p>
      <w:pPr>
        <w:pStyle w:val="style0"/>
        <w:jc w:val="both"/>
      </w:pPr>
      <w:r>
        <w:rPr/>
      </w:r>
    </w:p>
    <w:p>
      <w:pPr>
        <w:pStyle w:val="style0"/>
        <w:jc w:val="both"/>
      </w:pPr>
      <w:r>
        <w:rPr>
          <w:sz w:val="22"/>
          <w:szCs w:val="22"/>
          <w:rFonts w:ascii="DejaVu Sans" w:cs="Arial" w:hAnsi="DejaVu Sans"/>
        </w:rPr>
        <w:t>El Estado ha sufrido en el curso de la historia varias transformaciones en cuanto a sus acciones y la orientación de sus funciones, debido al cambio en las dinámicas y las relaciones de poder presentes en el contexto mundial. En este sentido, podemos identificar tres grandes formas o tipos de Estado moderno: el Estado liberal clásico, el Estado de bienestar y el Estado neoliberal.</w:t>
      </w:r>
    </w:p>
    <w:p>
      <w:pPr>
        <w:pStyle w:val="style0"/>
        <w:jc w:val="both"/>
      </w:pPr>
      <w:r>
        <w:rPr/>
      </w:r>
    </w:p>
    <w:p>
      <w:pPr>
        <w:pStyle w:val="style0"/>
        <w:jc w:val="both"/>
      </w:pPr>
      <w:r>
        <w:rPr>
          <w:sz w:val="22"/>
          <w:szCs w:val="22"/>
          <w:rFonts w:ascii="DejaVu Sans" w:cs="Arial" w:hAnsi="DejaVu Sans"/>
        </w:rPr>
        <w:t>Sin embargo en cada uno de estos modelos se ha mantenido la consecución de originar y establecer un Estado de Derecho para</w:t>
      </w:r>
      <w:r>
        <w:rPr>
          <w:sz w:val="22"/>
          <w:szCs w:val="22"/>
          <w:rFonts w:ascii="DejaVu Sans" w:cs="Arial" w:hAnsi="DejaVu Sans"/>
          <w:lang w:val="es-ES"/>
        </w:rPr>
        <w:t xml:space="preserve"> la sujeción de la actividad estatal a la Constitución y a las normas aprobadas conforme a los procedimientos que ella establezca, que garanticen el funcionamiento responsable y controlado de los órganos del </w:t>
      </w:r>
      <w:r>
        <w:rPr>
          <w:sz w:val="22"/>
          <w:i w:val="false"/>
          <w:szCs w:val="22"/>
          <w:iCs w:val="false"/>
          <w:rFonts w:ascii="DejaVu Sans" w:cs="Arial" w:hAnsi="DejaVu Sans"/>
          <w:lang w:val="es-ES"/>
        </w:rPr>
        <w:t>poder,</w:t>
      </w:r>
      <w:r>
        <w:rPr>
          <w:sz w:val="22"/>
          <w:szCs w:val="22"/>
          <w:rFonts w:ascii="DejaVu Sans" w:cs="Arial" w:hAnsi="DejaVu Sans"/>
          <w:lang w:val="es-ES"/>
        </w:rPr>
        <w:t xml:space="preserve"> el ejercicio de la autoridad conforme a disposiciones conocidas y no retroactivas en términos perjudiciales, y la observancia de los</w:t>
      </w:r>
      <w:r>
        <w:rPr>
          <w:sz w:val="22"/>
          <w:i/>
          <w:szCs w:val="22"/>
          <w:rFonts w:ascii="DejaVu Sans" w:cs="Arial" w:hAnsi="DejaVu Sans"/>
          <w:lang w:val="es-ES"/>
        </w:rPr>
        <w:t xml:space="preserve"> </w:t>
      </w:r>
      <w:r>
        <w:rPr>
          <w:sz w:val="22"/>
          <w:szCs w:val="22"/>
          <w:rFonts w:ascii="DejaVu Sans" w:cs="Arial" w:hAnsi="DejaVu Sans"/>
          <w:lang w:val="es-ES"/>
        </w:rPr>
        <w:t xml:space="preserve">derechos individuales, colectivos, culturales y políticos.  </w:t>
      </w:r>
    </w:p>
    <w:p>
      <w:pPr>
        <w:pStyle w:val="style0"/>
        <w:jc w:val="both"/>
      </w:pPr>
      <w:r>
        <w:rPr>
          <w:sz w:val="22"/>
          <w:szCs w:val="22"/>
          <w:rFonts w:ascii="DejaVu Sans" w:cs="Arial" w:hAnsi="DejaVu Sans"/>
          <w:lang w:val="es-ES"/>
        </w:rPr>
        <w:t>Las características del Estado de Derecho han permitido definir al sistema constitucional. En este sentido se advierten cuatro grandes tendencias: la liberal, la social, la democrática y la cultural.</w:t>
      </w:r>
    </w:p>
    <w:p>
      <w:pPr>
        <w:pStyle w:val="style0"/>
        <w:jc w:val="both"/>
      </w:pPr>
      <w:r>
        <w:rPr/>
      </w:r>
    </w:p>
    <w:p>
      <w:pPr>
        <w:pStyle w:val="style0"/>
        <w:jc w:val="both"/>
      </w:pPr>
      <w:r>
        <w:rPr>
          <w:sz w:val="22"/>
          <w:szCs w:val="22"/>
          <w:rFonts w:ascii="DejaVu Sans" w:cs="Arial" w:hAnsi="DejaVu Sans"/>
          <w:lang w:val="es-ES"/>
        </w:rPr>
        <w:t xml:space="preserve">La tendencia liberal, estaba centrada en el libre mercado y el centralismo de los aspectos económicos. Las características fundamentales del constitucionalismo social consistieron en el reconocimiento de los derechos a la organización profesional, a la huelga, a la contratación colectiva, al acceso a la riqueza  y de principios de equidad en las relaciones jurídicas y económicas. Así se explica el surgimiento de la seguridad social, de los tribunales laborales, y la defensa de derechos como la jornada, el salario y el descanso obligatorio. También aparecieron los derechos prestacionales con cargo al Estado, como los concernientes a educación, salud, vivienda y alimentación. </w:t>
      </w:r>
    </w:p>
    <w:p>
      <w:pPr>
        <w:pStyle w:val="style0"/>
        <w:jc w:val="both"/>
      </w:pPr>
      <w:r>
        <w:rPr/>
      </w:r>
    </w:p>
    <w:p>
      <w:pPr>
        <w:pStyle w:val="style0"/>
        <w:jc w:val="both"/>
      </w:pPr>
      <w:r>
        <w:rPr>
          <w:sz w:val="22"/>
          <w:szCs w:val="22"/>
          <w:rFonts w:ascii="DejaVu Sans" w:cs="Arial" w:hAnsi="DejaVu Sans"/>
          <w:lang w:val="es-ES"/>
        </w:rPr>
        <w:t xml:space="preserve">Las características del constitucionalismo democrático han consistido en el reconocimiento de los partidos políticos; en la garantía de </w:t>
      </w:r>
      <w:r>
        <w:rPr>
          <w:sz w:val="22"/>
          <w:i w:val="false"/>
          <w:szCs w:val="22"/>
          <w:iCs w:val="false"/>
          <w:rFonts w:ascii="DejaVu Sans" w:cs="Arial" w:hAnsi="DejaVu Sans"/>
          <w:lang w:val="es-ES"/>
        </w:rPr>
        <w:t>procesos electorales</w:t>
      </w:r>
      <w:r>
        <w:rPr>
          <w:sz w:val="22"/>
          <w:szCs w:val="22"/>
          <w:rFonts w:ascii="DejaVu Sans" w:cs="Arial" w:hAnsi="DejaVu Sans"/>
          <w:lang w:val="es-ES"/>
        </w:rPr>
        <w:t xml:space="preserve"> libres e imparciales; en la descentralización del </w:t>
      </w:r>
      <w:r>
        <w:rPr>
          <w:sz w:val="22"/>
          <w:i w:val="false"/>
          <w:szCs w:val="22"/>
          <w:iCs w:val="false"/>
          <w:rFonts w:ascii="DejaVu Sans" w:cs="Arial" w:hAnsi="DejaVu Sans"/>
          <w:lang w:val="es-ES"/>
        </w:rPr>
        <w:t xml:space="preserve">poder, </w:t>
      </w:r>
      <w:r>
        <w:rPr>
          <w:sz w:val="22"/>
          <w:szCs w:val="22"/>
          <w:rFonts w:ascii="DejaVu Sans" w:cs="Arial" w:hAnsi="DejaVu Sans"/>
          <w:lang w:val="es-ES"/>
        </w:rPr>
        <w:t xml:space="preserve">incluyendo las formas del estado federal y regional; en el fortalecimiento de la organización, facultades y funcionamiento de los cuerpos representativos, como el referéndum, la iniciativa popular y, aunque mucho más raro, en la revocación de los representantes. </w:t>
      </w:r>
    </w:p>
    <w:p>
      <w:pPr>
        <w:pStyle w:val="style0"/>
        <w:jc w:val="both"/>
      </w:pPr>
      <w:r>
        <w:rPr/>
      </w:r>
    </w:p>
    <w:p>
      <w:pPr>
        <w:pStyle w:val="style0"/>
        <w:jc w:val="both"/>
      </w:pPr>
      <w:r>
        <w:rPr>
          <w:sz w:val="22"/>
          <w:szCs w:val="22"/>
          <w:rFonts w:ascii="DejaVu Sans" w:cs="Arial" w:hAnsi="DejaVu Sans"/>
          <w:lang w:val="es-ES"/>
        </w:rPr>
        <w:t xml:space="preserve">Como señala el autor Solarriaza (2012) las tendencias del constitucionalismo contemporáneo, se han venido originando  conceptos complementarios del </w:t>
      </w:r>
      <w:r>
        <w:rPr>
          <w:sz w:val="22"/>
          <w:i w:val="false"/>
          <w:szCs w:val="22"/>
          <w:iCs w:val="false"/>
          <w:rFonts w:ascii="DejaVu Sans" w:cs="Arial" w:hAnsi="DejaVu Sans"/>
          <w:lang w:val="es-ES"/>
        </w:rPr>
        <w:t>Estado de Derecho.</w:t>
      </w:r>
      <w:r>
        <w:rPr>
          <w:sz w:val="22"/>
          <w:szCs w:val="22"/>
          <w:rFonts w:ascii="DejaVu Sans" w:cs="Arial" w:hAnsi="DejaVu Sans"/>
          <w:lang w:val="es-ES"/>
        </w:rPr>
        <w:t xml:space="preserve"> Han aparecido los de Estado Social de Derecho, Estado Social y Democrático de Derecho. Por ejemplo, en la Constitución Venezolana de 1999, surgió el Estado Democrático y Social de Derecho y de Justicia.  En el Estado social y democrático de Derecho se incluyen la tutela del individuo y de sus derechos de participación política y las relaciones de clase, instituyendo mecanismos de distribución de riqueza a través del salario, del ejercicio de derechos colectivos y de un conjunto de prestaciones que atienden al bienestar.  </w:t>
      </w:r>
    </w:p>
    <w:p>
      <w:pPr>
        <w:pStyle w:val="style0"/>
        <w:jc w:val="both"/>
      </w:pPr>
      <w:r>
        <w:rPr/>
      </w:r>
    </w:p>
    <w:p>
      <w:pPr>
        <w:pStyle w:val="style0"/>
        <w:jc w:val="both"/>
      </w:pPr>
      <w:r>
        <w:rPr>
          <w:sz w:val="22"/>
          <w:szCs w:val="22"/>
          <w:rFonts w:ascii="DejaVu Sans" w:cs="Arial" w:hAnsi="DejaVu Sans"/>
          <w:lang w:val="es-ES"/>
        </w:rPr>
        <w:t>Lo característico de esta forma</w:t>
      </w:r>
      <w:r>
        <w:rPr>
          <w:sz w:val="22"/>
          <w:i/>
          <w:szCs w:val="22"/>
          <w:rFonts w:ascii="DejaVu Sans" w:cs="Arial" w:hAnsi="DejaVu Sans"/>
          <w:lang w:val="es-ES"/>
        </w:rPr>
        <w:t xml:space="preserve"> </w:t>
      </w:r>
      <w:r>
        <w:rPr>
          <w:sz w:val="22"/>
          <w:szCs w:val="22"/>
          <w:rFonts w:ascii="DejaVu Sans" w:cs="Arial" w:hAnsi="DejaVu Sans"/>
          <w:lang w:val="es-ES"/>
        </w:rPr>
        <w:t>de Estado es la vinculación entre los contenidos sociales y los concernientes al pluralismo. Desde esta tesis, la participación ciudadana es indispensable, tanto para ampliar los derechos que corresponden al cuerpo social, cuanto para ejercer un efectivo control vertical sobre los órganos del poder.</w:t>
      </w:r>
      <w:r>
        <w:rPr>
          <w:sz w:val="22"/>
          <w:i/>
          <w:szCs w:val="22"/>
          <w:rFonts w:ascii="DejaVu Sans" w:cs="Arial" w:hAnsi="DejaVu Sans"/>
          <w:lang w:val="es-ES"/>
        </w:rPr>
        <w:t xml:space="preserve"> </w:t>
      </w:r>
      <w:r>
        <w:rPr>
          <w:sz w:val="22"/>
          <w:szCs w:val="22"/>
          <w:rFonts w:ascii="DejaVu Sans" w:cs="Arial" w:hAnsi="DejaVu Sans"/>
          <w:lang w:val="es-ES"/>
        </w:rPr>
        <w:t>Un Estado que prescinde del pluralismo tiende aceleradamente al paternalismo, y de ahí a la adopción de formas dogmáticas de ejercicio de la autoridad.</w:t>
      </w:r>
    </w:p>
    <w:p>
      <w:pPr>
        <w:pStyle w:val="style0"/>
        <w:jc w:val="both"/>
      </w:pPr>
      <w:r>
        <w:rPr/>
      </w:r>
    </w:p>
    <w:p>
      <w:pPr>
        <w:pStyle w:val="style0"/>
        <w:jc w:val="both"/>
      </w:pPr>
      <w:r>
        <w:rPr>
          <w:sz w:val="22"/>
          <w:szCs w:val="22"/>
          <w:rFonts w:ascii="DejaVu Sans" w:cs="Arial" w:hAnsi="DejaVu Sans"/>
          <w:lang w:val="es-ES"/>
        </w:rPr>
        <w:t xml:space="preserve">En este </w:t>
      </w:r>
      <w:r>
        <w:rPr>
          <w:sz w:val="22"/>
          <w:szCs w:val="22"/>
          <w:rFonts w:ascii="DejaVu Sans" w:cs="Arial" w:hAnsi="DejaVu Sans"/>
        </w:rPr>
        <w:t>contexto las transformaciones que las sociedades tradicionales presentan, sus cambios estructurales (innovaciones económicas, políticas y sociales), las acciones sociales y la conformación de nuevas identidades, son fenómenos que han sido ampliamente estudiados. Arrogando así, en las  sociedades modernas un típico modelo industrial y tecnológico que conduce a una serie de cursos de acción, de efectos que provocan riesgo, contingencia y peligro no solo para el colectivo sino también para los individuos.</w:t>
      </w:r>
    </w:p>
    <w:p>
      <w:pPr>
        <w:pStyle w:val="style0"/>
        <w:jc w:val="both"/>
      </w:pPr>
      <w:r>
        <w:rPr>
          <w:sz w:val="22"/>
          <w:szCs w:val="22"/>
          <w:rFonts w:ascii="DejaVu Sans" w:cs="Arial" w:hAnsi="DejaVu Sans"/>
        </w:rPr>
        <w:t>“…</w:t>
      </w:r>
      <w:r>
        <w:rPr>
          <w:sz w:val="22"/>
          <w:szCs w:val="22"/>
          <w:rFonts w:ascii="DejaVu Sans" w:cs="Arial" w:hAnsi="DejaVu Sans"/>
        </w:rPr>
        <w:t xml:space="preserve">el tránsito de la época industrial a la de riesgo, se realiza anónima e imperceptiblemente en el curso de la modernización autónoma conforme al modelo de efectos colaterales latentes (”Alfie; 2000). </w:t>
      </w:r>
    </w:p>
    <w:p>
      <w:pPr>
        <w:pStyle w:val="style0"/>
        <w:jc w:val="both"/>
      </w:pPr>
      <w:r>
        <w:rPr/>
      </w:r>
    </w:p>
    <w:p>
      <w:pPr>
        <w:pStyle w:val="style0"/>
        <w:jc w:val="both"/>
      </w:pPr>
      <w:r>
        <w:rPr>
          <w:sz w:val="22"/>
          <w:szCs w:val="22"/>
          <w:rFonts w:ascii="DejaVu Sans" w:cs="Arial" w:hAnsi="DejaVu Sans"/>
        </w:rPr>
        <w:t>Es decir, que no es que las sociedades adopten un modelo de riesgo, sino que el propio desarrollo industrial conduce a esta opción no elegida, los procesos de modernización son ajenos a las consecuencias y peligros que cuestionan, denuncian y transforman los fundamentos de la sociedad.</w:t>
      </w:r>
    </w:p>
    <w:p>
      <w:pPr>
        <w:pStyle w:val="style0"/>
        <w:jc w:val="both"/>
      </w:pPr>
      <w:r>
        <w:rPr/>
      </w:r>
    </w:p>
    <w:p>
      <w:pPr>
        <w:pStyle w:val="style0"/>
        <w:jc w:val="both"/>
      </w:pPr>
      <w:r>
        <w:rPr>
          <w:sz w:val="22"/>
          <w:szCs w:val="22"/>
          <w:rFonts w:ascii="DejaVu Sans" w:cs="Arial" w:hAnsi="DejaVu Sans"/>
        </w:rPr>
        <w:t xml:space="preserve">En este sentido, la modernidad y sus efectos, genera la sociedad del riesgo, la cual  “…consiste en la presencia, cada vez mayor de decisiones arriesgadas dentro de la conducta cotidiana “la sociedad del riesgo, como dice Beck, referidos por los autores López,-Lujan (200), comienza donde termina la tradición, cuando, en todas las esferas de la vida, ya no podemos dar por supuestas las certidumbres tradicionales. </w:t>
      </w:r>
    </w:p>
    <w:p>
      <w:pPr>
        <w:pStyle w:val="style0"/>
        <w:jc w:val="both"/>
      </w:pPr>
      <w:r>
        <w:rPr/>
      </w:r>
    </w:p>
    <w:p>
      <w:pPr>
        <w:pStyle w:val="style0"/>
        <w:jc w:val="both"/>
      </w:pPr>
      <w:r>
        <w:rPr>
          <w:sz w:val="22"/>
          <w:szCs w:val="22"/>
          <w:rFonts w:ascii="DejaVu Sans" w:cs="Arial" w:hAnsi="DejaVu Sans"/>
        </w:rPr>
        <w:t>Por tal motivo, las sociedades modernas se confrontan con los fundamentos y límites de su propio modelo, así podemos distinguir tres ámbitos en lo que podemos observar lo anteriormente señalado. Siendo lo siguientes:</w:t>
      </w:r>
    </w:p>
    <w:p>
      <w:pPr>
        <w:pStyle w:val="style0"/>
        <w:numPr>
          <w:ilvl w:val="0"/>
          <w:numId w:val="3"/>
        </w:numPr>
        <w:jc w:val="both"/>
      </w:pPr>
      <w:r>
        <w:rPr>
          <w:sz w:val="22"/>
          <w:szCs w:val="22"/>
          <w:rFonts w:ascii="DejaVu Sans" w:cs="Arial" w:hAnsi="DejaVu Sans"/>
        </w:rPr>
        <w:t>La finitud de los re-cursos naturales que fueron degradados y utilizados de manera extensiva por las sociedades industriales.</w:t>
      </w:r>
    </w:p>
    <w:p>
      <w:pPr>
        <w:pStyle w:val="style0"/>
        <w:numPr>
          <w:ilvl w:val="0"/>
          <w:numId w:val="3"/>
        </w:numPr>
        <w:jc w:val="both"/>
      </w:pPr>
      <w:r>
        <w:rPr>
          <w:sz w:val="22"/>
          <w:szCs w:val="22"/>
          <w:rFonts w:ascii="DejaVu Sans" w:cs="Arial" w:hAnsi="DejaVu Sans"/>
        </w:rPr>
        <w:t>Los peligros suscitados por la sociedad industrial que llevan cuestionamiento profundo sobre la seguridad y abarcan el terreno o de las ciencias, las identidades,  a las acciones sociales y las decisiones políticas</w:t>
      </w:r>
    </w:p>
    <w:p>
      <w:pPr>
        <w:pStyle w:val="style0"/>
        <w:numPr>
          <w:ilvl w:val="0"/>
          <w:numId w:val="3"/>
        </w:numPr>
        <w:jc w:val="both"/>
      </w:pPr>
      <w:r>
        <w:rPr>
          <w:sz w:val="22"/>
          <w:szCs w:val="22"/>
          <w:rFonts w:ascii="DejaVu Sans" w:cs="Arial" w:hAnsi="DejaVu Sans"/>
        </w:rPr>
        <w:t>El deterioro, la descomposición y el desencanto de los referentes colectivos que mantenían unida a la colectividad (las ideas de progreso, la seguridad, etc.) (Alfie; 2000)</w:t>
      </w:r>
    </w:p>
    <w:p>
      <w:pPr>
        <w:pStyle w:val="style0"/>
        <w:jc w:val="both"/>
      </w:pPr>
      <w:r>
        <w:rPr/>
      </w:r>
    </w:p>
    <w:p>
      <w:pPr>
        <w:pStyle w:val="style0"/>
        <w:jc w:val="both"/>
      </w:pPr>
      <w:r>
        <w:rPr>
          <w:sz w:val="22"/>
          <w:szCs w:val="22"/>
          <w:rFonts w:ascii="DejaVu Sans" w:cs="Arial" w:hAnsi="DejaVu Sans"/>
        </w:rPr>
        <w:t>Desde estos señalamientos, la sociedad se crea consecuencias “negativas” que afectan la vida cotidiana de toda la población, destacando los peligros nucleares, derramamientos de pozos petroleros, las crisis económicas, el caos ecológico y la constitución de estados totalitarios. Ante estos riesgos da lugar a respuestas sociales, desde el estado adquiriendo compromisos políticos y desde la sociedad civil la aparición de movimientos sociales, que proclaman la participación democrática en todos estamentos de los espacios públicos.</w:t>
      </w:r>
    </w:p>
    <w:p>
      <w:pPr>
        <w:pStyle w:val="style0"/>
        <w:jc w:val="both"/>
      </w:pPr>
      <w:r>
        <w:rPr/>
      </w:r>
    </w:p>
    <w:p>
      <w:pPr>
        <w:pStyle w:val="style0"/>
        <w:jc w:val="both"/>
      </w:pPr>
      <w:r>
        <w:rPr>
          <w:sz w:val="22"/>
          <w:szCs w:val="22"/>
          <w:rFonts w:ascii="DejaVu Sans" w:cs="Arial" w:hAnsi="DejaVu Sans"/>
        </w:rPr>
        <w:t>Como ejemplo de lo  anterior, el desarrollo de la empresa Exxon Mobil, en un mundo moderno, industrializado y globalizado como señala el Steve COLL en su libro  Private Empire, documenta la extraordinaria capacidad que desarrolló esta empresa para minimizar los efectos de los cambios de escenario y contrarrestar aquellas iniciativas -de Gobiernos, compañías rivales u organizaciones no gubernamentales- que afectaban sus inter</w:t>
      </w:r>
      <w:bookmarkStart w:id="0" w:name="_GoBack"/>
      <w:bookmarkEnd w:id="0"/>
      <w:r>
        <w:rPr>
          <w:sz w:val="22"/>
          <w:szCs w:val="22"/>
          <w:rFonts w:ascii="DejaVu Sans" w:cs="Arial" w:hAnsi="DejaVu Sans"/>
        </w:rPr>
        <w:t>eses. Allí se visualizan los diferentes riesgos políticos, económicos y de poder que asumió la empresa para alcanzar el poder  monopolico, que ocasionaron un gran impacto en la sociedad.</w:t>
      </w:r>
    </w:p>
    <w:p>
      <w:pPr>
        <w:pStyle w:val="style0"/>
        <w:jc w:val="both"/>
      </w:pPr>
      <w:r>
        <w:rPr/>
      </w:r>
    </w:p>
    <w:p>
      <w:pPr>
        <w:pStyle w:val="style0"/>
        <w:jc w:val="both"/>
      </w:pPr>
      <w:r>
        <w:rPr>
          <w:sz w:val="22"/>
          <w:szCs w:val="22"/>
          <w:rFonts w:ascii="DejaVu Sans" w:cs="Arial" w:hAnsi="DejaVu Sans"/>
        </w:rPr>
        <w:t>Es la participación ciudadana la que se relaciona principalmente con la democracia, democracia participativa y democracia directa, la cual está basada en mecanismos para que la población tenga acceso a las decisiones del gobierno de manera independiente, sin necesidad de formar parte del gobierno o de un partido político, a sí como denunciar los diferentes riesgos y atropellos, que puedan generar empresas como EXXON al ambiente, al contexto y a la intromisión de la política del país. De</w:t>
      </w:r>
      <w:r>
        <w:rPr>
          <w:sz w:val="22"/>
          <w:szCs w:val="22"/>
          <w:rFonts w:ascii="DejaVu Sans" w:cs="Arial" w:hAnsi="DejaVu Sans"/>
          <w:lang w:val="es-ES"/>
        </w:rPr>
        <w:t xml:space="preserve"> igual manera, los </w:t>
      </w:r>
      <w:r>
        <w:rPr>
          <w:sz w:val="22"/>
          <w:szCs w:val="22"/>
          <w:rFonts w:ascii="DejaVu Sans" w:cs="Arial" w:hAnsi="DejaVu Sans"/>
        </w:rPr>
        <w:t>términos como transparencia y acceso a la información, organizaciones de la sociedad civil y mecanismos de democracia participativa o semidirecta como el referéndum, el plebiscito, la iniciativa y la consulta popular, y la revocación de mandato, son indispensables para entender la participación ciudadana en los sistemas políticos contemporáneos.</w:t>
      </w:r>
    </w:p>
    <w:p>
      <w:pPr>
        <w:pStyle w:val="style0"/>
        <w:jc w:val="both"/>
      </w:pPr>
      <w:r>
        <w:rPr>
          <w:sz w:val="22"/>
          <w:szCs w:val="22"/>
          <w:rFonts w:ascii="DejaVu Sans" w:cs="Arial" w:hAnsi="DejaVu Sans"/>
          <w:lang w:val="es-ES"/>
        </w:rPr>
        <w:t>L</w:t>
      </w:r>
      <w:r>
        <w:rPr>
          <w:sz w:val="22"/>
          <w:szCs w:val="22"/>
          <w:rFonts w:ascii="DejaVu Sans" w:cs="Arial" w:hAnsi="DejaVu Sans"/>
        </w:rPr>
        <w:t>a  intervención de la sociedad civil, se hace cada día más necesaria, en demandar mayores espacios de opinión y acción pública conducen a acuerdos e instituciones más representativas, que son movilizados por la distribución del riesgo constantemente. Para los colectivos,  el riesgo, consiste en la presencia, cada vez mayor, de decisiones arriesgadas dentro de la conducta cotidiana.   Lo que comprende entonces, la participación social organizada de los ciudadanos como un aspecto fundamental en la toma de decisiones. Esto conduce a la sociedad y sus organizaciones, que  deben tomar parte en la formulación, ejecución y evaluación de las políticas públicas, así como en las tareas de contraloría social sobre el desempeño de los servidores públicos. De igual manera, propone establecer una política de firme aliento a la participación de los ciudadanos y de las organizaciones civiles en diversas áreas de la administración pública</w:t>
      </w:r>
      <w:r>
        <w:rPr>
          <w:color w:val="FF0000"/>
          <w:sz w:val="22"/>
          <w:szCs w:val="22"/>
          <w:rFonts w:ascii="DejaVu Sans" w:cs="Arial" w:hAnsi="DejaVu Sans"/>
        </w:rPr>
        <w:t>.</w:t>
      </w:r>
    </w:p>
    <w:p>
      <w:pPr>
        <w:pStyle w:val="style0"/>
        <w:jc w:val="both"/>
      </w:pPr>
      <w:r>
        <w:rPr/>
      </w:r>
    </w:p>
    <w:p>
      <w:pPr>
        <w:pStyle w:val="style0"/>
        <w:jc w:val="both"/>
      </w:pPr>
      <w:r>
        <w:rPr>
          <w:color w:val="000000"/>
          <w:sz w:val="22"/>
          <w:szCs w:val="22"/>
          <w:rFonts w:ascii="DejaVu Sans" w:cs="Arial" w:hAnsi="DejaVu Sans"/>
        </w:rPr>
        <w:t>Así mismo, la participación ciudadana supone que los ciudadanos tomen</w:t>
      </w:r>
      <w:r>
        <w:rPr>
          <w:sz w:val="22"/>
          <w:szCs w:val="22"/>
          <w:rFonts w:ascii="DejaVu Sans" w:cs="Times New Roman" w:hAnsi="DejaVu Sans"/>
        </w:rPr>
        <w:t xml:space="preserve"> </w:t>
      </w:r>
      <w:r>
        <w:rPr>
          <w:color w:val="000000"/>
          <w:sz w:val="22"/>
          <w:szCs w:val="22"/>
          <w:rFonts w:ascii="DejaVu Sans" w:cs="Arial" w:hAnsi="DejaVu Sans"/>
        </w:rPr>
        <w:t>parte en alguna actividad pública, ya que este tipo de participación se diferencia</w:t>
      </w:r>
      <w:r>
        <w:rPr>
          <w:sz w:val="22"/>
          <w:szCs w:val="22"/>
          <w:rFonts w:ascii="DejaVu Sans" w:cs="Times New Roman" w:hAnsi="DejaVu Sans"/>
        </w:rPr>
        <w:t xml:space="preserve"> </w:t>
      </w:r>
      <w:r>
        <w:rPr>
          <w:color w:val="000000"/>
          <w:sz w:val="22"/>
          <w:szCs w:val="22"/>
          <w:rFonts w:ascii="DejaVu Sans" w:cs="Arial" w:hAnsi="DejaVu Sans"/>
        </w:rPr>
        <w:t>de otros tipos puesto que, la participación ciudadana plantea una relación expresa</w:t>
      </w:r>
      <w:r>
        <w:rPr>
          <w:sz w:val="22"/>
          <w:szCs w:val="22"/>
          <w:rFonts w:ascii="DejaVu Sans" w:cs="Times New Roman" w:hAnsi="DejaVu Sans"/>
        </w:rPr>
        <w:t xml:space="preserve"> </w:t>
      </w:r>
      <w:r>
        <w:rPr>
          <w:color w:val="000000"/>
          <w:sz w:val="22"/>
          <w:szCs w:val="22"/>
          <w:rFonts w:ascii="DejaVu Sans" w:cs="Arial" w:hAnsi="DejaVu Sans"/>
        </w:rPr>
        <w:t>con la actividad pública en tanto portadores de intereses sociales, siendo entonces</w:t>
      </w:r>
      <w:r>
        <w:rPr>
          <w:sz w:val="22"/>
          <w:szCs w:val="22"/>
          <w:rFonts w:ascii="DejaVu Sans" w:cs="Times New Roman" w:hAnsi="DejaVu Sans"/>
        </w:rPr>
        <w:t xml:space="preserve"> </w:t>
      </w:r>
      <w:r>
        <w:rPr>
          <w:color w:val="000000"/>
          <w:sz w:val="22"/>
          <w:szCs w:val="22"/>
          <w:rFonts w:ascii="DejaVu Sans" w:cs="Arial" w:hAnsi="DejaVu Sans"/>
        </w:rPr>
        <w:t>un complemento de la democracia representativa (Cunill, 1991).</w:t>
      </w:r>
    </w:p>
    <w:p>
      <w:pPr>
        <w:pStyle w:val="style0"/>
        <w:jc w:val="both"/>
      </w:pPr>
      <w:r>
        <w:rPr/>
      </w:r>
    </w:p>
    <w:p>
      <w:pPr>
        <w:pStyle w:val="style0"/>
        <w:jc w:val="both"/>
      </w:pPr>
      <w:r>
        <w:rPr>
          <w:color w:val="000000"/>
          <w:sz w:val="22"/>
          <w:szCs w:val="22"/>
          <w:rFonts w:ascii="DejaVu Sans" w:cs="Arial" w:hAnsi="DejaVu Sans"/>
        </w:rPr>
        <w:t>La participación ciudadana dentro del sistema tiene la necesidad de restaurar las relaciones del estado con la sociedad como medio para superar la crisis económica, política y social, así como los conflictos de riesgo;  esta función es llamada por Cunill “la reforma del Estado, el desarrollo y las perspectivas de la participación ciudadana”.</w:t>
      </w:r>
    </w:p>
    <w:p>
      <w:pPr>
        <w:pStyle w:val="style0"/>
        <w:jc w:val="both"/>
      </w:pPr>
      <w:r>
        <w:rPr/>
      </w:r>
    </w:p>
    <w:p>
      <w:pPr>
        <w:pStyle w:val="style0"/>
        <w:jc w:val="both"/>
      </w:pPr>
      <w:r>
        <w:rPr>
          <w:color w:val="000000"/>
          <w:sz w:val="22"/>
          <w:szCs w:val="22"/>
          <w:rFonts w:ascii="DejaVu Sans" w:cs="Arial" w:hAnsi="DejaVu Sans"/>
        </w:rPr>
        <w:t>En Venezuela con la aprobación del nuevo texto constitucional en 1999,  da un nuevo impulso a las formas participativas posibilitando la aparición de diversos</w:t>
      </w:r>
      <w:r>
        <w:rPr>
          <w:sz w:val="22"/>
          <w:szCs w:val="22"/>
          <w:rFonts w:ascii="DejaVu Sans" w:cs="Times New Roman" w:hAnsi="DejaVu Sans"/>
        </w:rPr>
        <w:t xml:space="preserve"> </w:t>
      </w:r>
      <w:r>
        <w:rPr>
          <w:color w:val="000000"/>
          <w:sz w:val="22"/>
          <w:szCs w:val="22"/>
          <w:rFonts w:ascii="DejaVu Sans" w:cs="Arial" w:hAnsi="DejaVu Sans"/>
        </w:rPr>
        <w:t xml:space="preserve">tipos de las mismas. En el texto constitucional existen, al menos, unos 70 artículos que promueven la participación ciudadana en varios aspectos de la vida pública del país. (Machado; 2009). Algunos de ellos hacen alusión directa a la participación popular, como los consejos comunales, que son la organización social más extendida y numerosa actualmente y quizá en todo la historia de la organización para la participación social del país. </w:t>
      </w:r>
    </w:p>
    <w:p>
      <w:pPr>
        <w:pStyle w:val="style0"/>
        <w:jc w:val="both"/>
      </w:pPr>
      <w:r>
        <w:rPr/>
      </w:r>
    </w:p>
    <w:p>
      <w:pPr>
        <w:pStyle w:val="style0"/>
        <w:jc w:val="both"/>
      </w:pPr>
      <w:r>
        <w:rPr>
          <w:color w:val="000000"/>
          <w:sz w:val="22"/>
          <w:szCs w:val="22"/>
          <w:rFonts w:ascii="DejaVu Sans" w:cs="Arial" w:hAnsi="DejaVu Sans"/>
        </w:rPr>
        <w:t>Sin embargo, su aparición y desarrollo, ha evolucionado bajo un contexto de incertidumbre y de riesgo organizacional, que lleva  a los Concejos Comunales a estar  desarticulada de la sociedad civil. Su trabajo se  ha definido como un brazo ejecutor de las políticas publicas del gobierno y ha pasado a formar parte del poder popular legalmente constituido. Su accionar ha merecido diferentes criticas, los conflictos de riesgo que han protagonizado, pasa desde sus constitución, sus competencias que le han trasladado desde el gobierno a los consejos comunales. Desde este punto, de vista se caracterizan como espacios políticos, donde actúa el gobierno para cristalizar su ideología política. A partir de esta realidad se describe en el apartado inferior, los resultados y posiciones de algunos autores, y actores sociales con respecto a los consejos comunales, lo cual nos ha permitido relacionarlo con el riesgo de la participación como herramienta para la toma de decisiones de lo publico y en la vida cotidiana de la comunidad.</w:t>
      </w:r>
    </w:p>
    <w:p>
      <w:pPr>
        <w:pStyle w:val="style0"/>
        <w:jc w:val="both"/>
      </w:pPr>
      <w:r>
        <w:rPr/>
      </w:r>
    </w:p>
    <w:p>
      <w:pPr>
        <w:pStyle w:val="style0"/>
        <w:jc w:val="both"/>
      </w:pPr>
      <w:r>
        <w:rPr>
          <w:sz w:val="22"/>
          <w:u w:val="single"/>
          <w:b/>
          <w:szCs w:val="22"/>
          <w:rFonts w:ascii="DejaVu Sans" w:cs="Arial" w:hAnsi="DejaVu Sans"/>
        </w:rPr>
        <w:t>Los Consejos Comunales: Riesgo y  Participación.</w:t>
      </w:r>
    </w:p>
    <w:p>
      <w:pPr>
        <w:pStyle w:val="style0"/>
        <w:jc w:val="both"/>
      </w:pPr>
      <w:r>
        <w:rPr/>
      </w:r>
    </w:p>
    <w:p>
      <w:pPr>
        <w:pStyle w:val="style0"/>
        <w:jc w:val="both"/>
      </w:pPr>
      <w:r>
        <w:rPr>
          <w:sz w:val="22"/>
          <w:szCs w:val="22"/>
          <w:bCs/>
          <w:rFonts w:ascii="DejaVu Sans" w:cs="Arial" w:eastAsia="Times New Roman" w:hAnsi="DejaVu Sans"/>
          <w:lang w:eastAsia="ar-SA" w:val="es-MX"/>
        </w:rPr>
        <w:t xml:space="preserve">Los Consejos comunales se le han señalado  como expresiones de organización y participación ciudadana; por lo tanto son parte de la sociedad civil. En su actividad diaria establecen relaciones con su propia comunidad, con otras organizaciones de su entorno inmediato o área temática, con entidades estatales y con organizaciones empresariales. Además, estas  organizaciones comunitarias se encuentran reguladas; tanto por el marco constitucional como por leyes especiales y ordinarias específicas, además de sus propias normas. </w:t>
      </w:r>
    </w:p>
    <w:p>
      <w:pPr>
        <w:pStyle w:val="style0"/>
        <w:jc w:val="both"/>
      </w:pPr>
      <w:r>
        <w:rPr/>
      </w:r>
    </w:p>
    <w:p>
      <w:pPr>
        <w:pStyle w:val="style0"/>
        <w:jc w:val="both"/>
      </w:pPr>
      <w:r>
        <w:rPr>
          <w:sz w:val="22"/>
          <w:szCs w:val="22"/>
          <w:bCs/>
          <w:rFonts w:ascii="DejaVu Sans" w:cs="Arial" w:eastAsia="Times New Roman" w:hAnsi="DejaVu Sans"/>
          <w:lang w:eastAsia="ar-SA"/>
        </w:rPr>
        <w:t xml:space="preserve">Igualmente, son </w:t>
      </w:r>
      <w:r>
        <w:rPr>
          <w:sz w:val="22"/>
          <w:szCs w:val="22"/>
          <w:bCs/>
          <w:rFonts w:ascii="DejaVu Sans" w:cs="Arial" w:eastAsia="Times New Roman" w:hAnsi="DejaVu Sans"/>
          <w:lang w:eastAsia="ar-SA" w:val="es-MX"/>
        </w:rPr>
        <w:t xml:space="preserve">expresión del ejercicio legítimo de los derechos humanos a la libre asociación y participación. </w:t>
      </w:r>
      <w:r>
        <w:rPr>
          <w:sz w:val="22"/>
          <w:szCs w:val="22"/>
          <w:rFonts w:ascii="DejaVu Sans" w:cs="Arial" w:eastAsia="Times New Roman" w:hAnsi="DejaVu Sans"/>
          <w:lang w:eastAsia="ar-SA"/>
        </w:rPr>
        <w:t>Desde esta tesis, los consejos comunales son organizaciones novedosas y creativas dentro de un escenario socio comunitario, constituyendo una nueva institución de la República Bolivariana de Venezuela, que aportan y participan en los problemas públicos que aquejan a la colectividad. Su inicio, organización y funciones están fundamentados en la Ley de los Consejos Comunales (2009)</w:t>
      </w:r>
    </w:p>
    <w:p>
      <w:pPr>
        <w:pStyle w:val="style0"/>
        <w:jc w:val="both"/>
      </w:pPr>
      <w:r>
        <w:rPr/>
      </w:r>
    </w:p>
    <w:p>
      <w:pPr>
        <w:pStyle w:val="style0"/>
        <w:jc w:val="both"/>
      </w:pPr>
      <w:r>
        <w:rPr>
          <w:sz w:val="22"/>
          <w:szCs w:val="22"/>
          <w:rFonts w:ascii="DejaVu Sans" w:cs="Arial" w:eastAsia="Times New Roman" w:hAnsi="DejaVu Sans"/>
          <w:lang w:eastAsia="ar-SA"/>
        </w:rPr>
        <w:t>Ya para el 2006, la nueva Ley  revisada y ampliada de los Consejos Comunales, les da un carácter de ejecutor de políticas públicas, no solamente en la gestión, sino también financiera. Es necesario señalar, que los consejos comunales antes de la ley, funcionaban e inspirados por las mismas comunidades. Sin embargo, desde su nacimiento y actualmente están marcados por un contexto de riesgo, incertidumbre y caos, donde el gobierno adopta postura populistas, apoyados por movimientos emergentes como, los círculos bolivarianos, salas de batallas, puntos rojos y los mismos consejos comunales adeptos al gobierno.</w:t>
      </w:r>
    </w:p>
    <w:p>
      <w:pPr>
        <w:pStyle w:val="style0"/>
        <w:jc w:val="both"/>
      </w:pPr>
      <w:r>
        <w:rPr/>
      </w:r>
    </w:p>
    <w:p>
      <w:pPr>
        <w:pStyle w:val="style0"/>
        <w:jc w:val="both"/>
      </w:pPr>
      <w:r>
        <w:rPr>
          <w:sz w:val="22"/>
          <w:szCs w:val="22"/>
          <w:rFonts w:ascii="DejaVu Sans" w:cs="Arial" w:eastAsia="Times New Roman" w:hAnsi="DejaVu Sans"/>
          <w:lang w:eastAsia="ar-SA"/>
        </w:rPr>
        <w:t xml:space="preserve">Según información de Fundacomunal, citado por </w:t>
      </w:r>
      <w:r>
        <w:rPr>
          <w:sz w:val="22"/>
          <w:szCs w:val="22"/>
          <w:rFonts w:ascii="DejaVu Sans" w:cs="Arial" w:eastAsia="Calibri" w:hAnsi="DejaVu Sans"/>
          <w:lang w:eastAsia="ar-SA"/>
        </w:rPr>
        <w:t>Gumilla; 2008), para el mes de marzo de 2008, estaban contabilizados 26.143 consejos comunales conformados y otros 10.669 en proceso de conformación, lo que totalizarían unos 36.812 consejos comunales. En vista del desarrollo de la figura de los consejos comunales creados muestra el grado de apropiación de esta iniciativa por parte de los sectores populares fundamentalmente.</w:t>
      </w:r>
    </w:p>
    <w:p>
      <w:pPr>
        <w:pStyle w:val="style0"/>
        <w:jc w:val="both"/>
      </w:pPr>
      <w:r>
        <w:rPr>
          <w:sz w:val="22"/>
          <w:szCs w:val="22"/>
          <w:rFonts w:ascii="DejaVu Sans" w:cs="Arial" w:eastAsia="Times New Roman" w:hAnsi="DejaVu Sans"/>
          <w:lang w:eastAsia="ar-SA"/>
        </w:rPr>
        <w:t xml:space="preserve">   </w:t>
      </w:r>
    </w:p>
    <w:p>
      <w:pPr>
        <w:pStyle w:val="style0"/>
        <w:jc w:val="both"/>
      </w:pPr>
      <w:r>
        <w:rPr>
          <w:sz w:val="22"/>
          <w:szCs w:val="22"/>
          <w:rFonts w:ascii="DejaVu Sans" w:cs="Arial" w:eastAsia="Times New Roman" w:hAnsi="DejaVu Sans"/>
          <w:lang w:eastAsia="ar-SA"/>
        </w:rPr>
        <w:t>Actualmente se ha reportados en los medios impresos, existen  organizaciones que no han podido registrarse en Fundacomunal, por ser de otra tendencia política al gobierno de turno. “1000 consejos comunales que no han podido registrarse en Fundacomunal…en muchos casos se niegan la certificación por razones políticas” (Ariana Guevara. Consejos comunales formaron un frente para combatir la exclusión El Nacional; 27 de marzo 2011). Posiblemente, el número de consejos comunales ha crecido en estos últimos tiempos, como otros están gestionando funcionalmente sin carácter legal.</w:t>
      </w:r>
    </w:p>
    <w:p>
      <w:pPr>
        <w:pStyle w:val="style0"/>
        <w:jc w:val="both"/>
      </w:pPr>
      <w:r>
        <w:rPr/>
      </w:r>
    </w:p>
    <w:p>
      <w:pPr>
        <w:pStyle w:val="style0"/>
        <w:jc w:val="both"/>
      </w:pPr>
      <w:r>
        <w:rPr>
          <w:sz w:val="22"/>
          <w:szCs w:val="22"/>
          <w:rFonts w:ascii="DejaVu Sans" w:cs="Arial" w:eastAsia="Times New Roman" w:hAnsi="DejaVu Sans"/>
          <w:lang w:eastAsia="ar-SA"/>
        </w:rPr>
        <w:t>La última data obtenida de Fundacomunal cerrando el 2011, se contabilizan 37.665. No conocemos información organizada, que refleje cuantas personas están involucradas de manera directa en la organización y funcionamiento de los consejos comunales, lo que hace difícil la cobertura poblacional exacta de los mismos. Aun así, las estimaciones posibles que podamos hacer estarían señalando   que gran cantidad de personas están involucradas en las mismas.</w:t>
      </w:r>
    </w:p>
    <w:p>
      <w:pPr>
        <w:pStyle w:val="style0"/>
        <w:jc w:val="both"/>
      </w:pPr>
      <w:r>
        <w:rPr/>
      </w:r>
    </w:p>
    <w:p>
      <w:pPr>
        <w:pStyle w:val="style0"/>
        <w:jc w:val="both"/>
      </w:pPr>
      <w:r>
        <w:rPr>
          <w:sz w:val="22"/>
          <w:szCs w:val="22"/>
          <w:rFonts w:ascii="DejaVu Sans" w:cs="Arial" w:eastAsia="Times New Roman" w:hAnsi="DejaVu Sans"/>
          <w:lang w:eastAsia="ar-SA" w:val="es-ES"/>
        </w:rPr>
        <w:t xml:space="preserve">Si bien es cierto, que los consejos comunales desde su origen son para resolver los problemas más cercanos a su localidad han nacido bajo un conflicto del riesgo, donde una diversidad de actores pugnan en el contexto y participan en el impacto (lopez-lujan;2000) existiendo  contradicciones como la exclusión de consejos comunales por su posición territorial, indiferencias, actores institucionales se contradicen  y expresan reacciones autoritarias y centralistas bajo un poder que no le corresponde, sino a todos como una capacidad de incidir en su comunidad.   </w:t>
      </w:r>
    </w:p>
    <w:p>
      <w:pPr>
        <w:pStyle w:val="style0"/>
        <w:jc w:val="both"/>
      </w:pPr>
      <w:r>
        <w:rPr/>
      </w:r>
    </w:p>
    <w:p>
      <w:pPr>
        <w:pStyle w:val="style0"/>
        <w:jc w:val="both"/>
      </w:pPr>
      <w:r>
        <w:rPr>
          <w:sz w:val="22"/>
          <w:szCs w:val="22"/>
          <w:rFonts w:ascii="DejaVu Sans" w:cs="Arial" w:eastAsia="Times New Roman" w:hAnsi="DejaVu Sans"/>
          <w:lang w:eastAsia="ar-SA"/>
        </w:rPr>
        <w:t>Lo que es evidente, partiendo de los datos, es que los consejos comunales son la forma organizativa, fundamentalmente popular, con mayor extensión, número de miembros y mayor cobertura en Venezuela, que muestra niveles de movilización y participación comunitaria considerables. Al respecto, el Centro Gumilla, realizó un estudio de los Consejos Comunales en Venezuela, 2008, el en cual estableció realizar investigaciones exploratorias sobre el funcionamiento de los consejos Comunales en el país sobre una  muestra de 1138 consejos comunales en varias regiones del territorio  venezolano. El estudio permitió algunos hallazgos importantes como:</w:t>
      </w:r>
    </w:p>
    <w:p>
      <w:pPr>
        <w:pStyle w:val="style0"/>
        <w:jc w:val="both"/>
      </w:pPr>
      <w:r>
        <w:rPr/>
      </w:r>
    </w:p>
    <w:p>
      <w:pPr>
        <w:pStyle w:val="style0"/>
        <w:numPr>
          <w:ilvl w:val="0"/>
          <w:numId w:val="1"/>
        </w:numPr>
        <w:jc w:val="both"/>
      </w:pPr>
      <w:r>
        <w:rPr>
          <w:sz w:val="22"/>
          <w:szCs w:val="22"/>
          <w:rFonts w:ascii="DejaVu Sans" w:cs="Arial" w:eastAsia="Times New Roman" w:hAnsi="DejaVu Sans"/>
          <w:lang w:eastAsia="ar-SA"/>
        </w:rPr>
        <w:t>La motivación que empuja a los CC crearse les permite resolver temas que afecta de manera directa a cada habitante de los espacios sociales en donde están asentadas las comunidades populares.</w:t>
      </w:r>
    </w:p>
    <w:p>
      <w:pPr>
        <w:pStyle w:val="style0"/>
        <w:numPr>
          <w:ilvl w:val="0"/>
          <w:numId w:val="1"/>
        </w:numPr>
        <w:jc w:val="both"/>
      </w:pPr>
      <w:r>
        <w:rPr>
          <w:sz w:val="22"/>
          <w:szCs w:val="22"/>
          <w:rFonts w:ascii="DejaVu Sans" w:cs="Arial" w:eastAsia="Times New Roman" w:hAnsi="DejaVu Sans"/>
          <w:lang w:eastAsia="ar-SA"/>
        </w:rPr>
        <w:t>Una motivación para el diagnóstico social, elaboración de propuestas y proyectos y realizar las gestiones ante los organismos gubernamentales correspondientes.</w:t>
      </w:r>
    </w:p>
    <w:p>
      <w:pPr>
        <w:pStyle w:val="style0"/>
        <w:numPr>
          <w:ilvl w:val="0"/>
          <w:numId w:val="1"/>
        </w:numPr>
        <w:jc w:val="both"/>
      </w:pPr>
      <w:r>
        <w:rPr>
          <w:sz w:val="22"/>
          <w:szCs w:val="22"/>
          <w:rFonts w:ascii="DejaVu Sans" w:cs="Arial" w:eastAsia="Times New Roman" w:hAnsi="DejaVu Sans"/>
          <w:lang w:eastAsia="ar-SA"/>
        </w:rPr>
        <w:t>Son un medio para la organización comunitaria y posibilita resolver problemas de mejora de la calidad de vida de las personas de los medios populares. Los proyectos están dirigidos para viviendas 33%, red de agua potable y servidas 21%; vialidad 15%; electrificación 14%; obras relacionadas con el deporte 13%; construcción sede de CC 12%; obras de escuelas 12%; aceras, caminarías, escaleras10%; plazas, parques</w:t>
      </w:r>
    </w:p>
    <w:p>
      <w:pPr>
        <w:pStyle w:val="style0"/>
        <w:numPr>
          <w:ilvl w:val="0"/>
          <w:numId w:val="1"/>
        </w:numPr>
        <w:jc w:val="both"/>
      </w:pPr>
      <w:r>
        <w:rPr>
          <w:sz w:val="22"/>
          <w:szCs w:val="22"/>
          <w:rFonts w:ascii="DejaVu Sans" w:cs="Arial" w:eastAsia="Times New Roman" w:hAnsi="DejaVu Sans"/>
          <w:lang w:eastAsia="ar-SA"/>
        </w:rPr>
        <w:t>Dentro de los problemas que más confrontan los consejos comunales los podemos agrupar en tres bloques, presentados en orden decreciente, los problemas que están centrados en las dinámicas internas y deficiencias de los consejos comunales 34%, en segundo orden situaciones atribuidas a los organismos gubernamentales 24%. El  tercer lugar es para la falta de participación de la comunidad 18%.</w:t>
      </w:r>
    </w:p>
    <w:p>
      <w:pPr>
        <w:pStyle w:val="style0"/>
        <w:jc w:val="both"/>
      </w:pPr>
      <w:r>
        <w:rPr/>
      </w:r>
    </w:p>
    <w:p>
      <w:pPr>
        <w:pStyle w:val="style0"/>
        <w:jc w:val="both"/>
      </w:pPr>
      <w:r>
        <w:rPr>
          <w:sz w:val="22"/>
          <w:szCs w:val="22"/>
          <w:rFonts w:ascii="DejaVu Sans" w:cs="Arial" w:eastAsia="Times New Roman" w:hAnsi="DejaVu Sans"/>
          <w:lang w:eastAsia="ar-SA"/>
        </w:rPr>
        <w:t>Otro elemento importante destacar en el estudio, los hallazgos obtenidos tiene unas implicaciones con amplia repercusión en el  modelo de Estado. Dado que la función del Estado no se realiza  del modo tradicional a través de una burocracia especializada sino a partir de los recursos monetarios, técnicos y humanos públicos puesto a disposición mediante transferencias a las comunidades para la concreción de proyectos presentados por los consejos comunales, implicando  el modelamiento de nuevas relaciones del Estado-gobierno-comunidades-ciudadanos.</w:t>
      </w:r>
    </w:p>
    <w:p>
      <w:pPr>
        <w:pStyle w:val="style0"/>
        <w:jc w:val="both"/>
      </w:pPr>
      <w:r>
        <w:rPr/>
      </w:r>
    </w:p>
    <w:p>
      <w:pPr>
        <w:pStyle w:val="style0"/>
        <w:jc w:val="both"/>
      </w:pPr>
      <w:r>
        <w:rPr>
          <w:color w:val="000000"/>
          <w:sz w:val="22"/>
          <w:szCs w:val="22"/>
          <w:rFonts w:ascii="DejaVu Sans" w:cs="Arial" w:hAnsi="DejaVu Sans"/>
        </w:rPr>
        <w:t>Un tema que continúa vigente es la poca  autonomía de las organizaciones civiles, como las nuevas figuras, consejos comunales y otros movimientos, que no solamente tomando en cuenta la intrusión de los partidos políticos, sino enfatizando la injerencia del Estado –y su visión comunal.</w:t>
      </w:r>
    </w:p>
    <w:p>
      <w:pPr>
        <w:pStyle w:val="style0"/>
        <w:jc w:val="both"/>
      </w:pPr>
      <w:r>
        <w:rPr/>
      </w:r>
    </w:p>
    <w:p>
      <w:pPr>
        <w:pStyle w:val="style0"/>
        <w:jc w:val="both"/>
      </w:pPr>
      <w:r>
        <w:rPr>
          <w:sz w:val="22"/>
          <w:szCs w:val="22"/>
          <w:rFonts w:ascii="DejaVu Sans" w:cs="Arial" w:hAnsi="DejaVu Sans"/>
        </w:rPr>
        <w:t xml:space="preserve">De la misma manera, las organizaciones comunitarias o los colectivos, como suelen llamarlos,  para avanzar en la consolidación de los espacios urbanos y la regularización de los servicios públicos, podemos distinguir entre las instancias de participación que han logrado sobrellevar la intromisión del Estado y aquellas que están en riesgo de perder independencia o sucumbir. Al respecto, volviendo a los Consejos Comunales, por ejemplo, son vulnerables en la toma de las decisiones, en la controlaría social, en la ejecución de proyectos y en  la  incidencia en lo público. </w:t>
      </w:r>
    </w:p>
    <w:p>
      <w:pPr>
        <w:pStyle w:val="style0"/>
        <w:jc w:val="both"/>
      </w:pPr>
      <w:r>
        <w:rPr/>
      </w:r>
    </w:p>
    <w:p>
      <w:pPr>
        <w:pStyle w:val="style0"/>
        <w:jc w:val="both"/>
      </w:pPr>
      <w:r>
        <w:rPr>
          <w:sz w:val="22"/>
          <w:szCs w:val="22"/>
          <w:rFonts w:ascii="DejaVu Sans" w:cs="Arial" w:eastAsia="Times New Roman" w:hAnsi="DejaVu Sans"/>
          <w:lang w:eastAsia="ar-SA"/>
        </w:rPr>
        <w:t>Sin embargo, pese a la inyección de recursos y la promulgación de una Ley Orgánica que los rige, el burocratismo, la tardanza de las respuestas instituciones y la corrupción afecta la acción comunitaria, señalamientos, que realiza la periodista Andriana Rivera en su artículo del Nacional,  denominado; Los consejos Comunales se desinflan” (22 de Enero de 2012) estudio en el Barrio Unión de Petare. Un vecino señala:   “La mayoría de las cosas muere sin respuesta. La gente se frustra y siente que tiene poco alcance, se preguntan qué hacen allí. Un proyecto solapa a otro y se suman los asuntos sin resolver”; Otro relato de un vecino ilustra: ”hemos pasado de un mismo problema 18 comunicados  y no nos han contestado ni una sola vez. Eso es falto de voluntad de los gobiernos. Sencillamente no hay respuesta ni con materiales ni con recursos”.</w:t>
      </w:r>
    </w:p>
    <w:p>
      <w:pPr>
        <w:pStyle w:val="style0"/>
        <w:jc w:val="both"/>
      </w:pPr>
      <w:r>
        <w:rPr/>
      </w:r>
    </w:p>
    <w:p>
      <w:pPr>
        <w:pStyle w:val="style0"/>
        <w:jc w:val="both"/>
      </w:pPr>
      <w:r>
        <w:rPr>
          <w:sz w:val="22"/>
          <w:szCs w:val="22"/>
          <w:rFonts w:ascii="DejaVu Sans" w:cs="Arial" w:eastAsia="Times New Roman" w:hAnsi="DejaVu Sans"/>
          <w:lang w:eastAsia="ar-SA"/>
        </w:rPr>
        <w:t xml:space="preserve">Continuando, con el artículo de Rivera, los niveles de desconfianza de los consejos comunales se comparan con los partidos políticos y sindicatos. La fuente del Centro Gumilla, ubica 0,40 por encima  de los partidos políticos con 0,39%. </w:t>
      </w:r>
    </w:p>
    <w:p>
      <w:pPr>
        <w:pStyle w:val="style0"/>
        <w:jc w:val="both"/>
      </w:pPr>
      <w:r>
        <w:rPr/>
      </w:r>
    </w:p>
    <w:p>
      <w:pPr>
        <w:pStyle w:val="style0"/>
        <w:jc w:val="both"/>
      </w:pPr>
      <w:r>
        <w:rPr>
          <w:sz w:val="22"/>
          <w:szCs w:val="22"/>
          <w:rFonts w:ascii="DejaVu Sans" w:cs="Arial" w:hAnsi="DejaVu Sans"/>
        </w:rPr>
        <w:t xml:space="preserve">Sin embargo, el estado le ha otorgado funciones, que genera confusión con las competencias con las alcaldías.  Uno de los ejercicios más recientes es asignarle un presupuesto para la ejecución de proyectos, en el cual no se conoce la gestión de los mismos para comparar las organizaciones exitosas en este aspecto. </w:t>
      </w:r>
    </w:p>
    <w:p>
      <w:pPr>
        <w:pStyle w:val="style0"/>
        <w:jc w:val="both"/>
      </w:pPr>
      <w:r>
        <w:rPr/>
      </w:r>
    </w:p>
    <w:p>
      <w:pPr>
        <w:pStyle w:val="style0"/>
        <w:jc w:val="both"/>
      </w:pPr>
      <w:r>
        <w:rPr>
          <w:sz w:val="22"/>
          <w:szCs w:val="22"/>
          <w:rFonts w:ascii="DejaVu Sans" w:cs="Arial" w:eastAsia="Times New Roman" w:hAnsi="DejaVu Sans"/>
          <w:lang w:eastAsia="ar-SA"/>
        </w:rPr>
        <w:t>El sociólogo Juan Carlos Centeno, experto en políticas  públicas, entrevistado  en el Nacional (22 Enero, 2012), señala que los “CC son un aparato para centralizar las misiones”. Considera que la Ley del Consejo Locales de Planificación (2002) le otorgaba una figura que desidia en conjunto con el alcalde que planes de desarrollo municipal se podían ejecutar en función del presupuesto asignado o por asignar y se podía realizar una verdadera contraloría social.</w:t>
      </w:r>
    </w:p>
    <w:p>
      <w:pPr>
        <w:pStyle w:val="style0"/>
        <w:jc w:val="both"/>
      </w:pPr>
      <w:r>
        <w:rPr/>
      </w:r>
    </w:p>
    <w:p>
      <w:pPr>
        <w:pStyle w:val="style0"/>
        <w:jc w:val="both"/>
      </w:pPr>
      <w:r>
        <w:rPr>
          <w:sz w:val="22"/>
          <w:szCs w:val="22"/>
          <w:rFonts w:ascii="DejaVu Sans" w:cs="Arial" w:eastAsia="Times New Roman" w:hAnsi="DejaVu Sans"/>
          <w:lang w:eastAsia="ar-SA"/>
        </w:rPr>
        <w:t>Por otra parte, Centeno, considera que los CC juegan un papel importante, aunque exista diferentes críticas de la gestión, conformación de los mismos. “esta movilización de la ciudadanía que logro el gobierno de Chávez no se puede perder, es un capital” (...) los consejos comunales hay que verlos como organizaciones que sirven para la exposición de la población más necesitada, para ayudarla en salud, seguridad, asfaltado, dotación de servicios, canchas deportivas...”</w:t>
      </w:r>
    </w:p>
    <w:p>
      <w:pPr>
        <w:pStyle w:val="style0"/>
        <w:jc w:val="both"/>
      </w:pPr>
      <w:r>
        <w:rPr/>
      </w:r>
    </w:p>
    <w:p>
      <w:pPr>
        <w:pStyle w:val="style0"/>
        <w:jc w:val="both"/>
      </w:pPr>
      <w:r>
        <w:rPr>
          <w:sz w:val="22"/>
          <w:szCs w:val="22"/>
          <w:rFonts w:ascii="DejaVu Sans" w:cs="Arial" w:eastAsia="Times New Roman" w:hAnsi="DejaVu Sans"/>
          <w:lang w:eastAsia="ar-SA"/>
        </w:rPr>
        <w:t>Como hemos podido presentar, quienes participan en este conglomerado que agrupa las diversas organizaciones comunitarias, grupos sociales y ciudadanos y ciudadanas, se consiguen habitualmente con dificultades para organizarse, promover el consejo comunal, reunir a la asamblea de ciudadanos, realizar censos, convocar a elecciones, cumplir con la función de otorgar certificados de residencia y permisos, entre otras actividades básicas para su constitución.</w:t>
      </w:r>
    </w:p>
    <w:p>
      <w:pPr>
        <w:pStyle w:val="style0"/>
        <w:jc w:val="both"/>
      </w:pPr>
      <w:r>
        <w:rPr/>
      </w:r>
    </w:p>
    <w:p>
      <w:pPr>
        <w:pStyle w:val="style0"/>
        <w:jc w:val="both"/>
      </w:pPr>
      <w:r>
        <w:rPr>
          <w:sz w:val="22"/>
          <w:szCs w:val="22"/>
          <w:rFonts w:ascii="DejaVu Sans" w:cs="Arial" w:eastAsia="Times New Roman" w:hAnsi="DejaVu Sans"/>
          <w:lang w:eastAsia="ar-SA"/>
        </w:rPr>
        <w:t>Es desde estos  contextos que se han hecho referencias de los consejos comunales, han obviado que son organizaciones, que diseñan estructuras sociales y técnicas (sistemas) que comparten internamente   entre sus miembros, mientras simultáneamente se forjan sociedades con otras organizaciones (mancomunidades, comunas), entre otras, y grupos para intercambiar  y crear conjuntamente nuevo conocimientos.</w:t>
      </w:r>
    </w:p>
    <w:p>
      <w:pPr>
        <w:pStyle w:val="style0"/>
        <w:jc w:val="both"/>
      </w:pPr>
      <w:r>
        <w:rPr/>
      </w:r>
    </w:p>
    <w:p>
      <w:pPr>
        <w:pStyle w:val="style0"/>
        <w:jc w:val="both"/>
      </w:pPr>
      <w:r>
        <w:rPr>
          <w:sz w:val="22"/>
          <w:szCs w:val="22"/>
          <w:rFonts w:ascii="DejaVu Sans" w:cs="Arial" w:eastAsia="Times New Roman" w:hAnsi="DejaVu Sans"/>
          <w:lang w:eastAsia="ar-SA"/>
        </w:rPr>
        <w:t>Desde otro punto de vista, se ha  explorado por medios de entrevistas a actores de las  organizaciones de la sociedad civil, (Escuela de Vecinos de Venezuela y Grupo Centro de Educación de la Acción Popular: CESAP), que expresan que los consejos comunales, manifiestan una relación antagónica, donde pretenden, que los consejos comunales ocupen áreas o espacios que tradicionalmente son propios de la sociedad civil y esta competencia genera conflicto, debido que puede existir un diálogo subordinado en tanto y cuanto los recursos de los consejos comunales provienen de los escenarios públicos y se percibe una identificación gubernamental y partidista, entre otras. (Garcia; 2012)</w:t>
      </w:r>
    </w:p>
    <w:p>
      <w:pPr>
        <w:pStyle w:val="style0"/>
        <w:jc w:val="both"/>
      </w:pPr>
      <w:r>
        <w:rPr/>
      </w:r>
    </w:p>
    <w:p>
      <w:pPr>
        <w:pStyle w:val="style0"/>
        <w:jc w:val="both"/>
      </w:pPr>
      <w:r>
        <w:rPr>
          <w:sz w:val="22"/>
          <w:szCs w:val="22"/>
          <w:rFonts w:ascii="DejaVu Sans" w:cs="Arial" w:eastAsia="Times New Roman" w:hAnsi="DejaVu Sans"/>
          <w:lang w:eastAsia="ar-SA"/>
        </w:rPr>
        <w:t>Esto no quiere decir que las organizaciones sociales para evolucionar en Venezuela tengan que desarrollarse en contra del Estado, enfrentando al Estado. Puede actuar los CC en alianzas críticas con las diferentes instancias del Estado, a nivel nacional, regional o municipal. “pero esta alianza, esta colaboración, inclusivo el impulso que desde el estado pueda dar al impulso del movimiento popular, no puede hipotecar su autonomía, ya que esto en lugar de fortalecerlo a lo que conduce es a un movimiento más débil y dependiente” (Portillo; 2006). Las organizaciones sociales no pueden ser entendidas como organizaciones exclusivamente políticas, o reivindicativas. Las organizaciones sociales tienen que ser parte del proceso de recreación del conjunto del tejido social  y del proceso participativo venezolano.</w:t>
      </w:r>
    </w:p>
    <w:p>
      <w:pPr>
        <w:pStyle w:val="style0"/>
        <w:jc w:val="both"/>
      </w:pPr>
      <w:r>
        <w:rPr/>
      </w:r>
    </w:p>
    <w:p>
      <w:pPr>
        <w:pStyle w:val="style0"/>
        <w:jc w:val="both"/>
      </w:pPr>
      <w:r>
        <w:rPr>
          <w:sz w:val="22"/>
          <w:szCs w:val="22"/>
          <w:rFonts w:ascii="DejaVu Sans" w:cs="Arial" w:hAnsi="DejaVu Sans"/>
        </w:rPr>
        <w:t>Lo anteriormente descrito, nos permite  identificar una gama de riesgos, donde se afirman por parte de algunos elementos estadísticos y  entrevistas la existencia de estos. Sin embargo, podemos señalar, que el riesgo detectado, pueden clasificarse como una expresión psicológica, y es reconocido por probabilidades subjetivas, como las entrevistas de algunos voceros. También, se pueden considerar que existen riesgos sociológicos, que se originan de constructos de estructuras sociales, como la relación estado –sociedad civil-consejos comunales y el riesgo técnico, como las normas que son concretas y como  respuesta dependerá del control que ejerza en el espacio participativo</w:t>
      </w:r>
    </w:p>
    <w:p>
      <w:pPr>
        <w:pStyle w:val="style0"/>
        <w:jc w:val="both"/>
      </w:pPr>
      <w:r>
        <w:rPr>
          <w:sz w:val="22"/>
          <w:szCs w:val="22"/>
          <w:rFonts w:ascii="DejaVu Sans" w:cs="Arial" w:hAnsi="DejaVu Sans"/>
        </w:rPr>
        <w:t>A pesar, que se han aprobado diferentes leyes, y nuestro marco rector que promueven la participación,  también podemos encontrarnos con la restricción de la normativa de  la participación cuidadana. Dicha participación quedó condicionada a la construcción del Estado comunal, una cacaracterística inexistente en la Constitución de 1999,  la cual promociona a organizaciones comunitarias que avalaran la construcción del socialismo, excluyendo la necesaria e inherente diversidad del tejido social.</w:t>
      </w:r>
    </w:p>
    <w:p>
      <w:pPr>
        <w:pStyle w:val="style0"/>
        <w:jc w:val="both"/>
      </w:pPr>
      <w:r>
        <w:rPr/>
      </w:r>
    </w:p>
    <w:p>
      <w:pPr>
        <w:pStyle w:val="style0"/>
        <w:jc w:val="both"/>
      </w:pPr>
      <w:r>
        <w:rPr>
          <w:sz w:val="22"/>
          <w:szCs w:val="22"/>
          <w:rFonts w:ascii="DejaVu Sans" w:cs="Arial" w:hAnsi="DejaVu Sans"/>
        </w:rPr>
        <w:t>Según la normativa, el Estado sólo reconoce como soberanos a quienes formen parte de “</w:t>
      </w:r>
      <w:r>
        <w:rPr>
          <w:sz w:val="22"/>
          <w:szCs w:val="22"/>
          <w:iCs/>
          <w:rFonts w:ascii="DejaVu Sans" w:cs="Arial" w:hAnsi="DejaVu Sans"/>
        </w:rPr>
        <w:t>expresiones organizativas populares, consejos de trabajadores y trabajadoras, de campesinos y campesinas, colectivos de pescadores y pescadoras y cualquier otra organización social de base, articulada a una instancia del Poder Popular debidamente reconocida por la Ley y registrada en el Ministerio con competencia en materia de participación ciudadana</w:t>
      </w:r>
      <w:r>
        <w:rPr>
          <w:sz w:val="22"/>
          <w:szCs w:val="22"/>
          <w:rFonts w:ascii="DejaVu Sans" w:cs="Arial" w:hAnsi="DejaVu Sans"/>
        </w:rPr>
        <w:t xml:space="preserve">”. Contrario a una soberanía autónoma y democrática, el Estado Comunal únicamente reconoce la asociación y participación para fines calificados como </w:t>
      </w:r>
      <w:r>
        <w:rPr>
          <w:sz w:val="22"/>
          <w:szCs w:val="22"/>
          <w:iCs/>
          <w:rFonts w:ascii="DejaVu Sans" w:cs="Arial" w:hAnsi="DejaVu Sans"/>
        </w:rPr>
        <w:t>socialistas</w:t>
      </w:r>
      <w:r>
        <w:rPr>
          <w:sz w:val="22"/>
          <w:szCs w:val="22"/>
          <w:rFonts w:ascii="DejaVu Sans" w:cs="Arial" w:hAnsi="DejaVu Sans"/>
        </w:rPr>
        <w:t xml:space="preserve">” y muy llegadas al partido de gobierno, </w:t>
      </w:r>
      <w:r>
        <w:rPr>
          <w:color w:val="000000"/>
          <w:sz w:val="22"/>
          <w:szCs w:val="22"/>
          <w:rFonts w:ascii="DejaVu Sans" w:cs="Arial" w:hAnsi="DejaVu Sans"/>
        </w:rPr>
        <w:t xml:space="preserve"> lo cual podría abrir el camino a formas inéditas y más complejas de relación entre los partidos políticos, el Estado y las organizaciones civiles </w:t>
      </w:r>
    </w:p>
    <w:p>
      <w:pPr>
        <w:pStyle w:val="style0"/>
        <w:jc w:val="both"/>
      </w:pPr>
      <w:r>
        <w:rPr/>
      </w:r>
    </w:p>
    <w:p>
      <w:pPr>
        <w:pStyle w:val="style0"/>
        <w:jc w:val="both"/>
      </w:pPr>
      <w:r>
        <w:rPr>
          <w:sz w:val="22"/>
          <w:szCs w:val="22"/>
          <w:rFonts w:ascii="DejaVu Sans" w:cs="Arial" w:hAnsi="DejaVu Sans"/>
        </w:rPr>
        <w:t>Finalmente, la participación ciudadana esta relaciona con la democracia participativa, donde  la población puede tomar parte de la gestión de gobierno, sin formar parte de ello. Para lograr esta independencia con posición crítica, debe estar totalmente separada de la intervención de los partidos políticos, como de la incidencia y promoción del estado. Sin embargo, lo que hemos podido reseñar el tejido social venezolano, está débil en las relaciones de red ciudadana y en la participación en la cosa pública, lo que nos lleva a precisar un riesgo percibido y socialmente contextualizado, que se valore y se ponderen sus consecuencias, para  crear una  nueva forma de estado moderno, con un modelo de desarrollo integral, que sirva de base para la toma de decisiones en colectivo y todos los actores sociales de la sociedad civil. Una masificación del sector asociativo, no es lo único  que genera desarrollo da un país, hay que construir desde los diferentes factores y desde los diferentes actores, que hacen vida en la sociedad.</w:t>
      </w:r>
    </w:p>
    <w:p>
      <w:pPr>
        <w:pStyle w:val="style0"/>
        <w:jc w:val="both"/>
      </w:pPr>
      <w:r>
        <w:rPr/>
      </w:r>
    </w:p>
    <w:p>
      <w:pPr>
        <w:pStyle w:val="style0"/>
        <w:jc w:val="both"/>
      </w:pPr>
      <w:r>
        <w:rPr/>
      </w:r>
    </w:p>
    <w:p>
      <w:pPr>
        <w:pStyle w:val="style0"/>
        <w:jc w:val="both"/>
      </w:pPr>
      <w:r>
        <w:rPr>
          <w:sz w:val="22"/>
          <w:u w:val="single"/>
          <w:b/>
          <w:szCs w:val="22"/>
          <w:rFonts w:ascii="DejaVu Sans" w:cs="Arial" w:hAnsi="DejaVu Sans"/>
        </w:rPr>
        <w:t>5.-Conclusiones y Recomendaciones</w:t>
      </w:r>
    </w:p>
    <w:p>
      <w:pPr>
        <w:pStyle w:val="style0"/>
        <w:jc w:val="both"/>
      </w:pPr>
      <w:r>
        <w:rPr/>
      </w:r>
    </w:p>
    <w:p>
      <w:pPr>
        <w:pStyle w:val="style0"/>
        <w:jc w:val="both"/>
      </w:pPr>
      <w:r>
        <w:rPr>
          <w:sz w:val="22"/>
          <w:szCs w:val="22"/>
          <w:bCs/>
          <w:rFonts w:ascii="DejaVu Sans" w:cs="Arial" w:eastAsia="Times New Roman" w:hAnsi="DejaVu Sans"/>
          <w:lang w:eastAsia="ar-SA"/>
        </w:rPr>
        <w:t xml:space="preserve">En la Venezuela de hoy, las organizaciones comunitarias y sociales, a través de los mecanismos de participación,  poseen una serie de retos (tanto internos como externos) cuyo alcance mermará las posibles consecuencias, las organizaciones comunitarias deben rescatar </w:t>
      </w:r>
      <w:r>
        <w:rPr>
          <w:sz w:val="22"/>
          <w:szCs w:val="22"/>
          <w:bCs/>
          <w:rFonts w:ascii="DejaVu Sans" w:cs="Arial" w:eastAsia="Times New Roman" w:hAnsi="DejaVu Sans"/>
          <w:lang w:eastAsia="ar-SA" w:val="es-ES"/>
        </w:rPr>
        <w:t>la naturaleza plural, diversa e incluyente de la participación comunitaria, social y política e impulsar l</w:t>
      </w:r>
      <w:r>
        <w:rPr>
          <w:sz w:val="22"/>
          <w:szCs w:val="22"/>
          <w:bCs/>
          <w:rFonts w:ascii="DejaVu Sans" w:cs="Arial" w:eastAsia="Times New Roman" w:hAnsi="DejaVu Sans"/>
          <w:lang w:eastAsia="ar-SA"/>
        </w:rPr>
        <w:t xml:space="preserve">a defensa del marco constitucional vigente; mediante prácticas democráticas; impulsar una auténtica descentralización y la transferencia de programas y servicios basada en la corresponsabilidad y la transparencia en las relaciones con el sector público en sus distintos niveles político-territoriales; </w:t>
      </w:r>
      <w:r>
        <w:rPr>
          <w:sz w:val="22"/>
          <w:szCs w:val="22"/>
          <w:bCs/>
          <w:rFonts w:ascii="DejaVu Sans" w:cs="Arial" w:eastAsia="Times New Roman" w:hAnsi="DejaVu Sans"/>
          <w:lang w:eastAsia="ar-SA" w:val="es-AR"/>
        </w:rPr>
        <w:t xml:space="preserve">redefinir las relaciones de las organizaciones de la sociedad civil, con los espacios públicos de participación local y sectorial (tales como consejos comunales, consejos locales de planificación pública, consejos estadales de coordinación y planificación de políticas públicas y consejo federal de gobierno); y </w:t>
      </w:r>
      <w:r>
        <w:rPr>
          <w:sz w:val="22"/>
          <w:szCs w:val="22"/>
          <w:bCs/>
          <w:rFonts w:ascii="DejaVu Sans" w:cs="Arial" w:eastAsia="Times New Roman" w:hAnsi="DejaVu Sans"/>
          <w:lang w:eastAsia="ar-SA"/>
        </w:rPr>
        <w:t>contribuir desde su ámbito de actuación específico a la formación de las personas y las comunidades en el disfrute responsable y sustentable de los bienes materiales y no materiales asociados a su calidad de vida.</w:t>
      </w:r>
      <w:r>
        <w:rPr>
          <w:sz w:val="22"/>
          <w:szCs w:val="22"/>
          <w:bCs/>
          <w:rFonts w:ascii="DejaVu Sans" w:cs="Arial" w:eastAsia="Times New Roman" w:hAnsi="DejaVu Sans"/>
          <w:lang w:eastAsia="ar-SA" w:val="es-ES"/>
        </w:rPr>
        <w:t xml:space="preserve"> </w:t>
      </w:r>
    </w:p>
    <w:p>
      <w:pPr>
        <w:pStyle w:val="style0"/>
        <w:jc w:val="both"/>
      </w:pPr>
      <w:r>
        <w:rPr/>
      </w:r>
    </w:p>
    <w:p>
      <w:pPr>
        <w:pStyle w:val="style0"/>
        <w:jc w:val="both"/>
      </w:pPr>
      <w:r>
        <w:rPr>
          <w:sz w:val="22"/>
          <w:szCs w:val="22"/>
          <w:bCs/>
          <w:rFonts w:ascii="DejaVu Sans" w:cs="Arial" w:eastAsia="Times New Roman" w:hAnsi="DejaVu Sans"/>
          <w:lang w:eastAsia="ar-SA"/>
        </w:rPr>
        <w:t>A lo largo de este proceso de construcción de  ciudadanía, es preciso no olvidar lo que destacan algunos autores; es decir, que uno de los riesgos de la democracia participativa a la hora de su instrumentación es que puede perfeccionar los espacios de participación y los procedimientos sin vincular valores colectivos o de la sociedad y puede promover los derechos de la ciudadanía mediante prácticas autoritarias y excluyentes, que no permita el fortalecimiento del tejido social venezolano.</w:t>
      </w:r>
    </w:p>
    <w:p>
      <w:pPr>
        <w:pStyle w:val="style0"/>
        <w:jc w:val="both"/>
      </w:pPr>
      <w:r>
        <w:rPr/>
      </w:r>
    </w:p>
    <w:p>
      <w:pPr>
        <w:pStyle w:val="style0"/>
        <w:jc w:val="both"/>
      </w:pPr>
      <w:r>
        <w:rPr>
          <w:sz w:val="22"/>
          <w:u w:val="single"/>
          <w:b/>
          <w:szCs w:val="22"/>
          <w:rFonts w:ascii="DejaVu Sans" w:cs="Arial" w:hAnsi="DejaVu Sans"/>
        </w:rPr>
        <w:t>6. Referencias Bibliográfica:</w:t>
      </w:r>
    </w:p>
    <w:p>
      <w:pPr>
        <w:pStyle w:val="style0"/>
        <w:jc w:val="both"/>
      </w:pPr>
      <w:r>
        <w:rPr/>
      </w:r>
    </w:p>
    <w:p>
      <w:pPr>
        <w:pStyle w:val="style0"/>
        <w:numPr>
          <w:ilvl w:val="0"/>
          <w:numId w:val="2"/>
        </w:numPr>
        <w:jc w:val="both"/>
      </w:pPr>
      <w:r>
        <w:rPr>
          <w:sz w:val="22"/>
          <w:szCs w:val="22"/>
          <w:rFonts w:ascii="DejaVu Sans" w:cs="Arial" w:eastAsia="Times New Roman" w:hAnsi="DejaVu Sans"/>
          <w:lang w:eastAsia="ar-SA"/>
        </w:rPr>
        <w:t>Alfie Mirian. La Sociedad del riesgo: Amenaza y Promesa. Sociología, año 15. Número 43.  Mayo-agosto 2000</w:t>
      </w:r>
    </w:p>
    <w:p>
      <w:pPr>
        <w:pStyle w:val="style0"/>
        <w:numPr>
          <w:ilvl w:val="0"/>
          <w:numId w:val="2"/>
        </w:numPr>
        <w:jc w:val="both"/>
      </w:pPr>
      <w:r>
        <w:rPr>
          <w:sz w:val="22"/>
          <w:szCs w:val="22"/>
          <w:rFonts w:ascii="Arial" w:cs="Arial" w:eastAsia="Times New Roman" w:hAnsi="Arial"/>
          <w:lang w:eastAsia="ar-SA"/>
        </w:rPr>
        <w:t>Coll Steve. Empirete Private. Exxon Mobil and American Power. 2012.</w:t>
      </w:r>
    </w:p>
    <w:p>
      <w:pPr>
        <w:pStyle w:val="style0"/>
        <w:numPr>
          <w:ilvl w:val="0"/>
          <w:numId w:val="2"/>
        </w:numPr>
        <w:jc w:val="both"/>
      </w:pPr>
      <w:r>
        <w:rPr>
          <w:sz w:val="22"/>
          <w:szCs w:val="22"/>
          <w:rFonts w:ascii="DejaVu Sans" w:cs="Arial" w:eastAsia="Times New Roman" w:hAnsi="DejaVu Sans"/>
          <w:lang w:eastAsia="ar-SA"/>
        </w:rPr>
        <w:t>Cunill Nuria. La Participación como discurso Político y Praxis Urbana. Fondo Editorial .acta Científica Venezolana. UCV. 1991.</w:t>
      </w:r>
    </w:p>
    <w:p>
      <w:pPr>
        <w:pStyle w:val="style0"/>
        <w:numPr>
          <w:ilvl w:val="0"/>
          <w:numId w:val="2"/>
        </w:numPr>
        <w:jc w:val="both"/>
      </w:pPr>
      <w:r>
        <w:rPr>
          <w:sz w:val="22"/>
          <w:szCs w:val="22"/>
          <w:rFonts w:ascii="DejaVu Sans" w:cs="Arial" w:eastAsia="Times New Roman" w:hAnsi="DejaVu Sans"/>
          <w:lang w:eastAsia="ar-SA"/>
        </w:rPr>
        <w:t>García Xiomara: La Gestión del Conocimiento de los Consejos Comunales como Organizaciones Sociales de la Sociedad Civil. (2006-2011) Proyecto e tesis Doctoral. Faces UCV 2012.</w:t>
      </w:r>
    </w:p>
    <w:p>
      <w:pPr>
        <w:pStyle w:val="style0"/>
        <w:numPr>
          <w:ilvl w:val="0"/>
          <w:numId w:val="2"/>
        </w:numPr>
        <w:jc w:val="both"/>
      </w:pPr>
      <w:r>
        <w:rPr>
          <w:sz w:val="22"/>
          <w:szCs w:val="22"/>
          <w:rFonts w:ascii="DejaVu Sans" w:cs="Arial" w:eastAsia="Times New Roman" w:hAnsi="DejaVu Sans"/>
          <w:lang w:eastAsia="ar-SA"/>
        </w:rPr>
        <w:t>Grusson Alberto. El Polo Asociativo y la Sociedad. Estudio para el Caso Venezolano. CISOR- SINERGIA: 2010</w:t>
      </w:r>
    </w:p>
    <w:p>
      <w:pPr>
        <w:pStyle w:val="style0"/>
        <w:numPr>
          <w:ilvl w:val="0"/>
          <w:numId w:val="2"/>
        </w:numPr>
        <w:jc w:val="both"/>
      </w:pPr>
      <w:r>
        <w:rPr>
          <w:sz w:val="22"/>
          <w:szCs w:val="22"/>
          <w:rFonts w:ascii="DejaVu Sans" w:cs="Arial" w:eastAsia="Times New Roman" w:hAnsi="DejaVu Sans"/>
          <w:lang w:eastAsia="ar-SA"/>
        </w:rPr>
        <w:t>Hernández Janeth. La Participación Ciudadana en el Proceso Constituyente Venezolana de 1999. Telos. Vol 4. 2002.</w:t>
      </w:r>
    </w:p>
    <w:p>
      <w:pPr>
        <w:pStyle w:val="style0"/>
        <w:numPr>
          <w:ilvl w:val="0"/>
          <w:numId w:val="2"/>
        </w:numPr>
        <w:jc w:val="both"/>
      </w:pPr>
      <w:r>
        <w:rPr>
          <w:sz w:val="22"/>
          <w:szCs w:val="22"/>
          <w:rFonts w:ascii="DejaVu Sans" w:cs="Arial" w:eastAsia="Times New Roman" w:hAnsi="DejaVu Sans"/>
          <w:lang w:eastAsia="ar-SA"/>
        </w:rPr>
        <w:t xml:space="preserve">López José A; Lujan José L. Ciencia y Política del Riesgo. Alianza Editorial. 2000 </w:t>
      </w:r>
    </w:p>
    <w:p>
      <w:pPr>
        <w:pStyle w:val="style0"/>
        <w:numPr>
          <w:ilvl w:val="0"/>
          <w:numId w:val="2"/>
        </w:numPr>
        <w:jc w:val="both"/>
      </w:pPr>
      <w:r>
        <w:rPr>
          <w:sz w:val="22"/>
          <w:szCs w:val="22"/>
          <w:rFonts w:ascii="DejaVu Sans" w:cs="Arial" w:eastAsia="Times New Roman" w:hAnsi="DejaVu Sans"/>
          <w:lang w:eastAsia="ar-SA"/>
        </w:rPr>
        <w:t xml:space="preserve">Machado Jesús Consejos comunales: seguimiento de prensa. Revista sic. Editorial Gumilla. 2008. </w:t>
      </w:r>
    </w:p>
    <w:p>
      <w:pPr>
        <w:pStyle w:val="style0"/>
        <w:numPr>
          <w:ilvl w:val="0"/>
          <w:numId w:val="2"/>
        </w:numPr>
        <w:jc w:val="both"/>
      </w:pPr>
      <w:r>
        <w:rPr>
          <w:sz w:val="22"/>
          <w:szCs w:val="22"/>
          <w:rFonts w:ascii="DejaVu Sans" w:cs="Arial" w:eastAsia="Times New Roman" w:hAnsi="DejaVu Sans"/>
          <w:lang w:eastAsia="ar-SA"/>
        </w:rPr>
        <w:t>Machado Jesús E. La Participación Social y los Consejos Comunales en Venezuela. Revista Venezolana de Economía y Ciencias Sociales. Vol 15. N”1. Enero-Abril 2009.</w:t>
      </w:r>
    </w:p>
    <w:p>
      <w:pPr>
        <w:pStyle w:val="style0"/>
        <w:numPr>
          <w:ilvl w:val="0"/>
          <w:numId w:val="2"/>
        </w:numPr>
        <w:jc w:val="both"/>
      </w:pPr>
      <w:r>
        <w:rPr>
          <w:sz w:val="22"/>
          <w:szCs w:val="22"/>
          <w:rFonts w:ascii="DejaVu Sans" w:cs="Arial" w:eastAsia="Times New Roman" w:hAnsi="DejaVu Sans"/>
          <w:lang w:eastAsia="ar-SA"/>
        </w:rPr>
        <w:t>República Bolivariana de Venezuela. Constitución 1999..</w:t>
      </w:r>
    </w:p>
    <w:p>
      <w:pPr>
        <w:pStyle w:val="style0"/>
        <w:numPr>
          <w:ilvl w:val="0"/>
          <w:numId w:val="2"/>
        </w:numPr>
        <w:jc w:val="both"/>
      </w:pPr>
      <w:r>
        <w:rPr>
          <w:sz w:val="22"/>
          <w:szCs w:val="22"/>
          <w:rFonts w:ascii="DejaVu Sans" w:cs="Arial" w:eastAsia="Times New Roman" w:hAnsi="DejaVu Sans"/>
          <w:lang w:eastAsia="ar-SA"/>
        </w:rPr>
        <w:t>República Bolivariana de Venezuela. Ley de los Consejos Comunales. Caracas, Venezuela.</w:t>
      </w:r>
    </w:p>
    <w:p>
      <w:pPr>
        <w:pStyle w:val="style0"/>
        <w:numPr>
          <w:ilvl w:val="0"/>
          <w:numId w:val="2"/>
        </w:numPr>
        <w:jc w:val="both"/>
      </w:pPr>
      <w:r>
        <w:rPr>
          <w:sz w:val="22"/>
          <w:szCs w:val="22"/>
          <w:rFonts w:ascii="DejaVu Sans" w:cs="Arial" w:eastAsia="Times New Roman" w:hAnsi="DejaVu Sans"/>
          <w:lang w:eastAsia="ar-SA"/>
        </w:rPr>
        <w:t>República Bolivariana de Venezuela. Ley Orgánica de Contraloría Pública.</w:t>
      </w:r>
    </w:p>
    <w:p>
      <w:pPr>
        <w:pStyle w:val="style0"/>
        <w:numPr>
          <w:ilvl w:val="0"/>
          <w:numId w:val="2"/>
        </w:numPr>
        <w:jc w:val="both"/>
      </w:pPr>
      <w:r>
        <w:rPr>
          <w:sz w:val="22"/>
          <w:szCs w:val="22"/>
          <w:rFonts w:ascii="DejaVu Sans" w:cs="Arial" w:eastAsia="Times New Roman" w:hAnsi="DejaVu Sans"/>
          <w:lang w:eastAsia="ar-SA"/>
        </w:rPr>
        <w:t>Rivera Andriana en su artículo del Nacional,  denominado; Los consejos Comunales se desinflan” (22 de Enero de 2012) estudio en el Barrio Unión de Petare</w:t>
      </w:r>
    </w:p>
    <w:p>
      <w:pPr>
        <w:pStyle w:val="style0"/>
        <w:numPr>
          <w:ilvl w:val="0"/>
          <w:numId w:val="2"/>
        </w:numPr>
        <w:jc w:val="both"/>
      </w:pPr>
      <w:r>
        <w:rPr>
          <w:sz w:val="22"/>
          <w:szCs w:val="22"/>
          <w:rFonts w:ascii="DejaVu Sans" w:cs="Arial" w:eastAsia="Times New Roman" w:hAnsi="DejaVu Sans"/>
          <w:lang w:eastAsia="ar-SA"/>
        </w:rPr>
        <w:t xml:space="preserve">Solarriaza Ricardo. El Desafío de la Participación Ciudadana en el Estado democrático de Derecho. Facultad Latinoamericana Ciencias Sociales. .Costa Rica 2012. </w:t>
      </w:r>
    </w:p>
    <w:sectPr>
      <w:formProt w:val="false"/>
      <w:pgSz w:h="15840" w:w="12240"/>
      <w:docGrid w:charSpace="0" w:linePitch="360" w:type="default"/>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bullet"/>
      <w:lvlJc w:val="left"/>
      <w:lvlText w:val=""/>
      <w:pPr>
        <w:ind w:hanging="360" w:left="720"/>
      </w:pPr>
      <w:rPr>
        <w:rFonts w:ascii="Symbol" w:cs="Symbol" w:hAnsi="Symbol" w:hint="default"/>
      </w:rPr>
    </w:lvl>
    <w:lvl w:ilvl="1">
      <w:start w:val="1"/>
      <w:numFmt w:val="bullet"/>
      <w:lvlJc w:val="left"/>
      <w:lvlText w:val="◦"/>
      <w:pPr>
        <w:ind w:hanging="360" w:left="1080"/>
      </w:pPr>
      <w:rPr>
        <w:rFonts w:ascii="OpenSymbol" w:cs="OpenSymbol" w:hAnsi="OpenSymbol" w:hint="default"/>
      </w:rPr>
    </w:lvl>
    <w:lvl w:ilvl="2">
      <w:start w:val="1"/>
      <w:numFmt w:val="bullet"/>
      <w:lvlJc w:val="left"/>
      <w:lvlText w:val="▪"/>
      <w:pPr>
        <w:ind w:hanging="360" w:left="1440"/>
      </w:pPr>
      <w:rPr>
        <w:rFonts w:ascii="OpenSymbol" w:cs="OpenSymbol" w:hAnsi="OpenSymbol" w:hint="default"/>
      </w:rPr>
    </w:lvl>
    <w:lvl w:ilvl="3">
      <w:start w:val="1"/>
      <w:numFmt w:val="bullet"/>
      <w:lvlJc w:val="left"/>
      <w:lvlText w:val=""/>
      <w:pPr>
        <w:ind w:hanging="360" w:left="1800"/>
      </w:pPr>
      <w:rPr>
        <w:rFonts w:ascii="Symbol" w:cs="Symbol" w:hAnsi="Symbol" w:hint="default"/>
      </w:rPr>
    </w:lvl>
    <w:lvl w:ilvl="4">
      <w:start w:val="1"/>
      <w:numFmt w:val="bullet"/>
      <w:lvlJc w:val="left"/>
      <w:lvlText w:val="◦"/>
      <w:pPr>
        <w:ind w:hanging="360" w:left="2160"/>
      </w:pPr>
      <w:rPr>
        <w:rFonts w:ascii="OpenSymbol" w:cs="OpenSymbol" w:hAnsi="OpenSymbol" w:hint="default"/>
      </w:rPr>
    </w:lvl>
    <w:lvl w:ilvl="5">
      <w:start w:val="1"/>
      <w:numFmt w:val="bullet"/>
      <w:lvlJc w:val="left"/>
      <w:lvlText w:val="▪"/>
      <w:pPr>
        <w:ind w:hanging="360" w:left="2520"/>
      </w:pPr>
      <w:rPr>
        <w:rFonts w:ascii="OpenSymbol" w:cs="OpenSymbol" w:hAnsi="OpenSymbol" w:hint="default"/>
      </w:rPr>
    </w:lvl>
    <w:lvl w:ilvl="6">
      <w:start w:val="1"/>
      <w:numFmt w:val="bullet"/>
      <w:lvlJc w:val="left"/>
      <w:lvlText w:val=""/>
      <w:pPr>
        <w:ind w:hanging="360" w:left="2880"/>
      </w:pPr>
      <w:rPr>
        <w:rFonts w:ascii="Symbol" w:cs="Symbol" w:hAnsi="Symbol" w:hint="default"/>
      </w:rPr>
    </w:lvl>
    <w:lvl w:ilvl="7">
      <w:start w:val="1"/>
      <w:numFmt w:val="bullet"/>
      <w:lvlJc w:val="left"/>
      <w:lvlText w:val="◦"/>
      <w:pPr>
        <w:ind w:hanging="360" w:left="3240"/>
      </w:pPr>
      <w:rPr>
        <w:rFonts w:ascii="OpenSymbol" w:cs="OpenSymbol" w:hAnsi="OpenSymbol" w:hint="default"/>
      </w:rPr>
    </w:lvl>
    <w:lvl w:ilvl="8">
      <w:start w:val="1"/>
      <w:numFmt w:val="bullet"/>
      <w:lvlJc w:val="left"/>
      <w:lvlText w:val="▪"/>
      <w:pPr>
        <w:ind w:hanging="360" w:left="3600"/>
      </w:pPr>
      <w:rPr>
        <w:rFonts w:ascii="OpenSymbol" w:cs="OpenSymbol" w:hAnsi="OpenSymbol" w:hint="default"/>
      </w:rPr>
    </w:lvl>
  </w:abstractNum>
  <w:abstractNum w:abstractNumId="2">
    <w:lvl w:ilvl="0">
      <w:start w:val="1"/>
      <w:numFmt w:val="decimal"/>
      <w:lvlJc w:val="left"/>
      <w:lvlText w:val="%1."/>
      <w:pPr>
        <w:ind w:hanging="360" w:left="786"/>
      </w:p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3">
    <w:lvl w:ilvl="0">
      <w:start w:val="1"/>
      <w:numFmt w:val="lowerLetter"/>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4">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spacing w:after="0" w:before="0" w:line="100" w:lineRule="atLeast"/>
    </w:pPr>
    <w:rPr>
      <w:color w:val="000000"/>
      <w:sz w:val="24"/>
      <w:szCs w:val="24"/>
      <w:rFonts w:ascii="Times New Roman" w:cs="Times New Roman" w:eastAsia="DejaVu Sans" w:hAnsi="Times New Roman"/>
      <w:lang w:bidi="hi-IN" w:eastAsia="zh-CN" w:val="es-VE"/>
    </w:rPr>
  </w:style>
  <w:style w:styleId="style15" w:type="character">
    <w:name w:val="Default Paragraph Font"/>
    <w:next w:val="style15"/>
    <w:rPr/>
  </w:style>
  <w:style w:styleId="style16" w:type="character">
    <w:name w:val="Enlace de Internet"/>
    <w:basedOn w:val="style15"/>
    <w:next w:val="style16"/>
    <w:rPr>
      <w:color w:val="0000FF"/>
      <w:u w:val="single"/>
      <w:lang w:bidi="es-ES" w:eastAsia="es-ES" w:val="es-ES"/>
    </w:rPr>
  </w:style>
  <w:style w:styleId="style17" w:type="character">
    <w:name w:val="ListLabel 1"/>
    <w:next w:val="style17"/>
    <w:rPr>
      <w:sz w:val="20"/>
    </w:rPr>
  </w:style>
  <w:style w:styleId="style18" w:type="character">
    <w:name w:val="ListLabel 2"/>
    <w:next w:val="style18"/>
    <w:rPr>
      <w:rFonts w:cs="Courier New"/>
    </w:rPr>
  </w:style>
  <w:style w:styleId="style19" w:type="character">
    <w:name w:val="ListLabel 3"/>
    <w:next w:val="style19"/>
    <w:rPr>
      <w:rFonts w:cs="OpenSymbol"/>
    </w:rPr>
  </w:style>
  <w:style w:styleId="style20" w:type="character">
    <w:name w:val="ListLabel 4"/>
    <w:next w:val="style20"/>
    <w:rPr>
      <w:rFonts w:cs="Symbol"/>
    </w:rPr>
  </w:style>
  <w:style w:styleId="style21" w:type="character">
    <w:name w:val="ListLabel 5"/>
    <w:next w:val="style21"/>
    <w:rPr>
      <w:rFonts w:cs="OpenSymbol"/>
    </w:rPr>
  </w:style>
  <w:style w:styleId="style22" w:type="paragraph">
    <w:name w:val="Encabezado"/>
    <w:basedOn w:val="style0"/>
    <w:next w:val="style23"/>
    <w:pPr>
      <w:keepNext/>
      <w:spacing w:after="120" w:before="240"/>
    </w:pPr>
    <w:rPr>
      <w:sz w:val="28"/>
      <w:szCs w:val="28"/>
      <w:rFonts w:ascii="Liberation Sans" w:cs="FreeSans" w:eastAsia="DejaVu Sans" w:hAnsi="Liberation Sans"/>
    </w:rPr>
  </w:style>
  <w:style w:styleId="style23" w:type="paragraph">
    <w:name w:val="Cuerpo de texto"/>
    <w:basedOn w:val="style0"/>
    <w:next w:val="style23"/>
    <w:pPr>
      <w:spacing w:after="120" w:before="0"/>
    </w:pPr>
    <w:rPr/>
  </w:style>
  <w:style w:styleId="style24" w:type="paragraph">
    <w:name w:val="Lista"/>
    <w:basedOn w:val="style23"/>
    <w:next w:val="style24"/>
    <w:pPr/>
    <w:rPr>
      <w:rFonts w:cs="FreeSans"/>
    </w:rPr>
  </w:style>
  <w:style w:styleId="style25" w:type="paragraph">
    <w:name w:val="Etiqueta"/>
    <w:basedOn w:val="style0"/>
    <w:next w:val="style25"/>
    <w:pPr>
      <w:suppressLineNumbers/>
      <w:spacing w:after="120" w:before="120"/>
    </w:pPr>
    <w:rPr>
      <w:sz w:val="24"/>
      <w:i/>
      <w:szCs w:val="24"/>
      <w:iCs/>
      <w:rFonts w:cs="FreeSans"/>
    </w:rPr>
  </w:style>
  <w:style w:styleId="style26" w:type="paragraph">
    <w:name w:val="Índice"/>
    <w:basedOn w:val="style0"/>
    <w:next w:val="style26"/>
    <w:pPr>
      <w:suppressLineNumbers/>
    </w:pPr>
    <w:rPr>
      <w:rFonts w:cs="FreeSans"/>
    </w:rPr>
  </w:style>
  <w:style w:styleId="style27" w:type="paragraph">
    <w:name w:val="List Paragraph"/>
    <w:basedOn w:val="style0"/>
    <w:next w:val="style27"/>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481</TotalTime>
  <Application>LibreOffice/3.3$Linux LibreOffice_project/330m19$Build-8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2013-01-16T20:03:00.00Z</dcterms:created>
  <dc:creator>Xiomarenga</dc:creator>
  <cp:lastModifiedBy>Henry</cp:lastModifiedBy>
  <cp:lastPrinted>2013-01-17T15:46:32.00Z</cp:lastPrinted>
  <dcterms:modified xsi:type="dcterms:W3CDTF">2013-01-17T04:20:00.00Z</dcterms:modified>
  <cp:revision>12</cp:revision>
</cp:coreProperties>
</file>