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EAA" w:rsidRPr="00247EAA" w:rsidRDefault="00247EAA" w:rsidP="00247EAA">
      <w:pPr>
        <w:spacing w:line="360" w:lineRule="auto"/>
        <w:jc w:val="center"/>
        <w:rPr>
          <w:b/>
          <w:szCs w:val="24"/>
        </w:rPr>
      </w:pPr>
      <w:bookmarkStart w:id="0" w:name="_Toc306491488"/>
      <w:r w:rsidRPr="00247EAA">
        <w:rPr>
          <w:b/>
          <w:szCs w:val="24"/>
        </w:rPr>
        <w:t>TRABAJO ESPECIAL DE GRADO</w:t>
      </w:r>
    </w:p>
    <w:p w:rsidR="00247EAA" w:rsidRPr="00247EAA" w:rsidRDefault="00247EAA" w:rsidP="00F53FE3">
      <w:pPr>
        <w:spacing w:line="360" w:lineRule="auto"/>
        <w:rPr>
          <w:szCs w:val="24"/>
        </w:rPr>
      </w:pPr>
    </w:p>
    <w:p w:rsidR="00247EAA" w:rsidRPr="00247EAA" w:rsidRDefault="00247EAA" w:rsidP="00247EAA">
      <w:pPr>
        <w:spacing w:line="360" w:lineRule="auto"/>
        <w:rPr>
          <w:szCs w:val="24"/>
        </w:rPr>
      </w:pPr>
    </w:p>
    <w:p w:rsidR="00247EAA" w:rsidRPr="00247EAA" w:rsidRDefault="00247EAA" w:rsidP="00247EAA">
      <w:pPr>
        <w:spacing w:line="360" w:lineRule="auto"/>
        <w:rPr>
          <w:szCs w:val="24"/>
        </w:rPr>
      </w:pPr>
    </w:p>
    <w:p w:rsidR="00247EAA" w:rsidRPr="00247EAA" w:rsidRDefault="00247EAA" w:rsidP="00247EAA">
      <w:pPr>
        <w:spacing w:line="360" w:lineRule="auto"/>
        <w:rPr>
          <w:szCs w:val="24"/>
        </w:rPr>
      </w:pPr>
    </w:p>
    <w:p w:rsidR="00247EAA" w:rsidRPr="00247EAA" w:rsidRDefault="00247EAA" w:rsidP="00247EAA">
      <w:pPr>
        <w:spacing w:line="360" w:lineRule="auto"/>
        <w:rPr>
          <w:szCs w:val="24"/>
        </w:rPr>
      </w:pPr>
    </w:p>
    <w:p w:rsidR="00247EAA" w:rsidRPr="00247EAA" w:rsidRDefault="00247EAA" w:rsidP="00F53FE3">
      <w:pPr>
        <w:spacing w:line="360" w:lineRule="auto"/>
        <w:jc w:val="both"/>
        <w:rPr>
          <w:szCs w:val="24"/>
        </w:rPr>
      </w:pPr>
    </w:p>
    <w:p w:rsidR="00247EAA" w:rsidRPr="00247EAA" w:rsidRDefault="00247EAA" w:rsidP="00F53FE3">
      <w:pPr>
        <w:spacing w:line="360" w:lineRule="auto"/>
        <w:jc w:val="both"/>
        <w:rPr>
          <w:b/>
          <w:iCs/>
          <w:szCs w:val="24"/>
        </w:rPr>
      </w:pPr>
    </w:p>
    <w:p w:rsidR="00247EAA" w:rsidRPr="00247EAA" w:rsidRDefault="00247EAA" w:rsidP="00F53FE3">
      <w:pPr>
        <w:spacing w:line="360" w:lineRule="auto"/>
        <w:jc w:val="both"/>
        <w:rPr>
          <w:b/>
          <w:iCs/>
          <w:szCs w:val="24"/>
        </w:rPr>
      </w:pPr>
    </w:p>
    <w:p w:rsidR="00247EAA" w:rsidRPr="00247EAA" w:rsidRDefault="00247EAA" w:rsidP="00F53FE3">
      <w:pPr>
        <w:spacing w:line="360" w:lineRule="auto"/>
        <w:jc w:val="both"/>
        <w:rPr>
          <w:b/>
          <w:iCs/>
          <w:szCs w:val="24"/>
        </w:rPr>
      </w:pPr>
    </w:p>
    <w:p w:rsidR="00247EAA" w:rsidRPr="00247EAA" w:rsidRDefault="00247EAA" w:rsidP="00F53FE3">
      <w:pPr>
        <w:spacing w:line="360" w:lineRule="auto"/>
        <w:jc w:val="both"/>
        <w:rPr>
          <w:b/>
          <w:iCs/>
          <w:szCs w:val="24"/>
        </w:rPr>
      </w:pPr>
    </w:p>
    <w:p w:rsidR="00247EAA" w:rsidRPr="00247EAA" w:rsidRDefault="00247EAA" w:rsidP="00247EAA">
      <w:pPr>
        <w:spacing w:line="360" w:lineRule="auto"/>
        <w:jc w:val="center"/>
        <w:rPr>
          <w:b/>
          <w:iCs/>
          <w:szCs w:val="24"/>
        </w:rPr>
      </w:pPr>
    </w:p>
    <w:p w:rsidR="00355A67" w:rsidRPr="00355A67" w:rsidRDefault="00355A67" w:rsidP="00355A67">
      <w:pPr>
        <w:spacing w:line="360" w:lineRule="auto"/>
        <w:jc w:val="center"/>
        <w:rPr>
          <w:b/>
          <w:caps/>
          <w:sz w:val="28"/>
          <w:szCs w:val="28"/>
        </w:rPr>
      </w:pPr>
      <w:r w:rsidRPr="00355A67">
        <w:rPr>
          <w:b/>
          <w:iCs/>
          <w:caps/>
          <w:sz w:val="28"/>
          <w:szCs w:val="28"/>
        </w:rPr>
        <w:t>dESESTABILIZACIÓN electrostática DE MATERIAL DE FOSAS DE PRODUCCIÓN EMPLEANDO MEDIOS COALESCEDORES</w:t>
      </w:r>
    </w:p>
    <w:p w:rsidR="00247EAA" w:rsidRPr="00247EAA" w:rsidRDefault="00247EAA" w:rsidP="00247EAA">
      <w:pPr>
        <w:spacing w:line="360" w:lineRule="auto"/>
        <w:jc w:val="center"/>
        <w:rPr>
          <w:szCs w:val="24"/>
        </w:rPr>
      </w:pPr>
    </w:p>
    <w:p w:rsidR="00247EAA" w:rsidRPr="00247EAA" w:rsidRDefault="00247EAA" w:rsidP="00247EAA">
      <w:pPr>
        <w:spacing w:line="360" w:lineRule="auto"/>
        <w:rPr>
          <w:szCs w:val="24"/>
        </w:rPr>
      </w:pPr>
    </w:p>
    <w:p w:rsidR="00247EAA" w:rsidRPr="00247EAA" w:rsidRDefault="00247EAA" w:rsidP="00247EAA">
      <w:pPr>
        <w:spacing w:line="360" w:lineRule="auto"/>
        <w:rPr>
          <w:szCs w:val="24"/>
        </w:rPr>
      </w:pPr>
    </w:p>
    <w:p w:rsidR="00247EAA" w:rsidRPr="00247EAA" w:rsidRDefault="00247EAA" w:rsidP="00247EAA">
      <w:pPr>
        <w:spacing w:line="360" w:lineRule="auto"/>
        <w:rPr>
          <w:szCs w:val="24"/>
        </w:rPr>
      </w:pPr>
    </w:p>
    <w:p w:rsidR="00247EAA" w:rsidRPr="00247EAA" w:rsidRDefault="00247EAA" w:rsidP="00247EAA">
      <w:pPr>
        <w:spacing w:line="360" w:lineRule="auto"/>
        <w:rPr>
          <w:szCs w:val="24"/>
        </w:rPr>
      </w:pPr>
    </w:p>
    <w:p w:rsidR="00247EAA" w:rsidRPr="00247EAA" w:rsidRDefault="00247EAA" w:rsidP="00247EAA">
      <w:pPr>
        <w:spacing w:line="360" w:lineRule="auto"/>
        <w:rPr>
          <w:szCs w:val="24"/>
        </w:rPr>
      </w:pPr>
    </w:p>
    <w:p w:rsidR="00247EAA" w:rsidRPr="00247EAA" w:rsidRDefault="00247EAA" w:rsidP="00247EAA">
      <w:pPr>
        <w:spacing w:line="360" w:lineRule="auto"/>
        <w:jc w:val="right"/>
        <w:rPr>
          <w:szCs w:val="24"/>
        </w:rPr>
      </w:pPr>
      <w:r w:rsidRPr="00247EAA">
        <w:rPr>
          <w:szCs w:val="24"/>
        </w:rPr>
        <w:t>Presentado ante la ilustre</w:t>
      </w:r>
    </w:p>
    <w:p w:rsidR="00247EAA" w:rsidRPr="00247EAA" w:rsidRDefault="00247EAA" w:rsidP="00247EAA">
      <w:pPr>
        <w:spacing w:line="360" w:lineRule="auto"/>
        <w:jc w:val="right"/>
        <w:rPr>
          <w:szCs w:val="24"/>
        </w:rPr>
      </w:pPr>
      <w:r w:rsidRPr="00247EAA">
        <w:rPr>
          <w:szCs w:val="24"/>
        </w:rPr>
        <w:t>Universidad Central de Venezuela</w:t>
      </w:r>
    </w:p>
    <w:p w:rsidR="00247EAA" w:rsidRPr="00247EAA" w:rsidRDefault="00247EAA" w:rsidP="00247EAA">
      <w:pPr>
        <w:spacing w:line="360" w:lineRule="auto"/>
        <w:jc w:val="right"/>
        <w:rPr>
          <w:szCs w:val="24"/>
        </w:rPr>
      </w:pPr>
      <w:r w:rsidRPr="00247EAA">
        <w:rPr>
          <w:szCs w:val="24"/>
        </w:rPr>
        <w:t xml:space="preserve">                                                                                        Por el Br. Ingemar D. </w:t>
      </w:r>
      <w:r>
        <w:rPr>
          <w:szCs w:val="24"/>
        </w:rPr>
        <w:t>Q</w:t>
      </w:r>
      <w:r w:rsidRPr="00247EAA">
        <w:rPr>
          <w:szCs w:val="24"/>
        </w:rPr>
        <w:t>uintero S.</w:t>
      </w:r>
    </w:p>
    <w:p w:rsidR="00247EAA" w:rsidRPr="00247EAA" w:rsidRDefault="00247EAA" w:rsidP="00247EAA">
      <w:pPr>
        <w:spacing w:line="360" w:lineRule="auto"/>
        <w:jc w:val="right"/>
        <w:rPr>
          <w:szCs w:val="24"/>
        </w:rPr>
      </w:pPr>
      <w:r w:rsidRPr="00247EAA">
        <w:rPr>
          <w:szCs w:val="24"/>
        </w:rPr>
        <w:t>Para optar al Título</w:t>
      </w:r>
    </w:p>
    <w:p w:rsidR="00247EAA" w:rsidRPr="00247EAA" w:rsidRDefault="00247EAA" w:rsidP="00247EAA">
      <w:pPr>
        <w:spacing w:line="360" w:lineRule="auto"/>
        <w:jc w:val="right"/>
        <w:rPr>
          <w:szCs w:val="24"/>
        </w:rPr>
      </w:pPr>
      <w:r w:rsidRPr="00247EAA">
        <w:rPr>
          <w:szCs w:val="24"/>
        </w:rPr>
        <w:t>de Ingeniero Químico</w:t>
      </w:r>
    </w:p>
    <w:p w:rsidR="00355A67" w:rsidRDefault="00355A67" w:rsidP="00247EAA">
      <w:pPr>
        <w:spacing w:line="360" w:lineRule="auto"/>
        <w:jc w:val="center"/>
        <w:rPr>
          <w:szCs w:val="24"/>
        </w:rPr>
      </w:pPr>
    </w:p>
    <w:p w:rsidR="00355A67" w:rsidRDefault="00247EAA" w:rsidP="00247EAA">
      <w:pPr>
        <w:spacing w:line="360" w:lineRule="auto"/>
        <w:jc w:val="center"/>
        <w:rPr>
          <w:szCs w:val="24"/>
        </w:rPr>
        <w:sectPr w:rsidR="00355A67" w:rsidSect="006F09D1">
          <w:footerReference w:type="default" r:id="rId8"/>
          <w:pgSz w:w="12240" w:h="15840"/>
          <w:pgMar w:top="1699" w:right="1699" w:bottom="1699" w:left="2275" w:header="720" w:footer="720" w:gutter="0"/>
          <w:pgNumType w:fmt="lowerRoman"/>
          <w:cols w:space="720"/>
          <w:docGrid w:linePitch="360"/>
        </w:sectPr>
      </w:pPr>
      <w:r w:rsidRPr="00247EAA">
        <w:rPr>
          <w:szCs w:val="24"/>
        </w:rPr>
        <w:t xml:space="preserve">Caracas, </w:t>
      </w:r>
      <w:r w:rsidR="003B0AD3">
        <w:rPr>
          <w:szCs w:val="24"/>
        </w:rPr>
        <w:t>m</w:t>
      </w:r>
      <w:r>
        <w:rPr>
          <w:szCs w:val="24"/>
        </w:rPr>
        <w:t xml:space="preserve">ayo de </w:t>
      </w:r>
      <w:r w:rsidRPr="00247EAA">
        <w:rPr>
          <w:szCs w:val="24"/>
        </w:rPr>
        <w:t>201</w:t>
      </w:r>
      <w:r>
        <w:rPr>
          <w:szCs w:val="24"/>
        </w:rPr>
        <w:t>2</w:t>
      </w:r>
    </w:p>
    <w:p w:rsidR="00247EAA" w:rsidRPr="00247EAA" w:rsidRDefault="00247EAA" w:rsidP="00247EAA">
      <w:pPr>
        <w:spacing w:line="360" w:lineRule="auto"/>
        <w:jc w:val="center"/>
        <w:rPr>
          <w:b/>
          <w:szCs w:val="24"/>
        </w:rPr>
      </w:pPr>
      <w:r w:rsidRPr="00247EAA">
        <w:rPr>
          <w:b/>
          <w:szCs w:val="24"/>
        </w:rPr>
        <w:lastRenderedPageBreak/>
        <w:t>TRABAJO ESPECIAL DE GRADO</w:t>
      </w:r>
    </w:p>
    <w:p w:rsidR="00247EAA" w:rsidRPr="00247EAA" w:rsidRDefault="00247EAA" w:rsidP="00247EAA">
      <w:pPr>
        <w:spacing w:line="360" w:lineRule="auto"/>
        <w:rPr>
          <w:szCs w:val="24"/>
        </w:rPr>
      </w:pPr>
    </w:p>
    <w:p w:rsidR="00247EAA" w:rsidRPr="00247EAA" w:rsidRDefault="00247EAA" w:rsidP="00247EAA">
      <w:pPr>
        <w:spacing w:line="360" w:lineRule="auto"/>
        <w:rPr>
          <w:szCs w:val="24"/>
        </w:rPr>
      </w:pPr>
    </w:p>
    <w:p w:rsidR="00247EAA" w:rsidRPr="00247EAA" w:rsidRDefault="00247EAA" w:rsidP="00247EAA">
      <w:pPr>
        <w:spacing w:line="360" w:lineRule="auto"/>
        <w:rPr>
          <w:szCs w:val="24"/>
        </w:rPr>
      </w:pPr>
    </w:p>
    <w:p w:rsidR="00247EAA" w:rsidRPr="00247EAA" w:rsidRDefault="00247EAA" w:rsidP="00247EAA">
      <w:pPr>
        <w:spacing w:line="360" w:lineRule="auto"/>
        <w:rPr>
          <w:szCs w:val="24"/>
        </w:rPr>
      </w:pPr>
    </w:p>
    <w:p w:rsidR="00247EAA" w:rsidRPr="00247EAA" w:rsidRDefault="00247EAA" w:rsidP="00F53FE3">
      <w:pPr>
        <w:spacing w:line="360" w:lineRule="auto"/>
        <w:jc w:val="both"/>
        <w:rPr>
          <w:b/>
          <w:iCs/>
          <w:szCs w:val="24"/>
        </w:rPr>
      </w:pPr>
    </w:p>
    <w:p w:rsidR="00247EAA" w:rsidRDefault="00247EAA" w:rsidP="00F53FE3">
      <w:pPr>
        <w:spacing w:line="360" w:lineRule="auto"/>
        <w:jc w:val="both"/>
        <w:rPr>
          <w:b/>
          <w:iCs/>
          <w:szCs w:val="24"/>
        </w:rPr>
      </w:pPr>
    </w:p>
    <w:p w:rsidR="00247EAA" w:rsidRPr="00247EAA" w:rsidRDefault="00247EAA" w:rsidP="00F53FE3">
      <w:pPr>
        <w:spacing w:line="360" w:lineRule="auto"/>
        <w:jc w:val="both"/>
        <w:rPr>
          <w:b/>
          <w:iCs/>
          <w:szCs w:val="24"/>
        </w:rPr>
      </w:pPr>
    </w:p>
    <w:p w:rsidR="00247EAA" w:rsidRPr="00247EAA" w:rsidRDefault="00247EAA" w:rsidP="00F53FE3">
      <w:pPr>
        <w:spacing w:line="360" w:lineRule="auto"/>
        <w:jc w:val="both"/>
        <w:rPr>
          <w:b/>
          <w:iCs/>
          <w:szCs w:val="24"/>
        </w:rPr>
      </w:pPr>
    </w:p>
    <w:p w:rsidR="00247EAA" w:rsidRPr="00247EAA" w:rsidRDefault="00247EAA" w:rsidP="00247EAA">
      <w:pPr>
        <w:spacing w:line="360" w:lineRule="auto"/>
        <w:rPr>
          <w:b/>
          <w:iCs/>
          <w:szCs w:val="24"/>
        </w:rPr>
      </w:pPr>
    </w:p>
    <w:p w:rsidR="00355A67" w:rsidRDefault="00355A67" w:rsidP="00355A67">
      <w:pPr>
        <w:spacing w:line="360" w:lineRule="auto"/>
        <w:jc w:val="center"/>
        <w:rPr>
          <w:b/>
          <w:iCs/>
          <w:caps/>
          <w:sz w:val="28"/>
          <w:szCs w:val="28"/>
        </w:rPr>
      </w:pPr>
    </w:p>
    <w:p w:rsidR="00355A67" w:rsidRDefault="00355A67" w:rsidP="00355A67">
      <w:pPr>
        <w:spacing w:line="360" w:lineRule="auto"/>
        <w:jc w:val="center"/>
        <w:rPr>
          <w:b/>
          <w:iCs/>
          <w:caps/>
          <w:sz w:val="28"/>
          <w:szCs w:val="28"/>
        </w:rPr>
      </w:pPr>
    </w:p>
    <w:p w:rsidR="00355A67" w:rsidRPr="00355A67" w:rsidRDefault="00355A67" w:rsidP="00355A67">
      <w:pPr>
        <w:spacing w:line="360" w:lineRule="auto"/>
        <w:jc w:val="center"/>
        <w:rPr>
          <w:b/>
          <w:caps/>
          <w:sz w:val="28"/>
          <w:szCs w:val="28"/>
        </w:rPr>
      </w:pPr>
      <w:r w:rsidRPr="00355A67">
        <w:rPr>
          <w:b/>
          <w:iCs/>
          <w:caps/>
          <w:sz w:val="28"/>
          <w:szCs w:val="28"/>
        </w:rPr>
        <w:t>dESESTABILIZACIÓN electrostática DE MATERIAL DE FOSAS DE PRODUCCIÓN EMPLEANDO MEDIOS COALESCEDORES</w:t>
      </w:r>
    </w:p>
    <w:p w:rsidR="0068068B" w:rsidRDefault="0068068B" w:rsidP="00247EAA">
      <w:pPr>
        <w:spacing w:line="360" w:lineRule="auto"/>
        <w:rPr>
          <w:szCs w:val="24"/>
        </w:rPr>
      </w:pPr>
    </w:p>
    <w:p w:rsidR="00247EAA" w:rsidRPr="00247EAA" w:rsidRDefault="00247EAA" w:rsidP="00247EAA">
      <w:pPr>
        <w:spacing w:line="360" w:lineRule="auto"/>
        <w:rPr>
          <w:iCs/>
          <w:szCs w:val="24"/>
        </w:rPr>
      </w:pPr>
      <w:r w:rsidRPr="00247EAA">
        <w:rPr>
          <w:szCs w:val="24"/>
        </w:rPr>
        <w:t xml:space="preserve">TUTORES ACADEMICOS: </w:t>
      </w:r>
      <w:r w:rsidRPr="00247EAA">
        <w:rPr>
          <w:iCs/>
          <w:szCs w:val="24"/>
        </w:rPr>
        <w:t>Prof. José Ángel Sorrentino.</w:t>
      </w:r>
    </w:p>
    <w:p w:rsidR="00247EAA" w:rsidRPr="00247EAA" w:rsidRDefault="00247EAA" w:rsidP="00247EAA">
      <w:pPr>
        <w:spacing w:line="360" w:lineRule="auto"/>
        <w:rPr>
          <w:iCs/>
          <w:szCs w:val="24"/>
        </w:rPr>
      </w:pPr>
      <w:r w:rsidRPr="00247EAA">
        <w:rPr>
          <w:iCs/>
          <w:szCs w:val="24"/>
        </w:rPr>
        <w:t xml:space="preserve">                                                 Profa. María A. Rodríguez.</w:t>
      </w:r>
    </w:p>
    <w:p w:rsidR="00247EAA" w:rsidRDefault="00247EAA" w:rsidP="00247EAA">
      <w:pPr>
        <w:spacing w:line="360" w:lineRule="auto"/>
        <w:rPr>
          <w:szCs w:val="24"/>
        </w:rPr>
      </w:pPr>
    </w:p>
    <w:p w:rsidR="0068068B" w:rsidRPr="00247EAA" w:rsidRDefault="0068068B" w:rsidP="00247EAA">
      <w:pPr>
        <w:spacing w:line="360" w:lineRule="auto"/>
        <w:rPr>
          <w:szCs w:val="24"/>
        </w:rPr>
      </w:pPr>
    </w:p>
    <w:p w:rsidR="00F53FE3" w:rsidRPr="00247EAA" w:rsidRDefault="00F53FE3" w:rsidP="00F53FE3">
      <w:pPr>
        <w:spacing w:line="360" w:lineRule="auto"/>
        <w:jc w:val="right"/>
        <w:rPr>
          <w:szCs w:val="24"/>
        </w:rPr>
      </w:pPr>
      <w:r w:rsidRPr="00247EAA">
        <w:rPr>
          <w:szCs w:val="24"/>
        </w:rPr>
        <w:t>Presentado ante la ilustre</w:t>
      </w:r>
    </w:p>
    <w:p w:rsidR="00F53FE3" w:rsidRPr="00247EAA" w:rsidRDefault="00F53FE3" w:rsidP="00F53FE3">
      <w:pPr>
        <w:spacing w:line="360" w:lineRule="auto"/>
        <w:jc w:val="right"/>
        <w:rPr>
          <w:szCs w:val="24"/>
        </w:rPr>
      </w:pPr>
      <w:r w:rsidRPr="00247EAA">
        <w:rPr>
          <w:szCs w:val="24"/>
        </w:rPr>
        <w:t>Universidad Central de Venezuela</w:t>
      </w:r>
    </w:p>
    <w:p w:rsidR="00F53FE3" w:rsidRPr="00247EAA" w:rsidRDefault="00F53FE3" w:rsidP="00F53FE3">
      <w:pPr>
        <w:spacing w:line="360" w:lineRule="auto"/>
        <w:jc w:val="right"/>
        <w:rPr>
          <w:szCs w:val="24"/>
        </w:rPr>
      </w:pPr>
      <w:r w:rsidRPr="00247EAA">
        <w:rPr>
          <w:szCs w:val="24"/>
        </w:rPr>
        <w:t xml:space="preserve">                                                                                        Por el Br. Ingemar D. </w:t>
      </w:r>
      <w:r>
        <w:rPr>
          <w:szCs w:val="24"/>
        </w:rPr>
        <w:t>Q</w:t>
      </w:r>
      <w:r w:rsidRPr="00247EAA">
        <w:rPr>
          <w:szCs w:val="24"/>
        </w:rPr>
        <w:t>uintero S.</w:t>
      </w:r>
    </w:p>
    <w:p w:rsidR="00F53FE3" w:rsidRPr="00247EAA" w:rsidRDefault="00F53FE3" w:rsidP="00F53FE3">
      <w:pPr>
        <w:spacing w:line="360" w:lineRule="auto"/>
        <w:jc w:val="right"/>
        <w:rPr>
          <w:szCs w:val="24"/>
        </w:rPr>
      </w:pPr>
      <w:r w:rsidRPr="00247EAA">
        <w:rPr>
          <w:szCs w:val="24"/>
        </w:rPr>
        <w:t>Para optar al Título</w:t>
      </w:r>
    </w:p>
    <w:p w:rsidR="00F53FE3" w:rsidRPr="00247EAA" w:rsidRDefault="00F53FE3" w:rsidP="00F53FE3">
      <w:pPr>
        <w:spacing w:line="360" w:lineRule="auto"/>
        <w:jc w:val="right"/>
        <w:rPr>
          <w:szCs w:val="24"/>
        </w:rPr>
      </w:pPr>
      <w:r w:rsidRPr="00247EAA">
        <w:rPr>
          <w:szCs w:val="24"/>
        </w:rPr>
        <w:t>de Ingeniero Químico</w:t>
      </w:r>
    </w:p>
    <w:p w:rsidR="00E12857" w:rsidRDefault="00E12857" w:rsidP="00247EAA">
      <w:pPr>
        <w:spacing w:line="360" w:lineRule="auto"/>
        <w:jc w:val="center"/>
        <w:rPr>
          <w:szCs w:val="24"/>
        </w:rPr>
      </w:pPr>
    </w:p>
    <w:p w:rsidR="00355A67" w:rsidRDefault="00355A67" w:rsidP="00247EAA">
      <w:pPr>
        <w:spacing w:line="360" w:lineRule="auto"/>
        <w:jc w:val="center"/>
        <w:rPr>
          <w:szCs w:val="24"/>
        </w:rPr>
      </w:pPr>
    </w:p>
    <w:p w:rsidR="00355A67" w:rsidRDefault="00247EAA" w:rsidP="00247EAA">
      <w:pPr>
        <w:spacing w:line="360" w:lineRule="auto"/>
        <w:jc w:val="center"/>
        <w:rPr>
          <w:szCs w:val="24"/>
        </w:rPr>
        <w:sectPr w:rsidR="00355A67" w:rsidSect="006F09D1">
          <w:pgSz w:w="12240" w:h="15840"/>
          <w:pgMar w:top="1699" w:right="1699" w:bottom="1699" w:left="2275" w:header="720" w:footer="720" w:gutter="0"/>
          <w:pgNumType w:fmt="lowerRoman"/>
          <w:cols w:space="720"/>
          <w:docGrid w:linePitch="360"/>
        </w:sectPr>
      </w:pPr>
      <w:r w:rsidRPr="00247EAA">
        <w:rPr>
          <w:szCs w:val="24"/>
        </w:rPr>
        <w:t xml:space="preserve">Caracas, </w:t>
      </w:r>
      <w:r w:rsidR="00E97045">
        <w:rPr>
          <w:szCs w:val="24"/>
        </w:rPr>
        <w:t>m</w:t>
      </w:r>
      <w:r>
        <w:rPr>
          <w:szCs w:val="24"/>
        </w:rPr>
        <w:t xml:space="preserve">ayo de </w:t>
      </w:r>
      <w:r w:rsidRPr="00247EAA">
        <w:rPr>
          <w:szCs w:val="24"/>
        </w:rPr>
        <w:t>201</w:t>
      </w:r>
      <w:r>
        <w:rPr>
          <w:szCs w:val="24"/>
        </w:rPr>
        <w:t>2</w:t>
      </w:r>
    </w:p>
    <w:p w:rsidR="000D6816" w:rsidRDefault="00FB6855" w:rsidP="00FB6855">
      <w:pPr>
        <w:jc w:val="center"/>
        <w:rPr>
          <w:b/>
          <w:szCs w:val="24"/>
        </w:rPr>
      </w:pPr>
      <w:r>
        <w:rPr>
          <w:b/>
          <w:szCs w:val="24"/>
        </w:rPr>
        <w:lastRenderedPageBreak/>
        <w:t>Ingemar D. Quintero Simonpietri.</w:t>
      </w:r>
    </w:p>
    <w:p w:rsidR="000D6816" w:rsidRDefault="000D6816" w:rsidP="00FB6855">
      <w:pPr>
        <w:jc w:val="center"/>
        <w:rPr>
          <w:b/>
          <w:szCs w:val="24"/>
        </w:rPr>
      </w:pPr>
    </w:p>
    <w:p w:rsidR="00E97045" w:rsidRPr="003518D8" w:rsidRDefault="00E97045" w:rsidP="00E97045">
      <w:pPr>
        <w:pStyle w:val="Textoindependiente"/>
        <w:jc w:val="right"/>
        <w:rPr>
          <w:szCs w:val="24"/>
        </w:rPr>
      </w:pPr>
      <w:r w:rsidRPr="003518D8">
        <w:rPr>
          <w:szCs w:val="24"/>
        </w:rPr>
        <w:t xml:space="preserve">Caracas, </w:t>
      </w:r>
      <w:r>
        <w:rPr>
          <w:szCs w:val="24"/>
        </w:rPr>
        <w:t>mayo de</w:t>
      </w:r>
      <w:r w:rsidRPr="003518D8">
        <w:rPr>
          <w:szCs w:val="24"/>
        </w:rPr>
        <w:t xml:space="preserve"> 2012</w:t>
      </w:r>
    </w:p>
    <w:p w:rsidR="00E97045" w:rsidRPr="003518D8" w:rsidRDefault="00E97045" w:rsidP="00E97045">
      <w:pPr>
        <w:pStyle w:val="Textoindependiente"/>
        <w:jc w:val="center"/>
        <w:rPr>
          <w:szCs w:val="24"/>
        </w:rPr>
      </w:pPr>
    </w:p>
    <w:p w:rsidR="00E97045" w:rsidRPr="003518D8" w:rsidRDefault="00E97045" w:rsidP="00E97045">
      <w:pPr>
        <w:pStyle w:val="Textoindependiente"/>
        <w:jc w:val="center"/>
        <w:rPr>
          <w:szCs w:val="24"/>
        </w:rPr>
      </w:pPr>
    </w:p>
    <w:p w:rsidR="00E97045" w:rsidRPr="003518D8" w:rsidRDefault="00E97045" w:rsidP="00E97045">
      <w:pPr>
        <w:pStyle w:val="Textoindependiente"/>
        <w:jc w:val="both"/>
        <w:rPr>
          <w:szCs w:val="24"/>
        </w:rPr>
      </w:pPr>
      <w:r w:rsidRPr="003518D8">
        <w:rPr>
          <w:szCs w:val="24"/>
        </w:rPr>
        <w:t>Los abajo firmantes, miembros del Jurado designado por el Consejo de Escuela de Ingeniería Química, para evaluar el Trabajo Especial de Grado p</w:t>
      </w:r>
      <w:r>
        <w:rPr>
          <w:szCs w:val="24"/>
        </w:rPr>
        <w:t xml:space="preserve">resentado por </w:t>
      </w:r>
      <w:r w:rsidR="00397D42">
        <w:rPr>
          <w:szCs w:val="24"/>
        </w:rPr>
        <w:t xml:space="preserve">el </w:t>
      </w:r>
      <w:r>
        <w:rPr>
          <w:szCs w:val="24"/>
        </w:rPr>
        <w:t xml:space="preserve">Bachiller </w:t>
      </w:r>
      <w:r w:rsidR="00397D42">
        <w:rPr>
          <w:szCs w:val="24"/>
        </w:rPr>
        <w:t>Quintero S., Ingemar D.</w:t>
      </w:r>
      <w:r w:rsidRPr="003518D8">
        <w:rPr>
          <w:szCs w:val="24"/>
        </w:rPr>
        <w:t>, titulado:</w:t>
      </w:r>
    </w:p>
    <w:p w:rsidR="00E97045" w:rsidRPr="003518D8" w:rsidRDefault="00E97045" w:rsidP="00E97045">
      <w:pPr>
        <w:pStyle w:val="Textoindependiente"/>
        <w:jc w:val="center"/>
        <w:rPr>
          <w:szCs w:val="24"/>
        </w:rPr>
      </w:pPr>
    </w:p>
    <w:p w:rsidR="00E97045" w:rsidRPr="003518D8" w:rsidRDefault="00E97045" w:rsidP="00E97045">
      <w:pPr>
        <w:pStyle w:val="Textoindependiente"/>
        <w:jc w:val="center"/>
        <w:rPr>
          <w:szCs w:val="24"/>
        </w:rPr>
      </w:pPr>
    </w:p>
    <w:p w:rsidR="00E97045" w:rsidRPr="003518D8" w:rsidRDefault="00E97045" w:rsidP="00E97045">
      <w:pPr>
        <w:pStyle w:val="Textoindependiente"/>
        <w:jc w:val="center"/>
        <w:rPr>
          <w:szCs w:val="24"/>
        </w:rPr>
      </w:pPr>
    </w:p>
    <w:p w:rsidR="00355A67" w:rsidRPr="00355A67" w:rsidRDefault="00355A67" w:rsidP="00355A67">
      <w:pPr>
        <w:spacing w:line="360" w:lineRule="auto"/>
        <w:jc w:val="center"/>
        <w:rPr>
          <w:b/>
          <w:caps/>
          <w:sz w:val="28"/>
          <w:szCs w:val="28"/>
        </w:rPr>
      </w:pPr>
      <w:r w:rsidRPr="00355A67">
        <w:rPr>
          <w:b/>
          <w:iCs/>
          <w:caps/>
          <w:sz w:val="28"/>
          <w:szCs w:val="28"/>
        </w:rPr>
        <w:t>dESESTABILIZACIÓN electrostática DE MATERIAL DE FOSAS DE PRODUCCIÓN EMPLEANDO MEDIOS COALESCEDORES</w:t>
      </w:r>
    </w:p>
    <w:p w:rsidR="00E97045" w:rsidRDefault="00E97045" w:rsidP="00E97045">
      <w:pPr>
        <w:pStyle w:val="Textoindependiente"/>
        <w:jc w:val="center"/>
        <w:rPr>
          <w:szCs w:val="24"/>
        </w:rPr>
      </w:pPr>
    </w:p>
    <w:p w:rsidR="00E97045" w:rsidRPr="003518D8" w:rsidRDefault="00E97045" w:rsidP="00E97045">
      <w:pPr>
        <w:pStyle w:val="Textoindependiente"/>
        <w:jc w:val="center"/>
        <w:rPr>
          <w:szCs w:val="24"/>
        </w:rPr>
      </w:pPr>
    </w:p>
    <w:p w:rsidR="00E97045" w:rsidRPr="003518D8" w:rsidRDefault="00E97045" w:rsidP="00E97045">
      <w:pPr>
        <w:pStyle w:val="Textoindependiente"/>
        <w:jc w:val="center"/>
        <w:rPr>
          <w:szCs w:val="24"/>
        </w:rPr>
      </w:pPr>
    </w:p>
    <w:p w:rsidR="00E97045" w:rsidRPr="003518D8" w:rsidRDefault="00E97045" w:rsidP="00E97045">
      <w:pPr>
        <w:pStyle w:val="Textoindependiente"/>
        <w:jc w:val="both"/>
        <w:rPr>
          <w:szCs w:val="24"/>
        </w:rPr>
      </w:pPr>
      <w:r w:rsidRPr="003518D8">
        <w:rPr>
          <w:szCs w:val="24"/>
        </w:rPr>
        <w:t>Consideran que el mismo cumple con los requisitos exigidos por el plan de estudios conducente al Título de Ingeniero Químico, y sin que ello signifique que se hacen solidarios con las ideas expuestas por el autor, lo declaran APROBADO.</w:t>
      </w:r>
    </w:p>
    <w:p w:rsidR="00E97045" w:rsidRPr="003518D8" w:rsidRDefault="00E97045" w:rsidP="00E97045">
      <w:pPr>
        <w:pStyle w:val="Textoindependiente"/>
        <w:jc w:val="center"/>
        <w:rPr>
          <w:szCs w:val="24"/>
        </w:rPr>
      </w:pPr>
    </w:p>
    <w:p w:rsidR="00E97045" w:rsidRPr="003518D8" w:rsidRDefault="00E97045" w:rsidP="00E97045">
      <w:pPr>
        <w:pStyle w:val="Textoindependiente"/>
        <w:jc w:val="center"/>
        <w:rPr>
          <w:szCs w:val="24"/>
        </w:rPr>
      </w:pPr>
    </w:p>
    <w:p w:rsidR="00E97045" w:rsidRPr="003518D8" w:rsidRDefault="00E97045" w:rsidP="00E97045">
      <w:pPr>
        <w:pStyle w:val="Textoindependiente"/>
        <w:jc w:val="center"/>
        <w:rPr>
          <w:szCs w:val="24"/>
        </w:rPr>
      </w:pPr>
    </w:p>
    <w:p w:rsidR="00E97045" w:rsidRPr="003518D8" w:rsidRDefault="00E97045" w:rsidP="00E97045">
      <w:pPr>
        <w:pStyle w:val="Textoindependiente"/>
        <w:jc w:val="center"/>
        <w:rPr>
          <w:szCs w:val="24"/>
        </w:rPr>
      </w:pPr>
      <w:r>
        <w:rPr>
          <w:szCs w:val="24"/>
        </w:rPr>
        <w:t>Prof. Napoleón Malpica</w:t>
      </w:r>
      <w:r>
        <w:rPr>
          <w:szCs w:val="24"/>
        </w:rPr>
        <w:tab/>
      </w:r>
      <w:r>
        <w:rPr>
          <w:szCs w:val="24"/>
        </w:rPr>
        <w:tab/>
      </w:r>
      <w:r>
        <w:rPr>
          <w:szCs w:val="24"/>
        </w:rPr>
        <w:tab/>
        <w:t xml:space="preserve">Prof. Francisco Yánez </w:t>
      </w:r>
    </w:p>
    <w:p w:rsidR="00E97045" w:rsidRPr="003518D8" w:rsidRDefault="00E97045" w:rsidP="00E97045">
      <w:pPr>
        <w:pStyle w:val="Textoindependiente"/>
        <w:jc w:val="center"/>
        <w:rPr>
          <w:szCs w:val="24"/>
        </w:rPr>
      </w:pPr>
      <w:r w:rsidRPr="003518D8">
        <w:rPr>
          <w:szCs w:val="24"/>
        </w:rPr>
        <w:t>Jurado</w:t>
      </w:r>
      <w:r w:rsidRPr="003518D8">
        <w:rPr>
          <w:szCs w:val="24"/>
        </w:rPr>
        <w:tab/>
      </w:r>
      <w:r w:rsidRPr="003518D8">
        <w:rPr>
          <w:szCs w:val="24"/>
        </w:rPr>
        <w:tab/>
      </w:r>
      <w:r w:rsidRPr="003518D8">
        <w:rPr>
          <w:szCs w:val="24"/>
        </w:rPr>
        <w:tab/>
      </w:r>
      <w:r w:rsidRPr="003518D8">
        <w:rPr>
          <w:szCs w:val="24"/>
        </w:rPr>
        <w:tab/>
      </w:r>
      <w:r w:rsidRPr="003518D8">
        <w:rPr>
          <w:szCs w:val="24"/>
        </w:rPr>
        <w:tab/>
      </w:r>
      <w:r>
        <w:rPr>
          <w:szCs w:val="24"/>
        </w:rPr>
        <w:tab/>
      </w:r>
      <w:r w:rsidRPr="003518D8">
        <w:rPr>
          <w:szCs w:val="24"/>
        </w:rPr>
        <w:t>Jurado</w:t>
      </w:r>
    </w:p>
    <w:p w:rsidR="00E97045" w:rsidRPr="003518D8" w:rsidRDefault="00E97045" w:rsidP="00E97045">
      <w:pPr>
        <w:pStyle w:val="Textoindependiente"/>
        <w:jc w:val="center"/>
        <w:rPr>
          <w:szCs w:val="24"/>
        </w:rPr>
      </w:pPr>
    </w:p>
    <w:p w:rsidR="00E97045" w:rsidRPr="003518D8" w:rsidRDefault="00E97045" w:rsidP="00E97045">
      <w:pPr>
        <w:pStyle w:val="Textoindependiente"/>
        <w:jc w:val="center"/>
        <w:rPr>
          <w:szCs w:val="24"/>
        </w:rPr>
      </w:pPr>
    </w:p>
    <w:p w:rsidR="00E97045" w:rsidRPr="003518D8" w:rsidRDefault="00E97045" w:rsidP="00E97045">
      <w:pPr>
        <w:pStyle w:val="Textoindependiente"/>
        <w:jc w:val="center"/>
        <w:rPr>
          <w:szCs w:val="24"/>
        </w:rPr>
      </w:pPr>
    </w:p>
    <w:p w:rsidR="00E97045" w:rsidRPr="003518D8" w:rsidRDefault="00E97045" w:rsidP="00E97045">
      <w:pPr>
        <w:pStyle w:val="Textoindependiente"/>
        <w:jc w:val="center"/>
        <w:rPr>
          <w:szCs w:val="24"/>
        </w:rPr>
      </w:pPr>
    </w:p>
    <w:p w:rsidR="00E97045" w:rsidRPr="003518D8" w:rsidRDefault="00E97045" w:rsidP="00E97045">
      <w:pPr>
        <w:pStyle w:val="Textoindependiente"/>
        <w:jc w:val="center"/>
        <w:rPr>
          <w:szCs w:val="24"/>
        </w:rPr>
      </w:pPr>
      <w:r w:rsidRPr="003518D8">
        <w:rPr>
          <w:szCs w:val="24"/>
        </w:rPr>
        <w:t>Prof. José Ángel Sorrentino</w:t>
      </w:r>
      <w:r w:rsidRPr="003518D8">
        <w:rPr>
          <w:szCs w:val="24"/>
        </w:rPr>
        <w:tab/>
      </w:r>
      <w:r w:rsidRPr="003518D8">
        <w:rPr>
          <w:szCs w:val="24"/>
        </w:rPr>
        <w:tab/>
      </w:r>
      <w:r w:rsidRPr="003518D8">
        <w:rPr>
          <w:szCs w:val="24"/>
        </w:rPr>
        <w:tab/>
        <w:t xml:space="preserve">Profa. </w:t>
      </w:r>
      <w:r w:rsidRPr="003518D8">
        <w:rPr>
          <w:szCs w:val="24"/>
          <w:lang w:val="es-VE"/>
        </w:rPr>
        <w:t>María Rodríguez</w:t>
      </w:r>
    </w:p>
    <w:p w:rsidR="00E97045" w:rsidRPr="003518D8" w:rsidRDefault="00735AFD" w:rsidP="00E97045">
      <w:pPr>
        <w:pStyle w:val="Textoindependiente"/>
        <w:jc w:val="center"/>
        <w:rPr>
          <w:szCs w:val="24"/>
        </w:rPr>
      </w:pPr>
      <w:r>
        <w:rPr>
          <w:szCs w:val="24"/>
        </w:rPr>
        <w:t xml:space="preserve">    </w:t>
      </w:r>
      <w:r w:rsidR="00E97045">
        <w:rPr>
          <w:szCs w:val="24"/>
        </w:rPr>
        <w:t>Tutor Académico</w:t>
      </w:r>
      <w:r w:rsidR="00E97045">
        <w:rPr>
          <w:szCs w:val="24"/>
        </w:rPr>
        <w:tab/>
      </w:r>
      <w:r w:rsidR="00E97045">
        <w:rPr>
          <w:szCs w:val="24"/>
        </w:rPr>
        <w:tab/>
      </w:r>
      <w:r w:rsidR="00E97045">
        <w:rPr>
          <w:szCs w:val="24"/>
        </w:rPr>
        <w:tab/>
      </w:r>
      <w:r w:rsidR="006F09D1">
        <w:rPr>
          <w:szCs w:val="24"/>
        </w:rPr>
        <w:tab/>
      </w:r>
      <w:r>
        <w:rPr>
          <w:szCs w:val="24"/>
        </w:rPr>
        <w:t xml:space="preserve"> </w:t>
      </w:r>
      <w:r w:rsidR="00E97045" w:rsidRPr="003518D8">
        <w:rPr>
          <w:szCs w:val="24"/>
        </w:rPr>
        <w:t>Cotutor Académico</w:t>
      </w:r>
    </w:p>
    <w:p w:rsidR="00355A67" w:rsidRDefault="00355A67"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4A5F6F" w:rsidRDefault="004A5F6F" w:rsidP="00355A67">
      <w:pPr>
        <w:jc w:val="center"/>
        <w:rPr>
          <w:b/>
          <w:szCs w:val="24"/>
        </w:rPr>
      </w:pPr>
    </w:p>
    <w:p w:rsidR="00355A67" w:rsidRDefault="00355A67" w:rsidP="00355A67">
      <w:pPr>
        <w:spacing w:line="360" w:lineRule="auto"/>
        <w:jc w:val="center"/>
        <w:rPr>
          <w:b/>
        </w:rPr>
      </w:pPr>
    </w:p>
    <w:p w:rsidR="000C6E45" w:rsidRDefault="000C6E45" w:rsidP="00FE631D">
      <w:pPr>
        <w:spacing w:before="240" w:after="240" w:line="360" w:lineRule="auto"/>
        <w:jc w:val="center"/>
        <w:rPr>
          <w:b/>
        </w:rPr>
      </w:pPr>
      <w:r>
        <w:rPr>
          <w:b/>
        </w:rPr>
        <w:lastRenderedPageBreak/>
        <w:t>DEDICATORIA</w:t>
      </w:r>
    </w:p>
    <w:p w:rsidR="00735AFD" w:rsidRDefault="00735AFD" w:rsidP="00735AFD">
      <w:pPr>
        <w:spacing w:line="360" w:lineRule="auto"/>
        <w:jc w:val="center"/>
        <w:rPr>
          <w:i/>
        </w:rPr>
      </w:pPr>
      <w:r w:rsidRPr="00735AFD">
        <w:rPr>
          <w:i/>
        </w:rPr>
        <w:t>A Dios por haberme dado la v</w:t>
      </w:r>
      <w:r w:rsidR="00FE631D">
        <w:rPr>
          <w:i/>
        </w:rPr>
        <w:t>i</w:t>
      </w:r>
      <w:r w:rsidRPr="00735AFD">
        <w:rPr>
          <w:i/>
        </w:rPr>
        <w:t>da y la familia que tengo.</w:t>
      </w:r>
    </w:p>
    <w:p w:rsidR="000C6E45" w:rsidRDefault="000C6E45" w:rsidP="00735AFD">
      <w:pPr>
        <w:spacing w:line="360" w:lineRule="auto"/>
        <w:jc w:val="center"/>
        <w:rPr>
          <w:i/>
        </w:rPr>
      </w:pPr>
      <w:r w:rsidRPr="00735AFD">
        <w:rPr>
          <w:i/>
        </w:rPr>
        <w:t xml:space="preserve">A mis padres Ingemar David Quintero Sardi y Lorena Simonpietri de Quintero por haberme inculcado su especial amor y afecto </w:t>
      </w:r>
      <w:r w:rsidR="00B02935" w:rsidRPr="00735AFD">
        <w:rPr>
          <w:i/>
        </w:rPr>
        <w:t>en</w:t>
      </w:r>
      <w:r w:rsidRPr="00735AFD">
        <w:rPr>
          <w:i/>
        </w:rPr>
        <w:t xml:space="preserve"> estos años y haberme apoyado y aconsejado en cada decisión </w:t>
      </w:r>
      <w:r w:rsidR="00B02935" w:rsidRPr="00735AFD">
        <w:rPr>
          <w:i/>
        </w:rPr>
        <w:t>a lo</w:t>
      </w:r>
      <w:r w:rsidRPr="00735AFD">
        <w:rPr>
          <w:i/>
        </w:rPr>
        <w:t xml:space="preserve"> largo </w:t>
      </w:r>
      <w:r w:rsidR="00B02935" w:rsidRPr="00735AFD">
        <w:rPr>
          <w:i/>
        </w:rPr>
        <w:t xml:space="preserve">de todo el </w:t>
      </w:r>
      <w:r w:rsidRPr="00735AFD">
        <w:rPr>
          <w:i/>
        </w:rPr>
        <w:t xml:space="preserve">camino de mi formación </w:t>
      </w:r>
      <w:r w:rsidR="00B02935" w:rsidRPr="00735AFD">
        <w:rPr>
          <w:i/>
        </w:rPr>
        <w:t xml:space="preserve">humana y </w:t>
      </w:r>
      <w:r w:rsidRPr="00735AFD">
        <w:rPr>
          <w:i/>
        </w:rPr>
        <w:t>universitaria.</w:t>
      </w:r>
      <w:r w:rsidR="00B02935" w:rsidRPr="00735AFD">
        <w:rPr>
          <w:i/>
        </w:rPr>
        <w:t xml:space="preserve"> Por haber representado para mí, un ejemplo a seguir en cada ámbito de la persona humana. Sin ustedes nada de esto hubiese sido posible.</w:t>
      </w:r>
    </w:p>
    <w:p w:rsidR="00361944" w:rsidRPr="00735AFD" w:rsidRDefault="00361944" w:rsidP="00A97D3F">
      <w:pPr>
        <w:jc w:val="center"/>
        <w:rPr>
          <w:i/>
        </w:rPr>
      </w:pPr>
    </w:p>
    <w:p w:rsidR="00B02935" w:rsidRDefault="00B02935" w:rsidP="00735AFD">
      <w:pPr>
        <w:spacing w:line="360" w:lineRule="auto"/>
        <w:jc w:val="center"/>
        <w:rPr>
          <w:i/>
        </w:rPr>
      </w:pPr>
      <w:r w:rsidRPr="00735AFD">
        <w:rPr>
          <w:i/>
        </w:rPr>
        <w:t>A mi hermano Francisco José Napoleón Quintero Simonpietri a quien admiro muchísimo por su talento y constancia en el estudio y en el trabajo y por haberme motivado siempre a realizar cada tarea con arduo empeño y constancia.</w:t>
      </w:r>
    </w:p>
    <w:p w:rsidR="00A97D3F" w:rsidRPr="00735AFD" w:rsidRDefault="00A97D3F" w:rsidP="00A97D3F">
      <w:pPr>
        <w:jc w:val="center"/>
        <w:rPr>
          <w:i/>
        </w:rPr>
      </w:pPr>
    </w:p>
    <w:p w:rsidR="00B02935" w:rsidRDefault="00B02935" w:rsidP="00735AFD">
      <w:pPr>
        <w:spacing w:line="360" w:lineRule="auto"/>
        <w:jc w:val="center"/>
        <w:rPr>
          <w:i/>
        </w:rPr>
      </w:pPr>
      <w:r w:rsidRPr="00735AFD">
        <w:rPr>
          <w:i/>
        </w:rPr>
        <w:t xml:space="preserve">A mi abuelo Roberto José Simonpietri Piereti por haber </w:t>
      </w:r>
      <w:r w:rsidR="00C8048E" w:rsidRPr="00735AFD">
        <w:rPr>
          <w:i/>
        </w:rPr>
        <w:t>representado para mí</w:t>
      </w:r>
      <w:r w:rsidRPr="00735AFD">
        <w:rPr>
          <w:i/>
        </w:rPr>
        <w:t xml:space="preserve"> en los pocos años que compartí a tu lado, </w:t>
      </w:r>
      <w:r w:rsidR="00C8048E" w:rsidRPr="00735AFD">
        <w:rPr>
          <w:i/>
        </w:rPr>
        <w:t>un ejemplo invaluable y único de rectitud, formación humana y constancia y por haberme dado la Madre más especial que alguien pueda soñar. Por haber apoyado a mi papá en cada momento y haber sido también un Padre para él.</w:t>
      </w:r>
    </w:p>
    <w:p w:rsidR="00361944" w:rsidRPr="00735AFD" w:rsidRDefault="00361944" w:rsidP="00A97D3F">
      <w:pPr>
        <w:jc w:val="center"/>
        <w:rPr>
          <w:i/>
        </w:rPr>
      </w:pPr>
    </w:p>
    <w:p w:rsidR="00C8048E" w:rsidRDefault="00C8048E" w:rsidP="00FE631D">
      <w:pPr>
        <w:spacing w:line="360" w:lineRule="auto"/>
        <w:jc w:val="center"/>
        <w:rPr>
          <w:i/>
        </w:rPr>
      </w:pPr>
      <w:r w:rsidRPr="00735AFD">
        <w:rPr>
          <w:i/>
        </w:rPr>
        <w:t>A mi abuela Ethel Barreat de Simonpietri, por su infinito amor y apoyo incondicional a mis padres</w:t>
      </w:r>
      <w:r w:rsidR="00735AFD" w:rsidRPr="00735AFD">
        <w:rPr>
          <w:i/>
        </w:rPr>
        <w:t>,</w:t>
      </w:r>
      <w:r w:rsidRPr="00735AFD">
        <w:rPr>
          <w:i/>
        </w:rPr>
        <w:t xml:space="preserve"> por representar para mí un ejemplo de humildad y caridad fraterna incomparable</w:t>
      </w:r>
      <w:r w:rsidR="00735AFD" w:rsidRPr="00735AFD">
        <w:rPr>
          <w:i/>
        </w:rPr>
        <w:t xml:space="preserve"> y por haber amado y apoyado incondicionalmente, hasta la muerte, a mi abuelo Roberto.</w:t>
      </w:r>
    </w:p>
    <w:p w:rsidR="00361944" w:rsidRPr="00735AFD" w:rsidRDefault="00361944" w:rsidP="00A97D3F">
      <w:pPr>
        <w:jc w:val="center"/>
        <w:rPr>
          <w:i/>
        </w:rPr>
      </w:pPr>
    </w:p>
    <w:p w:rsidR="000C6E45" w:rsidRDefault="00FE631D" w:rsidP="00355A67">
      <w:pPr>
        <w:spacing w:line="360" w:lineRule="auto"/>
        <w:jc w:val="center"/>
        <w:rPr>
          <w:i/>
        </w:rPr>
      </w:pPr>
      <w:r w:rsidRPr="00874329">
        <w:rPr>
          <w:i/>
        </w:rPr>
        <w:t>A mis amigos Juan Carlos, Rebeca, Mariana, Angélica, Airam, Daniel, Álvaro, Antonio</w:t>
      </w:r>
      <w:r w:rsidR="004A5F6F">
        <w:rPr>
          <w:i/>
        </w:rPr>
        <w:t>,</w:t>
      </w:r>
      <w:r w:rsidR="00A97D3F">
        <w:rPr>
          <w:i/>
        </w:rPr>
        <w:t xml:space="preserve"> Luisma</w:t>
      </w:r>
      <w:r w:rsidR="004A5F6F">
        <w:rPr>
          <w:i/>
        </w:rPr>
        <w:t>, María, Maholy,</w:t>
      </w:r>
      <w:r w:rsidRPr="00874329">
        <w:rPr>
          <w:i/>
        </w:rPr>
        <w:t xml:space="preserve"> Yolmer,</w:t>
      </w:r>
      <w:r w:rsidR="004A5F6F">
        <w:rPr>
          <w:i/>
        </w:rPr>
        <w:t xml:space="preserve"> Carlos y Abi, </w:t>
      </w:r>
      <w:r w:rsidRPr="00874329">
        <w:rPr>
          <w:i/>
        </w:rPr>
        <w:t xml:space="preserve"> por haberme apoyado siempre y haber compartido conmigo grandes e inolvidables momentos.</w:t>
      </w:r>
    </w:p>
    <w:p w:rsidR="00361944" w:rsidRPr="00874329" w:rsidRDefault="00361944" w:rsidP="00A97D3F">
      <w:pPr>
        <w:jc w:val="center"/>
        <w:rPr>
          <w:i/>
        </w:rPr>
      </w:pPr>
    </w:p>
    <w:p w:rsidR="000C6E45" w:rsidRDefault="00361944" w:rsidP="00355A67">
      <w:pPr>
        <w:spacing w:line="360" w:lineRule="auto"/>
        <w:jc w:val="center"/>
        <w:rPr>
          <w:i/>
        </w:rPr>
      </w:pPr>
      <w:r>
        <w:rPr>
          <w:i/>
        </w:rPr>
        <w:t xml:space="preserve">Para ustedes </w:t>
      </w:r>
      <w:r w:rsidR="00FE631D" w:rsidRPr="00874329">
        <w:rPr>
          <w:i/>
        </w:rPr>
        <w:t>mis hermanos</w:t>
      </w:r>
      <w:r>
        <w:rPr>
          <w:i/>
        </w:rPr>
        <w:t>:</w:t>
      </w:r>
      <w:r w:rsidR="00874329">
        <w:rPr>
          <w:i/>
        </w:rPr>
        <w:t xml:space="preserve"> El Pollo, Bombillo, Ernesto y Wisam</w:t>
      </w:r>
      <w:r w:rsidR="004A5F6F">
        <w:rPr>
          <w:i/>
        </w:rPr>
        <w:t>, estas palabras:</w:t>
      </w:r>
    </w:p>
    <w:p w:rsidR="00874329" w:rsidRPr="004A5F6F" w:rsidRDefault="00874329" w:rsidP="00874329">
      <w:pPr>
        <w:tabs>
          <w:tab w:val="left" w:pos="3435"/>
        </w:tabs>
        <w:jc w:val="center"/>
        <w:rPr>
          <w:color w:val="000000" w:themeColor="text1"/>
          <w:szCs w:val="24"/>
          <w:lang w:val="es-VE"/>
        </w:rPr>
      </w:pPr>
    </w:p>
    <w:p w:rsidR="00874329" w:rsidRPr="00874329" w:rsidRDefault="00874329" w:rsidP="00355A67">
      <w:pPr>
        <w:spacing w:line="360" w:lineRule="auto"/>
        <w:jc w:val="center"/>
        <w:rPr>
          <w:i/>
          <w:lang w:val="en-US"/>
        </w:rPr>
      </w:pPr>
      <w:r w:rsidRPr="00874329">
        <w:rPr>
          <w:i/>
          <w:noProof/>
          <w:lang w:val="en-US" w:eastAsia="en-US"/>
        </w:rPr>
        <w:drawing>
          <wp:inline distT="0" distB="0" distL="0" distR="0">
            <wp:extent cx="2931184" cy="418741"/>
            <wp:effectExtent l="19050" t="0" r="2516"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52273" cy="421754"/>
                    </a:xfrm>
                    <a:prstGeom prst="rect">
                      <a:avLst/>
                    </a:prstGeom>
                    <a:noFill/>
                    <a:ln w="9525">
                      <a:noFill/>
                      <a:miter lim="800000"/>
                      <a:headEnd/>
                      <a:tailEnd/>
                    </a:ln>
                  </pic:spPr>
                </pic:pic>
              </a:graphicData>
            </a:graphic>
          </wp:inline>
        </w:drawing>
      </w:r>
    </w:p>
    <w:p w:rsidR="000C6E45" w:rsidRDefault="00874329" w:rsidP="0090063D">
      <w:pPr>
        <w:spacing w:after="240" w:line="360" w:lineRule="auto"/>
        <w:jc w:val="center"/>
        <w:rPr>
          <w:b/>
        </w:rPr>
      </w:pPr>
      <w:r>
        <w:rPr>
          <w:b/>
        </w:rPr>
        <w:lastRenderedPageBreak/>
        <w:t>AGRADECIMIENTOS</w:t>
      </w:r>
    </w:p>
    <w:p w:rsidR="00874329" w:rsidRDefault="0090063D" w:rsidP="0090063D">
      <w:pPr>
        <w:spacing w:line="360" w:lineRule="auto"/>
        <w:jc w:val="both"/>
        <w:rPr>
          <w:i/>
        </w:rPr>
      </w:pPr>
      <w:r>
        <w:rPr>
          <w:i/>
        </w:rPr>
        <w:tab/>
      </w:r>
      <w:r w:rsidR="00874329" w:rsidRPr="0090063D">
        <w:rPr>
          <w:i/>
        </w:rPr>
        <w:t xml:space="preserve">A Dios por haberme brindado las gracias de poder vivir este </w:t>
      </w:r>
      <w:r w:rsidR="00A97D3F" w:rsidRPr="0090063D">
        <w:rPr>
          <w:i/>
        </w:rPr>
        <w:t xml:space="preserve">increíble </w:t>
      </w:r>
      <w:r w:rsidR="00874329" w:rsidRPr="0090063D">
        <w:rPr>
          <w:i/>
        </w:rPr>
        <w:t>momento.</w:t>
      </w:r>
    </w:p>
    <w:p w:rsidR="0090063D" w:rsidRPr="0090063D" w:rsidRDefault="0090063D" w:rsidP="0090063D">
      <w:pPr>
        <w:spacing w:line="360" w:lineRule="auto"/>
        <w:jc w:val="both"/>
        <w:rPr>
          <w:i/>
        </w:rPr>
      </w:pPr>
    </w:p>
    <w:p w:rsidR="00874329" w:rsidRDefault="00874329" w:rsidP="0090063D">
      <w:pPr>
        <w:spacing w:line="360" w:lineRule="auto"/>
        <w:jc w:val="both"/>
        <w:rPr>
          <w:i/>
        </w:rPr>
      </w:pPr>
      <w:r w:rsidRPr="0090063D">
        <w:rPr>
          <w:i/>
        </w:rPr>
        <w:t xml:space="preserve">Agradezco profundamente a mis Padres por todo su apoyo y esfuerzo. No bastarían las palabras para agradecerles cuanto </w:t>
      </w:r>
      <w:r w:rsidR="006B07D1" w:rsidRPr="0090063D">
        <w:rPr>
          <w:i/>
        </w:rPr>
        <w:t xml:space="preserve">han </w:t>
      </w:r>
      <w:r w:rsidR="00361944" w:rsidRPr="0090063D">
        <w:rPr>
          <w:i/>
        </w:rPr>
        <w:t>hecho por mí.</w:t>
      </w:r>
      <w:r w:rsidR="00A97D3F" w:rsidRPr="0090063D">
        <w:rPr>
          <w:i/>
        </w:rPr>
        <w:t xml:space="preserve"> </w:t>
      </w:r>
    </w:p>
    <w:p w:rsidR="0090063D" w:rsidRPr="0090063D" w:rsidRDefault="0090063D" w:rsidP="0090063D">
      <w:pPr>
        <w:spacing w:line="360" w:lineRule="auto"/>
        <w:jc w:val="both"/>
        <w:rPr>
          <w:i/>
        </w:rPr>
      </w:pPr>
    </w:p>
    <w:p w:rsidR="00363A66" w:rsidRPr="0090063D" w:rsidRDefault="0090063D" w:rsidP="0090063D">
      <w:pPr>
        <w:spacing w:line="360" w:lineRule="auto"/>
        <w:jc w:val="both"/>
        <w:rPr>
          <w:i/>
        </w:rPr>
      </w:pPr>
      <w:r>
        <w:rPr>
          <w:i/>
        </w:rPr>
        <w:tab/>
      </w:r>
      <w:r w:rsidR="00363A66" w:rsidRPr="0090063D">
        <w:rPr>
          <w:i/>
        </w:rPr>
        <w:t xml:space="preserve">A la Universidad Central de Venezuela por concederme el honor de </w:t>
      </w:r>
      <w:r w:rsidR="0038005A" w:rsidRPr="0090063D">
        <w:rPr>
          <w:i/>
        </w:rPr>
        <w:t>formarme en la mejor universidad de Venezuela. ¡Siempre ucevista!</w:t>
      </w:r>
    </w:p>
    <w:p w:rsidR="00361944" w:rsidRDefault="00361944" w:rsidP="0090063D">
      <w:pPr>
        <w:spacing w:line="360" w:lineRule="auto"/>
        <w:jc w:val="both"/>
        <w:rPr>
          <w:i/>
        </w:rPr>
      </w:pPr>
      <w:r w:rsidRPr="0090063D">
        <w:rPr>
          <w:i/>
        </w:rPr>
        <w:t>Al Profesor Sorrentino por haberme brindado la oportunidad de desarrollar mi trabajo de grado con el grupo LSM-WOSS</w:t>
      </w:r>
      <w:r w:rsidR="00363A66" w:rsidRPr="0090063D">
        <w:rPr>
          <w:i/>
        </w:rPr>
        <w:t xml:space="preserve"> y por su dirección y ayuda brindada en estos años.</w:t>
      </w:r>
    </w:p>
    <w:p w:rsidR="0090063D" w:rsidRPr="0090063D" w:rsidRDefault="0090063D" w:rsidP="0090063D">
      <w:pPr>
        <w:spacing w:line="360" w:lineRule="auto"/>
        <w:jc w:val="both"/>
        <w:rPr>
          <w:i/>
        </w:rPr>
      </w:pPr>
    </w:p>
    <w:p w:rsidR="009E6ED7" w:rsidRPr="0090063D" w:rsidRDefault="0090063D" w:rsidP="0090063D">
      <w:pPr>
        <w:spacing w:line="360" w:lineRule="auto"/>
        <w:jc w:val="both"/>
        <w:rPr>
          <w:i/>
        </w:rPr>
      </w:pPr>
      <w:r>
        <w:rPr>
          <w:i/>
        </w:rPr>
        <w:tab/>
      </w:r>
      <w:r w:rsidR="009E6ED7" w:rsidRPr="0090063D">
        <w:rPr>
          <w:i/>
        </w:rPr>
        <w:t>A la Profesora María Alejandra Rodríguez por toda su comprensión, paciencia, dedicación, entusiasmo, empeño y amor que siempre nos brindó durante estos dos años</w:t>
      </w:r>
      <w:r w:rsidR="0010459B" w:rsidRPr="0090063D">
        <w:rPr>
          <w:i/>
        </w:rPr>
        <w:t xml:space="preserve"> y haber representado </w:t>
      </w:r>
      <w:r w:rsidR="0038005A" w:rsidRPr="0090063D">
        <w:rPr>
          <w:i/>
        </w:rPr>
        <w:t xml:space="preserve">siempre </w:t>
      </w:r>
      <w:r w:rsidR="0010459B" w:rsidRPr="0090063D">
        <w:rPr>
          <w:i/>
        </w:rPr>
        <w:t>un ejemplo</w:t>
      </w:r>
      <w:r w:rsidR="0038005A" w:rsidRPr="0090063D">
        <w:rPr>
          <w:i/>
        </w:rPr>
        <w:t xml:space="preserve"> a seguir</w:t>
      </w:r>
      <w:r w:rsidR="0010459B" w:rsidRPr="0090063D">
        <w:rPr>
          <w:i/>
        </w:rPr>
        <w:t xml:space="preserve"> </w:t>
      </w:r>
      <w:r w:rsidR="0038005A" w:rsidRPr="0090063D">
        <w:rPr>
          <w:i/>
        </w:rPr>
        <w:t xml:space="preserve">para los tesistas </w:t>
      </w:r>
      <w:r w:rsidR="004134A0" w:rsidRPr="0090063D">
        <w:rPr>
          <w:i/>
        </w:rPr>
        <w:t>del grupo LSM-WOSS</w:t>
      </w:r>
      <w:r w:rsidR="009E6ED7" w:rsidRPr="0090063D">
        <w:rPr>
          <w:i/>
        </w:rPr>
        <w:t>.</w:t>
      </w:r>
      <w:r w:rsidR="0010459B" w:rsidRPr="0090063D">
        <w:rPr>
          <w:i/>
        </w:rPr>
        <w:t xml:space="preserve"> Siempre </w:t>
      </w:r>
      <w:r w:rsidR="009E6ED7" w:rsidRPr="0090063D">
        <w:rPr>
          <w:i/>
        </w:rPr>
        <w:t>mi admiración</w:t>
      </w:r>
      <w:r w:rsidR="0010459B" w:rsidRPr="0090063D">
        <w:rPr>
          <w:i/>
        </w:rPr>
        <w:t>,</w:t>
      </w:r>
      <w:r w:rsidR="009E6ED7" w:rsidRPr="0090063D">
        <w:rPr>
          <w:i/>
        </w:rPr>
        <w:t xml:space="preserve"> respeto</w:t>
      </w:r>
      <w:r w:rsidR="0010459B" w:rsidRPr="0090063D">
        <w:rPr>
          <w:i/>
        </w:rPr>
        <w:t xml:space="preserve"> y apoyo incondicional</w:t>
      </w:r>
      <w:r w:rsidR="009E6ED7" w:rsidRPr="0090063D">
        <w:rPr>
          <w:i/>
        </w:rPr>
        <w:t xml:space="preserve"> </w:t>
      </w:r>
      <w:r w:rsidR="0010459B" w:rsidRPr="0090063D">
        <w:rPr>
          <w:i/>
        </w:rPr>
        <w:t>para usted Profesora.</w:t>
      </w:r>
    </w:p>
    <w:p w:rsidR="0090063D" w:rsidRDefault="0090063D" w:rsidP="0090063D">
      <w:pPr>
        <w:spacing w:line="360" w:lineRule="auto"/>
        <w:jc w:val="both"/>
        <w:rPr>
          <w:i/>
        </w:rPr>
      </w:pPr>
    </w:p>
    <w:p w:rsidR="0090063D" w:rsidRDefault="0090063D" w:rsidP="0090063D">
      <w:pPr>
        <w:spacing w:line="360" w:lineRule="auto"/>
        <w:jc w:val="both"/>
        <w:rPr>
          <w:i/>
        </w:rPr>
      </w:pPr>
      <w:r>
        <w:rPr>
          <w:i/>
        </w:rPr>
        <w:tab/>
      </w:r>
      <w:r w:rsidR="0010459B" w:rsidRPr="0090063D">
        <w:rPr>
          <w:i/>
        </w:rPr>
        <w:t>A mis compañeros y amigos del Laboratorio de Separaciones Mecánicas</w:t>
      </w:r>
      <w:r w:rsidR="0038005A" w:rsidRPr="0090063D">
        <w:rPr>
          <w:i/>
        </w:rPr>
        <w:t xml:space="preserve"> Maye, Betty, M</w:t>
      </w:r>
      <w:r w:rsidR="004134A0" w:rsidRPr="0090063D">
        <w:rPr>
          <w:i/>
        </w:rPr>
        <w:t>y</w:t>
      </w:r>
      <w:r w:rsidRPr="0090063D">
        <w:rPr>
          <w:i/>
        </w:rPr>
        <w:t>c</w:t>
      </w:r>
      <w:r w:rsidR="004134A0" w:rsidRPr="0090063D">
        <w:rPr>
          <w:i/>
        </w:rPr>
        <w:t>k</w:t>
      </w:r>
      <w:r w:rsidR="0038005A" w:rsidRPr="0090063D">
        <w:rPr>
          <w:i/>
        </w:rPr>
        <w:t>ol, Lessa</w:t>
      </w:r>
      <w:r w:rsidR="004134A0" w:rsidRPr="0090063D">
        <w:rPr>
          <w:i/>
        </w:rPr>
        <w:t xml:space="preserve"> y </w:t>
      </w:r>
      <w:r w:rsidR="0038005A" w:rsidRPr="0090063D">
        <w:rPr>
          <w:i/>
        </w:rPr>
        <w:t xml:space="preserve">Axel por los tantos buenos momentos que compartimos juntos durante </w:t>
      </w:r>
      <w:r w:rsidR="004134A0" w:rsidRPr="0090063D">
        <w:rPr>
          <w:i/>
        </w:rPr>
        <w:t xml:space="preserve">este año. </w:t>
      </w:r>
      <w:r w:rsidRPr="0090063D">
        <w:rPr>
          <w:i/>
        </w:rPr>
        <w:t>Las gracias a ustedes. ¡Ingemare!</w:t>
      </w:r>
    </w:p>
    <w:p w:rsidR="0090063D" w:rsidRPr="0090063D" w:rsidRDefault="0090063D" w:rsidP="0090063D">
      <w:pPr>
        <w:spacing w:line="360" w:lineRule="auto"/>
        <w:jc w:val="both"/>
        <w:rPr>
          <w:i/>
        </w:rPr>
      </w:pPr>
    </w:p>
    <w:p w:rsidR="004134A0" w:rsidRPr="0090063D" w:rsidRDefault="0090063D" w:rsidP="0090063D">
      <w:pPr>
        <w:spacing w:line="360" w:lineRule="auto"/>
        <w:jc w:val="both"/>
        <w:rPr>
          <w:i/>
        </w:rPr>
      </w:pPr>
      <w:r>
        <w:rPr>
          <w:i/>
        </w:rPr>
        <w:tab/>
      </w:r>
      <w:r w:rsidR="004134A0" w:rsidRPr="0090063D">
        <w:rPr>
          <w:i/>
        </w:rPr>
        <w:t xml:space="preserve">A todos ustedes y </w:t>
      </w:r>
      <w:r w:rsidRPr="0090063D">
        <w:rPr>
          <w:i/>
        </w:rPr>
        <w:t>todas a aquellas personas que hicieron posible la realización de este trabajo, mi profundo</w:t>
      </w:r>
      <w:r w:rsidR="004A5F6F">
        <w:rPr>
          <w:i/>
        </w:rPr>
        <w:t xml:space="preserve"> y sincero</w:t>
      </w:r>
      <w:r w:rsidRPr="0090063D">
        <w:rPr>
          <w:i/>
        </w:rPr>
        <w:t xml:space="preserve"> agradecimiento.</w:t>
      </w:r>
    </w:p>
    <w:p w:rsidR="00A97D3F" w:rsidRDefault="00A97D3F" w:rsidP="00355A67">
      <w:pPr>
        <w:spacing w:line="360" w:lineRule="auto"/>
        <w:jc w:val="center"/>
        <w:rPr>
          <w:b/>
        </w:rPr>
      </w:pPr>
    </w:p>
    <w:p w:rsidR="00735AFD" w:rsidRDefault="00735AFD" w:rsidP="00355A67">
      <w:pPr>
        <w:spacing w:line="360" w:lineRule="auto"/>
        <w:jc w:val="center"/>
        <w:rPr>
          <w:b/>
        </w:rPr>
      </w:pPr>
    </w:p>
    <w:p w:rsidR="000C6E45" w:rsidRDefault="000C6E45" w:rsidP="00355A67">
      <w:pPr>
        <w:spacing w:line="360" w:lineRule="auto"/>
        <w:jc w:val="center"/>
        <w:rPr>
          <w:b/>
        </w:rPr>
      </w:pPr>
    </w:p>
    <w:p w:rsidR="000C6E45" w:rsidRDefault="000C6E45" w:rsidP="00355A67">
      <w:pPr>
        <w:spacing w:line="360" w:lineRule="auto"/>
        <w:jc w:val="center"/>
        <w:rPr>
          <w:b/>
        </w:rPr>
      </w:pPr>
    </w:p>
    <w:p w:rsidR="00355A67" w:rsidRDefault="00355A67" w:rsidP="00355A67">
      <w:pPr>
        <w:jc w:val="center"/>
        <w:rPr>
          <w:b/>
          <w:szCs w:val="24"/>
        </w:rPr>
      </w:pPr>
      <w:r>
        <w:rPr>
          <w:b/>
          <w:szCs w:val="24"/>
        </w:rPr>
        <w:lastRenderedPageBreak/>
        <w:t>Quintero S., Ingemar D.</w:t>
      </w:r>
    </w:p>
    <w:p w:rsidR="00355A67" w:rsidRDefault="00355A67" w:rsidP="000238B4">
      <w:pPr>
        <w:spacing w:before="240" w:line="360" w:lineRule="auto"/>
        <w:jc w:val="center"/>
        <w:rPr>
          <w:b/>
          <w:iCs/>
          <w:caps/>
          <w:sz w:val="28"/>
          <w:szCs w:val="28"/>
        </w:rPr>
      </w:pPr>
      <w:r>
        <w:rPr>
          <w:b/>
        </w:rPr>
        <w:t xml:space="preserve">Desestabilización electrostática de material de fosas empelando medios coalescedores </w:t>
      </w:r>
    </w:p>
    <w:p w:rsidR="00FB6855" w:rsidRPr="00F927D4" w:rsidRDefault="00FB6855" w:rsidP="000238B4">
      <w:pPr>
        <w:pStyle w:val="Textoindependiente2"/>
        <w:spacing w:before="240" w:line="240" w:lineRule="auto"/>
        <w:jc w:val="center"/>
        <w:rPr>
          <w:b/>
        </w:rPr>
      </w:pPr>
      <w:r w:rsidRPr="00F927D4">
        <w:rPr>
          <w:b/>
        </w:rPr>
        <w:t>Tutor</w:t>
      </w:r>
      <w:r>
        <w:rPr>
          <w:b/>
        </w:rPr>
        <w:t xml:space="preserve">es Académicos: </w:t>
      </w:r>
      <w:r w:rsidR="001804BE">
        <w:rPr>
          <w:b/>
        </w:rPr>
        <w:t>Prof</w:t>
      </w:r>
      <w:r w:rsidR="001804BE" w:rsidRPr="00F927D4">
        <w:rPr>
          <w:b/>
        </w:rPr>
        <w:t xml:space="preserve">. </w:t>
      </w:r>
      <w:r w:rsidR="001804BE">
        <w:rPr>
          <w:b/>
        </w:rPr>
        <w:t>José Sorrentino y Profa.</w:t>
      </w:r>
      <w:r>
        <w:rPr>
          <w:b/>
        </w:rPr>
        <w:t xml:space="preserve"> María Rodríguez y. Tesis. </w:t>
      </w:r>
      <w:r w:rsidRPr="00F927D4">
        <w:rPr>
          <w:b/>
        </w:rPr>
        <w:t xml:space="preserve">Caracas, U.C.V. </w:t>
      </w:r>
      <w:r w:rsidRPr="00B973F9">
        <w:rPr>
          <w:b/>
        </w:rPr>
        <w:t>Facultad de Ingeniería. Escuela de Ingeniería Química. Año 201</w:t>
      </w:r>
      <w:r>
        <w:rPr>
          <w:b/>
        </w:rPr>
        <w:t>2</w:t>
      </w:r>
      <w:r w:rsidRPr="00B973F9">
        <w:rPr>
          <w:b/>
        </w:rPr>
        <w:t>, Nº pág</w:t>
      </w:r>
      <w:r w:rsidR="008E330F">
        <w:rPr>
          <w:b/>
        </w:rPr>
        <w:t>s</w:t>
      </w:r>
      <w:r w:rsidRPr="00B973F9">
        <w:rPr>
          <w:b/>
        </w:rPr>
        <w:t>.</w:t>
      </w:r>
      <w:r>
        <w:rPr>
          <w:b/>
        </w:rPr>
        <w:t xml:space="preserve"> </w:t>
      </w:r>
      <w:r w:rsidR="001804BE">
        <w:rPr>
          <w:b/>
        </w:rPr>
        <w:t>120</w:t>
      </w:r>
    </w:p>
    <w:p w:rsidR="000D6816" w:rsidRDefault="00FB6855" w:rsidP="000A096C">
      <w:pPr>
        <w:ind w:left="2340" w:hanging="2340"/>
        <w:jc w:val="both"/>
      </w:pPr>
      <w:r w:rsidRPr="00F927D4">
        <w:rPr>
          <w:b/>
        </w:rPr>
        <w:t>Palabras Claves</w:t>
      </w:r>
      <w:r w:rsidRPr="00F927D4">
        <w:t>:</w:t>
      </w:r>
      <w:r w:rsidR="000A096C">
        <w:t xml:space="preserve"> Emulsiones agua-crudo, deshidratación electrostática</w:t>
      </w:r>
      <w:r w:rsidR="00BA311A">
        <w:t xml:space="preserve">, </w:t>
      </w:r>
      <w:r w:rsidR="000A096C">
        <w:t>c</w:t>
      </w:r>
      <w:r w:rsidR="00BA311A">
        <w:t xml:space="preserve">oalescencia, </w:t>
      </w:r>
      <w:r w:rsidR="00FD7314">
        <w:t>medio coalescedor, mojabilidad</w:t>
      </w:r>
      <w:r w:rsidR="000A096C">
        <w:t>.</w:t>
      </w:r>
    </w:p>
    <w:p w:rsidR="00FB6855" w:rsidRDefault="00FB6855" w:rsidP="000D6816">
      <w:pPr>
        <w:jc w:val="center"/>
      </w:pPr>
    </w:p>
    <w:p w:rsidR="00420436" w:rsidRDefault="00420436" w:rsidP="00420436">
      <w:pPr>
        <w:jc w:val="both"/>
      </w:pPr>
      <w:bookmarkStart w:id="1" w:name="_Toc325487003"/>
      <w:bookmarkStart w:id="2" w:name="_Toc325635415"/>
      <w:r w:rsidRPr="00F927D4">
        <w:rPr>
          <w:b/>
        </w:rPr>
        <w:t>Resumen</w:t>
      </w:r>
      <w:r>
        <w:t>: En los últimos 10 años PDVSA, ha desarrollado planes estratégicos para el saneamiento y cegado de fosas de producción de crudo, por el pasivo ambiental que éstas representan. En este sentido, se han desarrollado estudios para la recuperación de hidrocarburos de material de fosa empleando la técnica de separación electrostática. Este trabajo concibe la construcción y evaluación de un sistema continuo de tratamiento para la deshidratación de 3 muestras de material de fosas de producción, empleando la separación electrostática como mecanismo de desestabilización, con la inclusión de un medio coalescedor como promotor de la coalescencia de las gotas de agua emulsionadas sin la adición de demulsificantes. Para ello, se evaluaron 5 medios coalescedores de distinta mojabilidad, los cuales se incorporaron en una celda de 5,0 cm</w:t>
      </w:r>
      <w:r w:rsidRPr="00AA159E">
        <w:rPr>
          <w:vertAlign w:val="superscript"/>
        </w:rPr>
        <w:t>3</w:t>
      </w:r>
      <w:r>
        <w:t xml:space="preserve"> con 2 electrodos planos de cobre. Se aplicó campo eléctrico de corriente continua (AC) y corriente directa (DC) y posterior centrifugación para promover la recuperación de las fases de la emulsión. La intensidad del campo estuvo limitada por la presencia de un corto eléctrico en el sistema debido a un fenómeno de percolación. Las pruebas se realizaron alterando el tiempo de residencia de la emulsión en la celda de aplicación de campo eléctrico. Para la fosa Acema-100 se logró recuperar un 97 % del agua emulsionada. En las experiencias con la fosa Merey-31 no se observó agua libre luego de aplicado el tratamiento, para lo cual se empleó la técnica de microscopía óptica. Para l</w:t>
      </w:r>
      <w:r>
        <w:rPr>
          <w:szCs w:val="24"/>
        </w:rPr>
        <w:t xml:space="preserve">a cuantificación del grado de desestabilización de esta emulsión, se empleó un Factor de desestabilización (FD) mediante el cual se evaluó la magnitud del cambio producido </w:t>
      </w:r>
      <w:r>
        <w:t>en el tamaño de gotas de la emulsión</w:t>
      </w:r>
      <w:r>
        <w:rPr>
          <w:szCs w:val="24"/>
        </w:rPr>
        <w:t xml:space="preserve"> por efecto del campo eléctrico y el medio coalescedor. Sin embargo, no fue posible realizar las experiencias con la fosa Guara-2 por su elevada viscosidad. Los resultados obtenidos para la fosa Acema-100 y Merey-31 coinciden en que </w:t>
      </w:r>
      <w:r>
        <w:t>las mayores tasas de coalescencia se obtienen cuando se utiliza un medio coalescedor mojable a la fase continua, cuando se aplica un campo eléctrico DC y se garantiza un alto tiempo de residencia de la emulsión en el sistema. Se determinó que el efecto desestabilizador del medio coalescedor está asociado a un fenómeno de adsorción de surfactantes, el cual depende de la mojabilidad del material empleado y que la eficiencia de la separación se ve afectada principalmente por la viscosidad de la emulsión.</w:t>
      </w:r>
    </w:p>
    <w:p w:rsidR="000D6816" w:rsidRDefault="00FB6855" w:rsidP="005B74B4">
      <w:pPr>
        <w:pStyle w:val="Ttulo1"/>
      </w:pPr>
      <w:bookmarkStart w:id="3" w:name="_Toc327477996"/>
      <w:r>
        <w:lastRenderedPageBreak/>
        <w:t>I</w:t>
      </w:r>
      <w:r w:rsidR="00FD044B">
        <w:t>NDI</w:t>
      </w:r>
      <w:r>
        <w:t>CE GENERAL</w:t>
      </w:r>
      <w:bookmarkEnd w:id="1"/>
      <w:bookmarkEnd w:id="2"/>
      <w:bookmarkEnd w:id="3"/>
    </w:p>
    <w:sdt>
      <w:sdtPr>
        <w:rPr>
          <w:b w:val="0"/>
          <w:bCs/>
          <w:noProof w:val="0"/>
        </w:rPr>
        <w:id w:val="24003326"/>
        <w:docPartObj>
          <w:docPartGallery w:val="Table of Contents"/>
          <w:docPartUnique/>
        </w:docPartObj>
      </w:sdtPr>
      <w:sdtEndPr>
        <w:rPr>
          <w:bCs w:val="0"/>
        </w:rPr>
      </w:sdtEndPr>
      <w:sdtContent>
        <w:p w:rsidR="004804F9" w:rsidRDefault="00A73CD2" w:rsidP="004804F9">
          <w:pPr>
            <w:pStyle w:val="TDC1"/>
            <w:jc w:val="both"/>
            <w:rPr>
              <w:rFonts w:asciiTheme="minorHAnsi" w:eastAsiaTheme="minorEastAsia" w:hAnsiTheme="minorHAnsi" w:cstheme="minorBidi"/>
              <w:b w:val="0"/>
              <w:sz w:val="22"/>
              <w:szCs w:val="22"/>
              <w:lang w:val="en-US" w:eastAsia="en-US"/>
            </w:rPr>
          </w:pPr>
          <w:r w:rsidRPr="00A73CD2">
            <w:rPr>
              <w:rFonts w:asciiTheme="majorHAnsi" w:eastAsiaTheme="majorEastAsia" w:hAnsiTheme="majorHAnsi" w:cstheme="majorBidi"/>
              <w:bCs/>
              <w:color w:val="365F91" w:themeColor="accent1" w:themeShade="BF"/>
              <w:sz w:val="28"/>
              <w:szCs w:val="28"/>
              <w:lang w:val="en-US" w:eastAsia="en-US"/>
            </w:rPr>
            <w:fldChar w:fldCharType="begin"/>
          </w:r>
          <w:r w:rsidR="00FD5776">
            <w:instrText xml:space="preserve"> TOC \o "1-3" \h \z \u </w:instrText>
          </w:r>
          <w:r w:rsidRPr="00A73CD2">
            <w:rPr>
              <w:rFonts w:asciiTheme="majorHAnsi" w:eastAsiaTheme="majorEastAsia" w:hAnsiTheme="majorHAnsi" w:cstheme="majorBidi"/>
              <w:bCs/>
              <w:color w:val="365F91" w:themeColor="accent1" w:themeShade="BF"/>
              <w:sz w:val="28"/>
              <w:szCs w:val="28"/>
              <w:lang w:val="en-US" w:eastAsia="en-US"/>
            </w:rPr>
            <w:fldChar w:fldCharType="separate"/>
          </w:r>
          <w:hyperlink w:anchor="_Toc327477996" w:history="1">
            <w:r w:rsidR="004804F9" w:rsidRPr="005C252C">
              <w:rPr>
                <w:rStyle w:val="Hipervnculo"/>
              </w:rPr>
              <w:t>INDICE GENERAL</w:t>
            </w:r>
            <w:r w:rsidR="004804F9" w:rsidRPr="004804F9">
              <w:rPr>
                <w:b w:val="0"/>
                <w:webHidden/>
              </w:rPr>
              <w:tab/>
            </w:r>
            <w:r w:rsidRPr="004804F9">
              <w:rPr>
                <w:b w:val="0"/>
                <w:webHidden/>
              </w:rPr>
              <w:fldChar w:fldCharType="begin"/>
            </w:r>
            <w:r w:rsidR="004804F9" w:rsidRPr="004804F9">
              <w:rPr>
                <w:b w:val="0"/>
                <w:webHidden/>
              </w:rPr>
              <w:instrText xml:space="preserve"> PAGEREF _Toc327477996 \h </w:instrText>
            </w:r>
            <w:r w:rsidRPr="004804F9">
              <w:rPr>
                <w:b w:val="0"/>
                <w:webHidden/>
              </w:rPr>
            </w:r>
            <w:r w:rsidRPr="004804F9">
              <w:rPr>
                <w:b w:val="0"/>
                <w:webHidden/>
              </w:rPr>
              <w:fldChar w:fldCharType="separate"/>
            </w:r>
            <w:r w:rsidR="004A5F6F">
              <w:rPr>
                <w:b w:val="0"/>
                <w:webHidden/>
              </w:rPr>
              <w:t>viii</w:t>
            </w:r>
            <w:r w:rsidRPr="004804F9">
              <w:rPr>
                <w:b w:val="0"/>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7997" w:history="1">
            <w:r w:rsidR="004804F9" w:rsidRPr="005C252C">
              <w:rPr>
                <w:rStyle w:val="Hipervnculo"/>
              </w:rPr>
              <w:t>INDICE DE FIGURAS</w:t>
            </w:r>
            <w:r w:rsidR="004804F9" w:rsidRPr="004804F9">
              <w:rPr>
                <w:b w:val="0"/>
                <w:webHidden/>
              </w:rPr>
              <w:tab/>
            </w:r>
            <w:r w:rsidRPr="004804F9">
              <w:rPr>
                <w:b w:val="0"/>
                <w:webHidden/>
              </w:rPr>
              <w:fldChar w:fldCharType="begin"/>
            </w:r>
            <w:r w:rsidR="004804F9" w:rsidRPr="004804F9">
              <w:rPr>
                <w:b w:val="0"/>
                <w:webHidden/>
              </w:rPr>
              <w:instrText xml:space="preserve"> PAGEREF _Toc327477997 \h </w:instrText>
            </w:r>
            <w:r w:rsidRPr="004804F9">
              <w:rPr>
                <w:b w:val="0"/>
                <w:webHidden/>
              </w:rPr>
            </w:r>
            <w:r w:rsidRPr="004804F9">
              <w:rPr>
                <w:b w:val="0"/>
                <w:webHidden/>
              </w:rPr>
              <w:fldChar w:fldCharType="separate"/>
            </w:r>
            <w:r w:rsidR="004A5F6F">
              <w:rPr>
                <w:b w:val="0"/>
                <w:webHidden/>
              </w:rPr>
              <w:t>xi</w:t>
            </w:r>
            <w:r w:rsidRPr="004804F9">
              <w:rPr>
                <w:b w:val="0"/>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7998" w:history="1">
            <w:r w:rsidR="004804F9" w:rsidRPr="005C252C">
              <w:rPr>
                <w:rStyle w:val="Hipervnculo"/>
              </w:rPr>
              <w:t>ÍNDICE DE TABLAS</w:t>
            </w:r>
            <w:r w:rsidR="004804F9" w:rsidRPr="004804F9">
              <w:rPr>
                <w:b w:val="0"/>
                <w:webHidden/>
              </w:rPr>
              <w:tab/>
            </w:r>
            <w:r w:rsidRPr="004804F9">
              <w:rPr>
                <w:b w:val="0"/>
                <w:webHidden/>
              </w:rPr>
              <w:fldChar w:fldCharType="begin"/>
            </w:r>
            <w:r w:rsidR="004804F9" w:rsidRPr="004804F9">
              <w:rPr>
                <w:b w:val="0"/>
                <w:webHidden/>
              </w:rPr>
              <w:instrText xml:space="preserve"> PAGEREF _Toc327477998 \h </w:instrText>
            </w:r>
            <w:r w:rsidRPr="004804F9">
              <w:rPr>
                <w:b w:val="0"/>
                <w:webHidden/>
              </w:rPr>
            </w:r>
            <w:r w:rsidRPr="004804F9">
              <w:rPr>
                <w:b w:val="0"/>
                <w:webHidden/>
              </w:rPr>
              <w:fldChar w:fldCharType="separate"/>
            </w:r>
            <w:r w:rsidR="004A5F6F">
              <w:rPr>
                <w:b w:val="0"/>
                <w:webHidden/>
              </w:rPr>
              <w:t>xiv</w:t>
            </w:r>
            <w:r w:rsidRPr="004804F9">
              <w:rPr>
                <w:b w:val="0"/>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7999" w:history="1">
            <w:r w:rsidR="004804F9" w:rsidRPr="005C252C">
              <w:rPr>
                <w:rStyle w:val="Hipervnculo"/>
              </w:rPr>
              <w:t>INTRODUCCIÓN</w:t>
            </w:r>
            <w:r w:rsidR="004804F9" w:rsidRPr="004804F9">
              <w:rPr>
                <w:b w:val="0"/>
                <w:webHidden/>
              </w:rPr>
              <w:tab/>
            </w:r>
            <w:r w:rsidRPr="004804F9">
              <w:rPr>
                <w:b w:val="0"/>
                <w:webHidden/>
              </w:rPr>
              <w:fldChar w:fldCharType="begin"/>
            </w:r>
            <w:r w:rsidR="004804F9" w:rsidRPr="004804F9">
              <w:rPr>
                <w:b w:val="0"/>
                <w:webHidden/>
              </w:rPr>
              <w:instrText xml:space="preserve"> PAGEREF _Toc327477999 \h </w:instrText>
            </w:r>
            <w:r w:rsidRPr="004804F9">
              <w:rPr>
                <w:b w:val="0"/>
                <w:webHidden/>
              </w:rPr>
            </w:r>
            <w:r w:rsidRPr="004804F9">
              <w:rPr>
                <w:b w:val="0"/>
                <w:webHidden/>
              </w:rPr>
              <w:fldChar w:fldCharType="separate"/>
            </w:r>
            <w:r w:rsidR="004A5F6F">
              <w:rPr>
                <w:b w:val="0"/>
                <w:webHidden/>
              </w:rPr>
              <w:t>1</w:t>
            </w:r>
            <w:r w:rsidRPr="004804F9">
              <w:rPr>
                <w:b w:val="0"/>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8000" w:history="1">
            <w:r w:rsidR="004804F9" w:rsidRPr="005C252C">
              <w:rPr>
                <w:rStyle w:val="Hipervnculo"/>
              </w:rPr>
              <w:t>CAPITULO I</w:t>
            </w:r>
            <w:r w:rsidR="004804F9" w:rsidRPr="004804F9">
              <w:rPr>
                <w:b w:val="0"/>
                <w:webHidden/>
              </w:rPr>
              <w:tab/>
            </w:r>
            <w:r w:rsidRPr="004804F9">
              <w:rPr>
                <w:b w:val="0"/>
                <w:webHidden/>
              </w:rPr>
              <w:fldChar w:fldCharType="begin"/>
            </w:r>
            <w:r w:rsidR="004804F9" w:rsidRPr="004804F9">
              <w:rPr>
                <w:b w:val="0"/>
                <w:webHidden/>
              </w:rPr>
              <w:instrText xml:space="preserve"> PAGEREF _Toc327478000 \h </w:instrText>
            </w:r>
            <w:r w:rsidRPr="004804F9">
              <w:rPr>
                <w:b w:val="0"/>
                <w:webHidden/>
              </w:rPr>
            </w:r>
            <w:r w:rsidRPr="004804F9">
              <w:rPr>
                <w:b w:val="0"/>
                <w:webHidden/>
              </w:rPr>
              <w:fldChar w:fldCharType="separate"/>
            </w:r>
            <w:r w:rsidR="004A5F6F">
              <w:rPr>
                <w:b w:val="0"/>
                <w:webHidden/>
              </w:rPr>
              <w:t>3</w:t>
            </w:r>
            <w:r w:rsidRPr="004804F9">
              <w:rPr>
                <w:b w:val="0"/>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8001" w:history="1">
            <w:r w:rsidR="004804F9" w:rsidRPr="005C252C">
              <w:rPr>
                <w:rStyle w:val="Hipervnculo"/>
              </w:rPr>
              <w:t>FUNDAMENTOS DE LA INVESTIGACION</w:t>
            </w:r>
            <w:r w:rsidR="004804F9" w:rsidRPr="004804F9">
              <w:rPr>
                <w:b w:val="0"/>
                <w:webHidden/>
              </w:rPr>
              <w:tab/>
            </w:r>
            <w:r w:rsidRPr="004804F9">
              <w:rPr>
                <w:b w:val="0"/>
                <w:webHidden/>
              </w:rPr>
              <w:fldChar w:fldCharType="begin"/>
            </w:r>
            <w:r w:rsidR="004804F9" w:rsidRPr="004804F9">
              <w:rPr>
                <w:b w:val="0"/>
                <w:webHidden/>
              </w:rPr>
              <w:instrText xml:space="preserve"> PAGEREF _Toc327478001 \h </w:instrText>
            </w:r>
            <w:r w:rsidRPr="004804F9">
              <w:rPr>
                <w:b w:val="0"/>
                <w:webHidden/>
              </w:rPr>
            </w:r>
            <w:r w:rsidRPr="004804F9">
              <w:rPr>
                <w:b w:val="0"/>
                <w:webHidden/>
              </w:rPr>
              <w:fldChar w:fldCharType="separate"/>
            </w:r>
            <w:r w:rsidR="004A5F6F">
              <w:rPr>
                <w:b w:val="0"/>
                <w:webHidden/>
              </w:rPr>
              <w:t>3</w:t>
            </w:r>
            <w:r w:rsidRPr="004804F9">
              <w:rPr>
                <w:b w:val="0"/>
                <w:webHidden/>
              </w:rPr>
              <w:fldChar w:fldCharType="end"/>
            </w:r>
          </w:hyperlink>
        </w:p>
        <w:p w:rsidR="004804F9" w:rsidRDefault="00A73CD2" w:rsidP="004804F9">
          <w:pPr>
            <w:pStyle w:val="TDC2"/>
            <w:rPr>
              <w:rFonts w:asciiTheme="minorHAnsi" w:eastAsiaTheme="minorEastAsia" w:hAnsiTheme="minorHAnsi" w:cstheme="minorBidi"/>
              <w:sz w:val="22"/>
              <w:szCs w:val="22"/>
              <w:lang w:val="en-US" w:eastAsia="en-US"/>
            </w:rPr>
          </w:pPr>
          <w:hyperlink w:anchor="_Toc327478002" w:history="1">
            <w:r w:rsidR="004804F9" w:rsidRPr="005C252C">
              <w:rPr>
                <w:rStyle w:val="Hipervnculo"/>
              </w:rPr>
              <w:t>1.1 PLANTEAMIENTO DEL PROBLEMA</w:t>
            </w:r>
            <w:r w:rsidR="004804F9">
              <w:rPr>
                <w:webHidden/>
              </w:rPr>
              <w:tab/>
            </w:r>
            <w:r>
              <w:rPr>
                <w:webHidden/>
              </w:rPr>
              <w:fldChar w:fldCharType="begin"/>
            </w:r>
            <w:r w:rsidR="004804F9">
              <w:rPr>
                <w:webHidden/>
              </w:rPr>
              <w:instrText xml:space="preserve"> PAGEREF _Toc327478002 \h </w:instrText>
            </w:r>
            <w:r>
              <w:rPr>
                <w:webHidden/>
              </w:rPr>
            </w:r>
            <w:r>
              <w:rPr>
                <w:webHidden/>
              </w:rPr>
              <w:fldChar w:fldCharType="separate"/>
            </w:r>
            <w:r w:rsidR="004A5F6F">
              <w:rPr>
                <w:webHidden/>
              </w:rPr>
              <w:t>3</w:t>
            </w:r>
            <w:r>
              <w:rPr>
                <w:webHidden/>
              </w:rPr>
              <w:fldChar w:fldCharType="end"/>
            </w:r>
          </w:hyperlink>
        </w:p>
        <w:p w:rsidR="004804F9" w:rsidRDefault="00A73CD2" w:rsidP="004804F9">
          <w:pPr>
            <w:pStyle w:val="TDC2"/>
            <w:rPr>
              <w:rFonts w:asciiTheme="minorHAnsi" w:eastAsiaTheme="minorEastAsia" w:hAnsiTheme="minorHAnsi" w:cstheme="minorBidi"/>
              <w:sz w:val="22"/>
              <w:szCs w:val="22"/>
              <w:lang w:val="en-US" w:eastAsia="en-US"/>
            </w:rPr>
          </w:pPr>
          <w:hyperlink w:anchor="_Toc327478003" w:history="1">
            <w:r w:rsidR="004804F9" w:rsidRPr="005C252C">
              <w:rPr>
                <w:rStyle w:val="Hipervnculo"/>
              </w:rPr>
              <w:t>1.2 OBJETIVOS</w:t>
            </w:r>
            <w:r w:rsidR="004804F9">
              <w:rPr>
                <w:webHidden/>
              </w:rPr>
              <w:tab/>
            </w:r>
            <w:r>
              <w:rPr>
                <w:webHidden/>
              </w:rPr>
              <w:fldChar w:fldCharType="begin"/>
            </w:r>
            <w:r w:rsidR="004804F9">
              <w:rPr>
                <w:webHidden/>
              </w:rPr>
              <w:instrText xml:space="preserve"> PAGEREF _Toc327478003 \h </w:instrText>
            </w:r>
            <w:r>
              <w:rPr>
                <w:webHidden/>
              </w:rPr>
            </w:r>
            <w:r>
              <w:rPr>
                <w:webHidden/>
              </w:rPr>
              <w:fldChar w:fldCharType="separate"/>
            </w:r>
            <w:r w:rsidR="004A5F6F">
              <w:rPr>
                <w:webHidden/>
              </w:rPr>
              <w:t>5</w:t>
            </w:r>
            <w:r>
              <w:rPr>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04" w:history="1">
            <w:r w:rsidR="004804F9" w:rsidRPr="005C252C">
              <w:rPr>
                <w:rStyle w:val="Hipervnculo"/>
                <w:noProof/>
              </w:rPr>
              <w:t>1.2.1 OBJETIVO GENERAL</w:t>
            </w:r>
            <w:r w:rsidR="004804F9">
              <w:rPr>
                <w:noProof/>
                <w:webHidden/>
              </w:rPr>
              <w:tab/>
            </w:r>
            <w:r>
              <w:rPr>
                <w:noProof/>
                <w:webHidden/>
              </w:rPr>
              <w:fldChar w:fldCharType="begin"/>
            </w:r>
            <w:r w:rsidR="004804F9">
              <w:rPr>
                <w:noProof/>
                <w:webHidden/>
              </w:rPr>
              <w:instrText xml:space="preserve"> PAGEREF _Toc327478004 \h </w:instrText>
            </w:r>
            <w:r>
              <w:rPr>
                <w:noProof/>
                <w:webHidden/>
              </w:rPr>
            </w:r>
            <w:r>
              <w:rPr>
                <w:noProof/>
                <w:webHidden/>
              </w:rPr>
              <w:fldChar w:fldCharType="separate"/>
            </w:r>
            <w:r w:rsidR="004A5F6F">
              <w:rPr>
                <w:noProof/>
                <w:webHidden/>
              </w:rPr>
              <w:t>5</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05" w:history="1">
            <w:r w:rsidR="004804F9" w:rsidRPr="005C252C">
              <w:rPr>
                <w:rStyle w:val="Hipervnculo"/>
                <w:noProof/>
                <w:lang w:val="es-VE"/>
              </w:rPr>
              <w:t>1.2.2 OBJETIVOS ESPECÍFICOS</w:t>
            </w:r>
            <w:r w:rsidR="004804F9">
              <w:rPr>
                <w:noProof/>
                <w:webHidden/>
              </w:rPr>
              <w:tab/>
            </w:r>
            <w:r>
              <w:rPr>
                <w:noProof/>
                <w:webHidden/>
              </w:rPr>
              <w:fldChar w:fldCharType="begin"/>
            </w:r>
            <w:r w:rsidR="004804F9">
              <w:rPr>
                <w:noProof/>
                <w:webHidden/>
              </w:rPr>
              <w:instrText xml:space="preserve"> PAGEREF _Toc327478005 \h </w:instrText>
            </w:r>
            <w:r>
              <w:rPr>
                <w:noProof/>
                <w:webHidden/>
              </w:rPr>
            </w:r>
            <w:r>
              <w:rPr>
                <w:noProof/>
                <w:webHidden/>
              </w:rPr>
              <w:fldChar w:fldCharType="separate"/>
            </w:r>
            <w:r w:rsidR="004A5F6F">
              <w:rPr>
                <w:noProof/>
                <w:webHidden/>
              </w:rPr>
              <w:t>5</w:t>
            </w:r>
            <w:r>
              <w:rPr>
                <w:noProof/>
                <w:webHidden/>
              </w:rPr>
              <w:fldChar w:fldCharType="end"/>
            </w:r>
          </w:hyperlink>
        </w:p>
        <w:p w:rsidR="004804F9" w:rsidRDefault="00A73CD2" w:rsidP="004804F9">
          <w:pPr>
            <w:pStyle w:val="TDC2"/>
            <w:rPr>
              <w:rFonts w:asciiTheme="minorHAnsi" w:eastAsiaTheme="minorEastAsia" w:hAnsiTheme="minorHAnsi" w:cstheme="minorBidi"/>
              <w:sz w:val="22"/>
              <w:szCs w:val="22"/>
              <w:lang w:val="en-US" w:eastAsia="en-US"/>
            </w:rPr>
          </w:pPr>
          <w:hyperlink w:anchor="_Toc327478006" w:history="1">
            <w:r w:rsidR="004804F9" w:rsidRPr="005C252C">
              <w:rPr>
                <w:rStyle w:val="Hipervnculo"/>
              </w:rPr>
              <w:t>1.3 ANTECEDENTES</w:t>
            </w:r>
            <w:r w:rsidR="004804F9">
              <w:rPr>
                <w:webHidden/>
              </w:rPr>
              <w:tab/>
            </w:r>
            <w:r>
              <w:rPr>
                <w:webHidden/>
              </w:rPr>
              <w:fldChar w:fldCharType="begin"/>
            </w:r>
            <w:r w:rsidR="004804F9">
              <w:rPr>
                <w:webHidden/>
              </w:rPr>
              <w:instrText xml:space="preserve"> PAGEREF _Toc327478006 \h </w:instrText>
            </w:r>
            <w:r>
              <w:rPr>
                <w:webHidden/>
              </w:rPr>
            </w:r>
            <w:r>
              <w:rPr>
                <w:webHidden/>
              </w:rPr>
              <w:fldChar w:fldCharType="separate"/>
            </w:r>
            <w:r w:rsidR="004A5F6F">
              <w:rPr>
                <w:webHidden/>
              </w:rPr>
              <w:t>5</w:t>
            </w:r>
            <w:r>
              <w:rPr>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8007" w:history="1">
            <w:r w:rsidR="004804F9" w:rsidRPr="005C252C">
              <w:rPr>
                <w:rStyle w:val="Hipervnculo"/>
              </w:rPr>
              <w:t>CAPÍTULO II</w:t>
            </w:r>
            <w:r w:rsidR="004804F9" w:rsidRPr="004804F9">
              <w:rPr>
                <w:b w:val="0"/>
                <w:webHidden/>
              </w:rPr>
              <w:tab/>
            </w:r>
            <w:r w:rsidRPr="004804F9">
              <w:rPr>
                <w:b w:val="0"/>
                <w:webHidden/>
              </w:rPr>
              <w:fldChar w:fldCharType="begin"/>
            </w:r>
            <w:r w:rsidR="004804F9" w:rsidRPr="004804F9">
              <w:rPr>
                <w:b w:val="0"/>
                <w:webHidden/>
              </w:rPr>
              <w:instrText xml:space="preserve"> PAGEREF _Toc327478007 \h </w:instrText>
            </w:r>
            <w:r w:rsidRPr="004804F9">
              <w:rPr>
                <w:b w:val="0"/>
                <w:webHidden/>
              </w:rPr>
            </w:r>
            <w:r w:rsidRPr="004804F9">
              <w:rPr>
                <w:b w:val="0"/>
                <w:webHidden/>
              </w:rPr>
              <w:fldChar w:fldCharType="separate"/>
            </w:r>
            <w:r w:rsidR="004A5F6F">
              <w:rPr>
                <w:b w:val="0"/>
                <w:webHidden/>
              </w:rPr>
              <w:t>13</w:t>
            </w:r>
            <w:r w:rsidRPr="004804F9">
              <w:rPr>
                <w:b w:val="0"/>
                <w:webHidden/>
              </w:rPr>
              <w:fldChar w:fldCharType="end"/>
            </w:r>
          </w:hyperlink>
        </w:p>
        <w:p w:rsidR="004804F9" w:rsidRDefault="00A73CD2" w:rsidP="004804F9">
          <w:pPr>
            <w:pStyle w:val="TDC2"/>
            <w:rPr>
              <w:rFonts w:asciiTheme="minorHAnsi" w:eastAsiaTheme="minorEastAsia" w:hAnsiTheme="minorHAnsi" w:cstheme="minorBidi"/>
              <w:sz w:val="22"/>
              <w:szCs w:val="22"/>
              <w:lang w:val="en-US" w:eastAsia="en-US"/>
            </w:rPr>
          </w:pPr>
          <w:hyperlink w:anchor="_Toc327478008" w:history="1">
            <w:r w:rsidR="004804F9" w:rsidRPr="005C252C">
              <w:rPr>
                <w:rStyle w:val="Hipervnculo"/>
              </w:rPr>
              <w:t>MARCO TEÓRICO</w:t>
            </w:r>
            <w:r w:rsidR="004804F9">
              <w:rPr>
                <w:webHidden/>
              </w:rPr>
              <w:tab/>
            </w:r>
            <w:r>
              <w:rPr>
                <w:webHidden/>
              </w:rPr>
              <w:fldChar w:fldCharType="begin"/>
            </w:r>
            <w:r w:rsidR="004804F9">
              <w:rPr>
                <w:webHidden/>
              </w:rPr>
              <w:instrText xml:space="preserve"> PAGEREF _Toc327478008 \h </w:instrText>
            </w:r>
            <w:r>
              <w:rPr>
                <w:webHidden/>
              </w:rPr>
            </w:r>
            <w:r>
              <w:rPr>
                <w:webHidden/>
              </w:rPr>
              <w:fldChar w:fldCharType="separate"/>
            </w:r>
            <w:r w:rsidR="004A5F6F">
              <w:rPr>
                <w:webHidden/>
              </w:rPr>
              <w:t>13</w:t>
            </w:r>
            <w:r>
              <w:rPr>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09" w:history="1">
            <w:r w:rsidR="004804F9" w:rsidRPr="005C252C">
              <w:rPr>
                <w:rStyle w:val="Hipervnculo"/>
                <w:noProof/>
              </w:rPr>
              <w:t>2.1 Fosas de Producción</w:t>
            </w:r>
            <w:r w:rsidR="004804F9">
              <w:rPr>
                <w:noProof/>
                <w:webHidden/>
              </w:rPr>
              <w:tab/>
            </w:r>
            <w:r>
              <w:rPr>
                <w:noProof/>
                <w:webHidden/>
              </w:rPr>
              <w:fldChar w:fldCharType="begin"/>
            </w:r>
            <w:r w:rsidR="004804F9">
              <w:rPr>
                <w:noProof/>
                <w:webHidden/>
              </w:rPr>
              <w:instrText xml:space="preserve"> PAGEREF _Toc327478009 \h </w:instrText>
            </w:r>
            <w:r>
              <w:rPr>
                <w:noProof/>
                <w:webHidden/>
              </w:rPr>
            </w:r>
            <w:r>
              <w:rPr>
                <w:noProof/>
                <w:webHidden/>
              </w:rPr>
              <w:fldChar w:fldCharType="separate"/>
            </w:r>
            <w:r w:rsidR="004A5F6F">
              <w:rPr>
                <w:noProof/>
                <w:webHidden/>
              </w:rPr>
              <w:t>13</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10" w:history="1">
            <w:r w:rsidR="004804F9" w:rsidRPr="005C252C">
              <w:rPr>
                <w:rStyle w:val="Hipervnculo"/>
                <w:noProof/>
              </w:rPr>
              <w:t>2.2 Emulsiones</w:t>
            </w:r>
            <w:r w:rsidR="004804F9">
              <w:rPr>
                <w:noProof/>
                <w:webHidden/>
              </w:rPr>
              <w:tab/>
            </w:r>
            <w:r>
              <w:rPr>
                <w:noProof/>
                <w:webHidden/>
              </w:rPr>
              <w:fldChar w:fldCharType="begin"/>
            </w:r>
            <w:r w:rsidR="004804F9">
              <w:rPr>
                <w:noProof/>
                <w:webHidden/>
              </w:rPr>
              <w:instrText xml:space="preserve"> PAGEREF _Toc327478010 \h </w:instrText>
            </w:r>
            <w:r>
              <w:rPr>
                <w:noProof/>
                <w:webHidden/>
              </w:rPr>
            </w:r>
            <w:r>
              <w:rPr>
                <w:noProof/>
                <w:webHidden/>
              </w:rPr>
              <w:fldChar w:fldCharType="separate"/>
            </w:r>
            <w:r w:rsidR="004A5F6F">
              <w:rPr>
                <w:noProof/>
                <w:webHidden/>
              </w:rPr>
              <w:t>15</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11" w:history="1">
            <w:r w:rsidR="004804F9" w:rsidRPr="005C252C">
              <w:rPr>
                <w:rStyle w:val="Hipervnculo"/>
                <w:noProof/>
              </w:rPr>
              <w:t>2.2.1 Emulsiones agua-crudo, W/O</w:t>
            </w:r>
            <w:r w:rsidR="004804F9">
              <w:rPr>
                <w:noProof/>
                <w:webHidden/>
              </w:rPr>
              <w:tab/>
            </w:r>
            <w:r>
              <w:rPr>
                <w:noProof/>
                <w:webHidden/>
              </w:rPr>
              <w:fldChar w:fldCharType="begin"/>
            </w:r>
            <w:r w:rsidR="004804F9">
              <w:rPr>
                <w:noProof/>
                <w:webHidden/>
              </w:rPr>
              <w:instrText xml:space="preserve"> PAGEREF _Toc327478011 \h </w:instrText>
            </w:r>
            <w:r>
              <w:rPr>
                <w:noProof/>
                <w:webHidden/>
              </w:rPr>
            </w:r>
            <w:r>
              <w:rPr>
                <w:noProof/>
                <w:webHidden/>
              </w:rPr>
              <w:fldChar w:fldCharType="separate"/>
            </w:r>
            <w:r w:rsidR="004A5F6F">
              <w:rPr>
                <w:noProof/>
                <w:webHidden/>
              </w:rPr>
              <w:t>16</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12" w:history="1">
            <w:r w:rsidR="004804F9" w:rsidRPr="005C252C">
              <w:rPr>
                <w:rStyle w:val="Hipervnculo"/>
                <w:noProof/>
              </w:rPr>
              <w:t>2.3 Agentes emulsionantes</w:t>
            </w:r>
            <w:r w:rsidR="004804F9">
              <w:rPr>
                <w:noProof/>
                <w:webHidden/>
              </w:rPr>
              <w:tab/>
            </w:r>
            <w:r>
              <w:rPr>
                <w:noProof/>
                <w:webHidden/>
              </w:rPr>
              <w:fldChar w:fldCharType="begin"/>
            </w:r>
            <w:r w:rsidR="004804F9">
              <w:rPr>
                <w:noProof/>
                <w:webHidden/>
              </w:rPr>
              <w:instrText xml:space="preserve"> PAGEREF _Toc327478012 \h </w:instrText>
            </w:r>
            <w:r>
              <w:rPr>
                <w:noProof/>
                <w:webHidden/>
              </w:rPr>
            </w:r>
            <w:r>
              <w:rPr>
                <w:noProof/>
                <w:webHidden/>
              </w:rPr>
              <w:fldChar w:fldCharType="separate"/>
            </w:r>
            <w:r w:rsidR="004A5F6F">
              <w:rPr>
                <w:noProof/>
                <w:webHidden/>
              </w:rPr>
              <w:t>17</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13" w:history="1">
            <w:r w:rsidR="004804F9" w:rsidRPr="005C252C">
              <w:rPr>
                <w:rStyle w:val="Hipervnculo"/>
                <w:noProof/>
              </w:rPr>
              <w:t>2.4 Estabilidad de una emulsión W/O</w:t>
            </w:r>
            <w:r w:rsidR="004804F9">
              <w:rPr>
                <w:noProof/>
                <w:webHidden/>
              </w:rPr>
              <w:tab/>
            </w:r>
            <w:r>
              <w:rPr>
                <w:noProof/>
                <w:webHidden/>
              </w:rPr>
              <w:fldChar w:fldCharType="begin"/>
            </w:r>
            <w:r w:rsidR="004804F9">
              <w:rPr>
                <w:noProof/>
                <w:webHidden/>
              </w:rPr>
              <w:instrText xml:space="preserve"> PAGEREF _Toc327478013 \h </w:instrText>
            </w:r>
            <w:r>
              <w:rPr>
                <w:noProof/>
                <w:webHidden/>
              </w:rPr>
            </w:r>
            <w:r>
              <w:rPr>
                <w:noProof/>
                <w:webHidden/>
              </w:rPr>
              <w:fldChar w:fldCharType="separate"/>
            </w:r>
            <w:r w:rsidR="004A5F6F">
              <w:rPr>
                <w:noProof/>
                <w:webHidden/>
              </w:rPr>
              <w:t>25</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14" w:history="1">
            <w:r w:rsidR="004804F9" w:rsidRPr="005C252C">
              <w:rPr>
                <w:rStyle w:val="Hipervnculo"/>
                <w:rFonts w:eastAsia="Microsoft YaHei"/>
                <w:noProof/>
              </w:rPr>
              <w:t>2.5 Fenómenos interfaciales que estabilizan o dificultan la desestabilización de una emulsión W/O</w:t>
            </w:r>
            <w:r w:rsidR="004804F9">
              <w:rPr>
                <w:noProof/>
                <w:webHidden/>
              </w:rPr>
              <w:tab/>
            </w:r>
            <w:r>
              <w:rPr>
                <w:noProof/>
                <w:webHidden/>
              </w:rPr>
              <w:fldChar w:fldCharType="begin"/>
            </w:r>
            <w:r w:rsidR="004804F9">
              <w:rPr>
                <w:noProof/>
                <w:webHidden/>
              </w:rPr>
              <w:instrText xml:space="preserve"> PAGEREF _Toc327478014 \h </w:instrText>
            </w:r>
            <w:r>
              <w:rPr>
                <w:noProof/>
                <w:webHidden/>
              </w:rPr>
            </w:r>
            <w:r>
              <w:rPr>
                <w:noProof/>
                <w:webHidden/>
              </w:rPr>
              <w:fldChar w:fldCharType="separate"/>
            </w:r>
            <w:r w:rsidR="004A5F6F">
              <w:rPr>
                <w:noProof/>
                <w:webHidden/>
              </w:rPr>
              <w:t>29</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15" w:history="1">
            <w:r w:rsidR="004804F9" w:rsidRPr="005C252C">
              <w:rPr>
                <w:rStyle w:val="Hipervnculo"/>
                <w:rFonts w:eastAsia="Microsoft YaHei"/>
                <w:noProof/>
              </w:rPr>
              <w:t>2.6 Separación electrostática</w:t>
            </w:r>
            <w:r w:rsidR="004804F9">
              <w:rPr>
                <w:noProof/>
                <w:webHidden/>
              </w:rPr>
              <w:tab/>
            </w:r>
            <w:r>
              <w:rPr>
                <w:noProof/>
                <w:webHidden/>
              </w:rPr>
              <w:fldChar w:fldCharType="begin"/>
            </w:r>
            <w:r w:rsidR="004804F9">
              <w:rPr>
                <w:noProof/>
                <w:webHidden/>
              </w:rPr>
              <w:instrText xml:space="preserve"> PAGEREF _Toc327478015 \h </w:instrText>
            </w:r>
            <w:r>
              <w:rPr>
                <w:noProof/>
                <w:webHidden/>
              </w:rPr>
            </w:r>
            <w:r>
              <w:rPr>
                <w:noProof/>
                <w:webHidden/>
              </w:rPr>
              <w:fldChar w:fldCharType="separate"/>
            </w:r>
            <w:r w:rsidR="004A5F6F">
              <w:rPr>
                <w:noProof/>
                <w:webHidden/>
              </w:rPr>
              <w:t>33</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16" w:history="1">
            <w:r w:rsidR="004804F9" w:rsidRPr="005C252C">
              <w:rPr>
                <w:rStyle w:val="Hipervnculo"/>
                <w:rFonts w:eastAsia="Microsoft YaHei"/>
                <w:noProof/>
              </w:rPr>
              <w:t>2.7 Coalescencia</w:t>
            </w:r>
            <w:r w:rsidR="004804F9">
              <w:rPr>
                <w:noProof/>
                <w:webHidden/>
              </w:rPr>
              <w:tab/>
            </w:r>
            <w:r>
              <w:rPr>
                <w:noProof/>
                <w:webHidden/>
              </w:rPr>
              <w:fldChar w:fldCharType="begin"/>
            </w:r>
            <w:r w:rsidR="004804F9">
              <w:rPr>
                <w:noProof/>
                <w:webHidden/>
              </w:rPr>
              <w:instrText xml:space="preserve"> PAGEREF _Toc327478016 \h </w:instrText>
            </w:r>
            <w:r>
              <w:rPr>
                <w:noProof/>
                <w:webHidden/>
              </w:rPr>
            </w:r>
            <w:r>
              <w:rPr>
                <w:noProof/>
                <w:webHidden/>
              </w:rPr>
              <w:fldChar w:fldCharType="separate"/>
            </w:r>
            <w:r w:rsidR="004A5F6F">
              <w:rPr>
                <w:noProof/>
                <w:webHidden/>
              </w:rPr>
              <w:t>34</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17" w:history="1">
            <w:r w:rsidR="004804F9" w:rsidRPr="005C252C">
              <w:rPr>
                <w:rStyle w:val="Hipervnculo"/>
                <w:rFonts w:eastAsia="Microsoft YaHei"/>
                <w:noProof/>
              </w:rPr>
              <w:t>2.7.1 Coalescencia eléctrica o electrocoalescencia</w:t>
            </w:r>
            <w:r w:rsidR="004804F9">
              <w:rPr>
                <w:noProof/>
                <w:webHidden/>
              </w:rPr>
              <w:tab/>
            </w:r>
            <w:r>
              <w:rPr>
                <w:noProof/>
                <w:webHidden/>
              </w:rPr>
              <w:fldChar w:fldCharType="begin"/>
            </w:r>
            <w:r w:rsidR="004804F9">
              <w:rPr>
                <w:noProof/>
                <w:webHidden/>
              </w:rPr>
              <w:instrText xml:space="preserve"> PAGEREF _Toc327478017 \h </w:instrText>
            </w:r>
            <w:r>
              <w:rPr>
                <w:noProof/>
                <w:webHidden/>
              </w:rPr>
            </w:r>
            <w:r>
              <w:rPr>
                <w:noProof/>
                <w:webHidden/>
              </w:rPr>
              <w:fldChar w:fldCharType="separate"/>
            </w:r>
            <w:r w:rsidR="004A5F6F">
              <w:rPr>
                <w:noProof/>
                <w:webHidden/>
              </w:rPr>
              <w:t>34</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18" w:history="1">
            <w:r w:rsidR="004804F9" w:rsidRPr="005C252C">
              <w:rPr>
                <w:rStyle w:val="Hipervnculo"/>
                <w:rFonts w:eastAsia="Microsoft YaHei"/>
                <w:noProof/>
              </w:rPr>
              <w:t>2.7.2 Mecanismo de coalescencia</w:t>
            </w:r>
            <w:r w:rsidR="004804F9">
              <w:rPr>
                <w:noProof/>
                <w:webHidden/>
              </w:rPr>
              <w:tab/>
            </w:r>
            <w:r>
              <w:rPr>
                <w:noProof/>
                <w:webHidden/>
              </w:rPr>
              <w:fldChar w:fldCharType="begin"/>
            </w:r>
            <w:r w:rsidR="004804F9">
              <w:rPr>
                <w:noProof/>
                <w:webHidden/>
              </w:rPr>
              <w:instrText xml:space="preserve"> PAGEREF _Toc327478018 \h </w:instrText>
            </w:r>
            <w:r>
              <w:rPr>
                <w:noProof/>
                <w:webHidden/>
              </w:rPr>
            </w:r>
            <w:r>
              <w:rPr>
                <w:noProof/>
                <w:webHidden/>
              </w:rPr>
              <w:fldChar w:fldCharType="separate"/>
            </w:r>
            <w:r w:rsidR="004A5F6F">
              <w:rPr>
                <w:noProof/>
                <w:webHidden/>
              </w:rPr>
              <w:t>37</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19" w:history="1">
            <w:r w:rsidR="004804F9" w:rsidRPr="005C252C">
              <w:rPr>
                <w:rStyle w:val="Hipervnculo"/>
                <w:noProof/>
              </w:rPr>
              <w:t>2.8 Mojabilidad</w:t>
            </w:r>
            <w:r w:rsidR="004804F9">
              <w:rPr>
                <w:noProof/>
                <w:webHidden/>
              </w:rPr>
              <w:tab/>
            </w:r>
            <w:r>
              <w:rPr>
                <w:noProof/>
                <w:webHidden/>
              </w:rPr>
              <w:fldChar w:fldCharType="begin"/>
            </w:r>
            <w:r w:rsidR="004804F9">
              <w:rPr>
                <w:noProof/>
                <w:webHidden/>
              </w:rPr>
              <w:instrText xml:space="preserve"> PAGEREF _Toc327478019 \h </w:instrText>
            </w:r>
            <w:r>
              <w:rPr>
                <w:noProof/>
                <w:webHidden/>
              </w:rPr>
            </w:r>
            <w:r>
              <w:rPr>
                <w:noProof/>
                <w:webHidden/>
              </w:rPr>
              <w:fldChar w:fldCharType="separate"/>
            </w:r>
            <w:r w:rsidR="004A5F6F">
              <w:rPr>
                <w:noProof/>
                <w:webHidden/>
              </w:rPr>
              <w:t>44</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20" w:history="1">
            <w:r w:rsidR="004804F9" w:rsidRPr="005C252C">
              <w:rPr>
                <w:rStyle w:val="Hipervnculo"/>
                <w:noProof/>
              </w:rPr>
              <w:t>2.8.1 Mojabilidad de un sistema ideal sólido/líquido/líquido y ángulo de contacto</w:t>
            </w:r>
            <w:r w:rsidR="004804F9">
              <w:rPr>
                <w:noProof/>
                <w:webHidden/>
              </w:rPr>
              <w:tab/>
            </w:r>
            <w:r>
              <w:rPr>
                <w:noProof/>
                <w:webHidden/>
              </w:rPr>
              <w:fldChar w:fldCharType="begin"/>
            </w:r>
            <w:r w:rsidR="004804F9">
              <w:rPr>
                <w:noProof/>
                <w:webHidden/>
              </w:rPr>
              <w:instrText xml:space="preserve"> PAGEREF _Toc327478020 \h </w:instrText>
            </w:r>
            <w:r>
              <w:rPr>
                <w:noProof/>
                <w:webHidden/>
              </w:rPr>
            </w:r>
            <w:r>
              <w:rPr>
                <w:noProof/>
                <w:webHidden/>
              </w:rPr>
              <w:fldChar w:fldCharType="separate"/>
            </w:r>
            <w:r w:rsidR="004A5F6F">
              <w:rPr>
                <w:noProof/>
                <w:webHidden/>
              </w:rPr>
              <w:t>45</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21" w:history="1">
            <w:r w:rsidR="004804F9" w:rsidRPr="005C252C">
              <w:rPr>
                <w:rStyle w:val="Hipervnculo"/>
                <w:noProof/>
              </w:rPr>
              <w:t>2.8.2 Variabilidad del ángulo de contacto producto de la adsorción de un surfactante</w:t>
            </w:r>
            <w:r w:rsidR="004804F9">
              <w:rPr>
                <w:noProof/>
                <w:webHidden/>
              </w:rPr>
              <w:tab/>
            </w:r>
            <w:r>
              <w:rPr>
                <w:noProof/>
                <w:webHidden/>
              </w:rPr>
              <w:fldChar w:fldCharType="begin"/>
            </w:r>
            <w:r w:rsidR="004804F9">
              <w:rPr>
                <w:noProof/>
                <w:webHidden/>
              </w:rPr>
              <w:instrText xml:space="preserve"> PAGEREF _Toc327478021 \h </w:instrText>
            </w:r>
            <w:r>
              <w:rPr>
                <w:noProof/>
                <w:webHidden/>
              </w:rPr>
            </w:r>
            <w:r>
              <w:rPr>
                <w:noProof/>
                <w:webHidden/>
              </w:rPr>
              <w:fldChar w:fldCharType="separate"/>
            </w:r>
            <w:r w:rsidR="004A5F6F">
              <w:rPr>
                <w:noProof/>
                <w:webHidden/>
              </w:rPr>
              <w:t>46</w:t>
            </w:r>
            <w:r>
              <w:rPr>
                <w:noProof/>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8022" w:history="1">
            <w:r w:rsidR="004804F9" w:rsidRPr="005C252C">
              <w:rPr>
                <w:rStyle w:val="Hipervnculo"/>
              </w:rPr>
              <w:t>CAPÍTULO III</w:t>
            </w:r>
            <w:r w:rsidR="004804F9" w:rsidRPr="004804F9">
              <w:rPr>
                <w:b w:val="0"/>
                <w:webHidden/>
              </w:rPr>
              <w:tab/>
            </w:r>
            <w:r w:rsidRPr="004804F9">
              <w:rPr>
                <w:b w:val="0"/>
                <w:webHidden/>
              </w:rPr>
              <w:fldChar w:fldCharType="begin"/>
            </w:r>
            <w:r w:rsidR="004804F9" w:rsidRPr="004804F9">
              <w:rPr>
                <w:b w:val="0"/>
                <w:webHidden/>
              </w:rPr>
              <w:instrText xml:space="preserve"> PAGEREF _Toc327478022 \h </w:instrText>
            </w:r>
            <w:r w:rsidRPr="004804F9">
              <w:rPr>
                <w:b w:val="0"/>
                <w:webHidden/>
              </w:rPr>
            </w:r>
            <w:r w:rsidRPr="004804F9">
              <w:rPr>
                <w:b w:val="0"/>
                <w:webHidden/>
              </w:rPr>
              <w:fldChar w:fldCharType="separate"/>
            </w:r>
            <w:r w:rsidR="004A5F6F">
              <w:rPr>
                <w:b w:val="0"/>
                <w:webHidden/>
              </w:rPr>
              <w:t>48</w:t>
            </w:r>
            <w:r w:rsidRPr="004804F9">
              <w:rPr>
                <w:b w:val="0"/>
                <w:webHidden/>
              </w:rPr>
              <w:fldChar w:fldCharType="end"/>
            </w:r>
          </w:hyperlink>
        </w:p>
        <w:p w:rsidR="004804F9" w:rsidRDefault="00A73CD2" w:rsidP="004804F9">
          <w:pPr>
            <w:pStyle w:val="TDC2"/>
            <w:rPr>
              <w:rFonts w:asciiTheme="minorHAnsi" w:eastAsiaTheme="minorEastAsia" w:hAnsiTheme="minorHAnsi" w:cstheme="minorBidi"/>
              <w:sz w:val="22"/>
              <w:szCs w:val="22"/>
              <w:lang w:val="en-US" w:eastAsia="en-US"/>
            </w:rPr>
          </w:pPr>
          <w:hyperlink w:anchor="_Toc327478023" w:history="1">
            <w:r w:rsidR="004804F9" w:rsidRPr="004804F9">
              <w:rPr>
                <w:rStyle w:val="Hipervnculo"/>
                <w:b/>
              </w:rPr>
              <w:t>MARCO METODOLOGICO</w:t>
            </w:r>
            <w:r w:rsidR="004804F9">
              <w:rPr>
                <w:webHidden/>
              </w:rPr>
              <w:tab/>
            </w:r>
            <w:r>
              <w:rPr>
                <w:webHidden/>
              </w:rPr>
              <w:fldChar w:fldCharType="begin"/>
            </w:r>
            <w:r w:rsidR="004804F9">
              <w:rPr>
                <w:webHidden/>
              </w:rPr>
              <w:instrText xml:space="preserve"> PAGEREF _Toc327478023 \h </w:instrText>
            </w:r>
            <w:r>
              <w:rPr>
                <w:webHidden/>
              </w:rPr>
            </w:r>
            <w:r>
              <w:rPr>
                <w:webHidden/>
              </w:rPr>
              <w:fldChar w:fldCharType="separate"/>
            </w:r>
            <w:r w:rsidR="004A5F6F">
              <w:rPr>
                <w:webHidden/>
              </w:rPr>
              <w:t>48</w:t>
            </w:r>
            <w:r>
              <w:rPr>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24" w:history="1">
            <w:r w:rsidR="004804F9" w:rsidRPr="005C252C">
              <w:rPr>
                <w:rStyle w:val="Hipervnculo"/>
                <w:noProof/>
              </w:rPr>
              <w:t>3.1 DESCRIPCIÓN DE EQUIPOS</w:t>
            </w:r>
            <w:r w:rsidR="004804F9">
              <w:rPr>
                <w:noProof/>
                <w:webHidden/>
              </w:rPr>
              <w:tab/>
            </w:r>
            <w:r>
              <w:rPr>
                <w:noProof/>
                <w:webHidden/>
              </w:rPr>
              <w:fldChar w:fldCharType="begin"/>
            </w:r>
            <w:r w:rsidR="004804F9">
              <w:rPr>
                <w:noProof/>
                <w:webHidden/>
              </w:rPr>
              <w:instrText xml:space="preserve"> PAGEREF _Toc327478024 \h </w:instrText>
            </w:r>
            <w:r>
              <w:rPr>
                <w:noProof/>
                <w:webHidden/>
              </w:rPr>
            </w:r>
            <w:r>
              <w:rPr>
                <w:noProof/>
                <w:webHidden/>
              </w:rPr>
              <w:fldChar w:fldCharType="separate"/>
            </w:r>
            <w:r w:rsidR="004A5F6F">
              <w:rPr>
                <w:noProof/>
                <w:webHidden/>
              </w:rPr>
              <w:t>48</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25" w:history="1">
            <w:r w:rsidR="004804F9" w:rsidRPr="005C252C">
              <w:rPr>
                <w:rStyle w:val="Hipervnculo"/>
                <w:noProof/>
              </w:rPr>
              <w:t>3.2 METODOLOGÍA EXPERIMENTAL</w:t>
            </w:r>
            <w:r w:rsidR="004804F9">
              <w:rPr>
                <w:noProof/>
                <w:webHidden/>
              </w:rPr>
              <w:tab/>
            </w:r>
            <w:r>
              <w:rPr>
                <w:noProof/>
                <w:webHidden/>
              </w:rPr>
              <w:fldChar w:fldCharType="begin"/>
            </w:r>
            <w:r w:rsidR="004804F9">
              <w:rPr>
                <w:noProof/>
                <w:webHidden/>
              </w:rPr>
              <w:instrText xml:space="preserve"> PAGEREF _Toc327478025 \h </w:instrText>
            </w:r>
            <w:r>
              <w:rPr>
                <w:noProof/>
                <w:webHidden/>
              </w:rPr>
            </w:r>
            <w:r>
              <w:rPr>
                <w:noProof/>
                <w:webHidden/>
              </w:rPr>
              <w:fldChar w:fldCharType="separate"/>
            </w:r>
            <w:r w:rsidR="004A5F6F">
              <w:rPr>
                <w:noProof/>
                <w:webHidden/>
              </w:rPr>
              <w:t>52</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26" w:history="1">
            <w:r w:rsidR="004804F9" w:rsidRPr="005C252C">
              <w:rPr>
                <w:rStyle w:val="Hipervnculo"/>
                <w:noProof/>
                <w:lang w:val="es-VE"/>
              </w:rPr>
              <w:t xml:space="preserve">3.2.1 </w:t>
            </w:r>
            <w:r w:rsidR="004804F9" w:rsidRPr="005C252C">
              <w:rPr>
                <w:rStyle w:val="Hipervnculo"/>
                <w:noProof/>
              </w:rPr>
              <w:t>Diseño del sistema de tratamiento de operación en continuo</w:t>
            </w:r>
            <w:r w:rsidR="004804F9">
              <w:rPr>
                <w:noProof/>
                <w:webHidden/>
              </w:rPr>
              <w:tab/>
            </w:r>
            <w:r>
              <w:rPr>
                <w:noProof/>
                <w:webHidden/>
              </w:rPr>
              <w:fldChar w:fldCharType="begin"/>
            </w:r>
            <w:r w:rsidR="004804F9">
              <w:rPr>
                <w:noProof/>
                <w:webHidden/>
              </w:rPr>
              <w:instrText xml:space="preserve"> PAGEREF _Toc327478026 \h </w:instrText>
            </w:r>
            <w:r>
              <w:rPr>
                <w:noProof/>
                <w:webHidden/>
              </w:rPr>
            </w:r>
            <w:r>
              <w:rPr>
                <w:noProof/>
                <w:webHidden/>
              </w:rPr>
              <w:fldChar w:fldCharType="separate"/>
            </w:r>
            <w:r w:rsidR="004A5F6F">
              <w:rPr>
                <w:noProof/>
                <w:webHidden/>
              </w:rPr>
              <w:t>53</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27" w:history="1">
            <w:r w:rsidR="004804F9" w:rsidRPr="005C252C">
              <w:rPr>
                <w:rStyle w:val="Hipervnculo"/>
                <w:noProof/>
              </w:rPr>
              <w:t>3.2.2 Cuantificación y evaluación del grado de separación de la emulsión Acema-100, Merey-31 y Guara-2 (fosas de producción)</w:t>
            </w:r>
            <w:r w:rsidR="004804F9">
              <w:rPr>
                <w:noProof/>
                <w:webHidden/>
              </w:rPr>
              <w:tab/>
            </w:r>
            <w:r>
              <w:rPr>
                <w:noProof/>
                <w:webHidden/>
              </w:rPr>
              <w:fldChar w:fldCharType="begin"/>
            </w:r>
            <w:r w:rsidR="004804F9">
              <w:rPr>
                <w:noProof/>
                <w:webHidden/>
              </w:rPr>
              <w:instrText xml:space="preserve"> PAGEREF _Toc327478027 \h </w:instrText>
            </w:r>
            <w:r>
              <w:rPr>
                <w:noProof/>
                <w:webHidden/>
              </w:rPr>
            </w:r>
            <w:r>
              <w:rPr>
                <w:noProof/>
                <w:webHidden/>
              </w:rPr>
              <w:fldChar w:fldCharType="separate"/>
            </w:r>
            <w:r w:rsidR="004A5F6F">
              <w:rPr>
                <w:noProof/>
                <w:webHidden/>
              </w:rPr>
              <w:t>55</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28" w:history="1">
            <w:r w:rsidR="004804F9" w:rsidRPr="005C252C">
              <w:rPr>
                <w:rStyle w:val="Hipervnculo"/>
                <w:noProof/>
              </w:rPr>
              <w:t>3.3 Identificar las limitaciones en cuanto a la celda de trabajo utilizada y proponer mejoras para un eventual rediseño del sistema de tratamiento</w:t>
            </w:r>
            <w:r w:rsidR="004804F9">
              <w:rPr>
                <w:noProof/>
                <w:webHidden/>
              </w:rPr>
              <w:tab/>
            </w:r>
            <w:r>
              <w:rPr>
                <w:noProof/>
                <w:webHidden/>
              </w:rPr>
              <w:fldChar w:fldCharType="begin"/>
            </w:r>
            <w:r w:rsidR="004804F9">
              <w:rPr>
                <w:noProof/>
                <w:webHidden/>
              </w:rPr>
              <w:instrText xml:space="preserve"> PAGEREF _Toc327478028 \h </w:instrText>
            </w:r>
            <w:r>
              <w:rPr>
                <w:noProof/>
                <w:webHidden/>
              </w:rPr>
            </w:r>
            <w:r>
              <w:rPr>
                <w:noProof/>
                <w:webHidden/>
              </w:rPr>
              <w:fldChar w:fldCharType="separate"/>
            </w:r>
            <w:r w:rsidR="004A5F6F">
              <w:rPr>
                <w:noProof/>
                <w:webHidden/>
              </w:rPr>
              <w:t>59</w:t>
            </w:r>
            <w:r>
              <w:rPr>
                <w:noProof/>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8029" w:history="1">
            <w:r w:rsidR="004804F9" w:rsidRPr="005C252C">
              <w:rPr>
                <w:rStyle w:val="Hipervnculo"/>
              </w:rPr>
              <w:t>CAPITULO IV</w:t>
            </w:r>
            <w:r w:rsidR="004804F9" w:rsidRPr="004804F9">
              <w:rPr>
                <w:b w:val="0"/>
                <w:webHidden/>
              </w:rPr>
              <w:tab/>
            </w:r>
            <w:r w:rsidRPr="004804F9">
              <w:rPr>
                <w:b w:val="0"/>
                <w:webHidden/>
              </w:rPr>
              <w:fldChar w:fldCharType="begin"/>
            </w:r>
            <w:r w:rsidR="004804F9" w:rsidRPr="004804F9">
              <w:rPr>
                <w:b w:val="0"/>
                <w:webHidden/>
              </w:rPr>
              <w:instrText xml:space="preserve"> PAGEREF _Toc327478029 \h </w:instrText>
            </w:r>
            <w:r w:rsidRPr="004804F9">
              <w:rPr>
                <w:b w:val="0"/>
                <w:webHidden/>
              </w:rPr>
            </w:r>
            <w:r w:rsidRPr="004804F9">
              <w:rPr>
                <w:b w:val="0"/>
                <w:webHidden/>
              </w:rPr>
              <w:fldChar w:fldCharType="separate"/>
            </w:r>
            <w:r w:rsidR="004A5F6F">
              <w:rPr>
                <w:b w:val="0"/>
                <w:webHidden/>
              </w:rPr>
              <w:t>60</w:t>
            </w:r>
            <w:r w:rsidRPr="004804F9">
              <w:rPr>
                <w:b w:val="0"/>
                <w:webHidden/>
              </w:rPr>
              <w:fldChar w:fldCharType="end"/>
            </w:r>
          </w:hyperlink>
        </w:p>
        <w:p w:rsidR="004804F9" w:rsidRDefault="00A73CD2" w:rsidP="004804F9">
          <w:pPr>
            <w:pStyle w:val="TDC2"/>
            <w:rPr>
              <w:rFonts w:asciiTheme="minorHAnsi" w:eastAsiaTheme="minorEastAsia" w:hAnsiTheme="minorHAnsi" w:cstheme="minorBidi"/>
              <w:sz w:val="22"/>
              <w:szCs w:val="22"/>
              <w:lang w:val="en-US" w:eastAsia="en-US"/>
            </w:rPr>
          </w:pPr>
          <w:hyperlink w:anchor="_Toc327478030" w:history="1">
            <w:r w:rsidR="004804F9" w:rsidRPr="004804F9">
              <w:rPr>
                <w:rStyle w:val="Hipervnculo"/>
                <w:b/>
              </w:rPr>
              <w:t>RESULTADOS Y ANÁLISIS DE RESULTADOS</w:t>
            </w:r>
            <w:r w:rsidR="004804F9">
              <w:rPr>
                <w:webHidden/>
              </w:rPr>
              <w:tab/>
            </w:r>
            <w:r>
              <w:rPr>
                <w:webHidden/>
              </w:rPr>
              <w:fldChar w:fldCharType="begin"/>
            </w:r>
            <w:r w:rsidR="004804F9">
              <w:rPr>
                <w:webHidden/>
              </w:rPr>
              <w:instrText xml:space="preserve"> PAGEREF _Toc327478030 \h </w:instrText>
            </w:r>
            <w:r>
              <w:rPr>
                <w:webHidden/>
              </w:rPr>
            </w:r>
            <w:r>
              <w:rPr>
                <w:webHidden/>
              </w:rPr>
              <w:fldChar w:fldCharType="separate"/>
            </w:r>
            <w:r w:rsidR="004A5F6F">
              <w:rPr>
                <w:webHidden/>
              </w:rPr>
              <w:t>60</w:t>
            </w:r>
            <w:r>
              <w:rPr>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31" w:history="1">
            <w:r w:rsidR="004804F9" w:rsidRPr="005C252C">
              <w:rPr>
                <w:rStyle w:val="Hipervnculo"/>
                <w:noProof/>
              </w:rPr>
              <w:t>4.1 Diseño de un sistema continuo para la deshidratación de emulsiones agua-crudo de fosas de producción</w:t>
            </w:r>
            <w:r w:rsidR="004804F9">
              <w:rPr>
                <w:noProof/>
                <w:webHidden/>
              </w:rPr>
              <w:tab/>
            </w:r>
            <w:r>
              <w:rPr>
                <w:noProof/>
                <w:webHidden/>
              </w:rPr>
              <w:fldChar w:fldCharType="begin"/>
            </w:r>
            <w:r w:rsidR="004804F9">
              <w:rPr>
                <w:noProof/>
                <w:webHidden/>
              </w:rPr>
              <w:instrText xml:space="preserve"> PAGEREF _Toc327478031 \h </w:instrText>
            </w:r>
            <w:r>
              <w:rPr>
                <w:noProof/>
                <w:webHidden/>
              </w:rPr>
            </w:r>
            <w:r>
              <w:rPr>
                <w:noProof/>
                <w:webHidden/>
              </w:rPr>
              <w:fldChar w:fldCharType="separate"/>
            </w:r>
            <w:r w:rsidR="004A5F6F">
              <w:rPr>
                <w:noProof/>
                <w:webHidden/>
              </w:rPr>
              <w:t>60</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32" w:history="1">
            <w:r w:rsidR="004804F9" w:rsidRPr="005C252C">
              <w:rPr>
                <w:rStyle w:val="Hipervnculo"/>
                <w:noProof/>
              </w:rPr>
              <w:t>4.2 Cuantificación y evaluación del grado de separación de las emulsiones Acema-100, Merey-31 y Guara-2</w:t>
            </w:r>
            <w:r w:rsidR="004804F9">
              <w:rPr>
                <w:noProof/>
                <w:webHidden/>
              </w:rPr>
              <w:tab/>
            </w:r>
            <w:r>
              <w:rPr>
                <w:noProof/>
                <w:webHidden/>
              </w:rPr>
              <w:fldChar w:fldCharType="begin"/>
            </w:r>
            <w:r w:rsidR="004804F9">
              <w:rPr>
                <w:noProof/>
                <w:webHidden/>
              </w:rPr>
              <w:instrText xml:space="preserve"> PAGEREF _Toc327478032 \h </w:instrText>
            </w:r>
            <w:r>
              <w:rPr>
                <w:noProof/>
                <w:webHidden/>
              </w:rPr>
            </w:r>
            <w:r>
              <w:rPr>
                <w:noProof/>
                <w:webHidden/>
              </w:rPr>
              <w:fldChar w:fldCharType="separate"/>
            </w:r>
            <w:r w:rsidR="004A5F6F">
              <w:rPr>
                <w:noProof/>
                <w:webHidden/>
              </w:rPr>
              <w:t>69</w:t>
            </w:r>
            <w:r>
              <w:rPr>
                <w:noProof/>
                <w:webHidden/>
              </w:rPr>
              <w:fldChar w:fldCharType="end"/>
            </w:r>
          </w:hyperlink>
        </w:p>
        <w:p w:rsidR="004804F9" w:rsidRDefault="00A73CD2" w:rsidP="004804F9">
          <w:pPr>
            <w:pStyle w:val="TDC3"/>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78033" w:history="1">
            <w:r w:rsidR="004804F9" w:rsidRPr="005C252C">
              <w:rPr>
                <w:rStyle w:val="Hipervnculo"/>
                <w:noProof/>
              </w:rPr>
              <w:t>4.3 Identificación de las limitaciones en cuanto a al sistema de tratamiento y propuestas para el eventual diseño de un nuevo sistema</w:t>
            </w:r>
            <w:r w:rsidR="004804F9">
              <w:rPr>
                <w:noProof/>
                <w:webHidden/>
              </w:rPr>
              <w:tab/>
            </w:r>
            <w:r>
              <w:rPr>
                <w:noProof/>
                <w:webHidden/>
              </w:rPr>
              <w:fldChar w:fldCharType="begin"/>
            </w:r>
            <w:r w:rsidR="004804F9">
              <w:rPr>
                <w:noProof/>
                <w:webHidden/>
              </w:rPr>
              <w:instrText xml:space="preserve"> PAGEREF _Toc327478033 \h </w:instrText>
            </w:r>
            <w:r>
              <w:rPr>
                <w:noProof/>
                <w:webHidden/>
              </w:rPr>
            </w:r>
            <w:r>
              <w:rPr>
                <w:noProof/>
                <w:webHidden/>
              </w:rPr>
              <w:fldChar w:fldCharType="separate"/>
            </w:r>
            <w:r w:rsidR="004A5F6F">
              <w:rPr>
                <w:noProof/>
                <w:webHidden/>
              </w:rPr>
              <w:t>105</w:t>
            </w:r>
            <w:r>
              <w:rPr>
                <w:noProof/>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8034" w:history="1">
            <w:r w:rsidR="004804F9" w:rsidRPr="005C252C">
              <w:rPr>
                <w:rStyle w:val="Hipervnculo"/>
              </w:rPr>
              <w:t>CONCLUSIONES</w:t>
            </w:r>
            <w:r w:rsidR="004804F9" w:rsidRPr="004804F9">
              <w:rPr>
                <w:b w:val="0"/>
                <w:webHidden/>
              </w:rPr>
              <w:tab/>
            </w:r>
            <w:r w:rsidRPr="004804F9">
              <w:rPr>
                <w:b w:val="0"/>
                <w:webHidden/>
              </w:rPr>
              <w:fldChar w:fldCharType="begin"/>
            </w:r>
            <w:r w:rsidR="004804F9" w:rsidRPr="004804F9">
              <w:rPr>
                <w:b w:val="0"/>
                <w:webHidden/>
              </w:rPr>
              <w:instrText xml:space="preserve"> PAGEREF _Toc327478034 \h </w:instrText>
            </w:r>
            <w:r w:rsidRPr="004804F9">
              <w:rPr>
                <w:b w:val="0"/>
                <w:webHidden/>
              </w:rPr>
            </w:r>
            <w:r w:rsidRPr="004804F9">
              <w:rPr>
                <w:b w:val="0"/>
                <w:webHidden/>
              </w:rPr>
              <w:fldChar w:fldCharType="separate"/>
            </w:r>
            <w:r w:rsidR="004A5F6F">
              <w:rPr>
                <w:b w:val="0"/>
                <w:webHidden/>
              </w:rPr>
              <w:t>109</w:t>
            </w:r>
            <w:r w:rsidRPr="004804F9">
              <w:rPr>
                <w:b w:val="0"/>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8035" w:history="1">
            <w:r w:rsidR="004804F9" w:rsidRPr="005C252C">
              <w:rPr>
                <w:rStyle w:val="Hipervnculo"/>
              </w:rPr>
              <w:t>RECOMENDACIONES</w:t>
            </w:r>
            <w:r w:rsidR="004804F9" w:rsidRPr="004804F9">
              <w:rPr>
                <w:b w:val="0"/>
                <w:webHidden/>
              </w:rPr>
              <w:tab/>
            </w:r>
            <w:r w:rsidRPr="004804F9">
              <w:rPr>
                <w:b w:val="0"/>
                <w:webHidden/>
              </w:rPr>
              <w:fldChar w:fldCharType="begin"/>
            </w:r>
            <w:r w:rsidR="004804F9" w:rsidRPr="004804F9">
              <w:rPr>
                <w:b w:val="0"/>
                <w:webHidden/>
              </w:rPr>
              <w:instrText xml:space="preserve"> PAGEREF _Toc327478035 \h </w:instrText>
            </w:r>
            <w:r w:rsidRPr="004804F9">
              <w:rPr>
                <w:b w:val="0"/>
                <w:webHidden/>
              </w:rPr>
            </w:r>
            <w:r w:rsidRPr="004804F9">
              <w:rPr>
                <w:b w:val="0"/>
                <w:webHidden/>
              </w:rPr>
              <w:fldChar w:fldCharType="separate"/>
            </w:r>
            <w:r w:rsidR="004A5F6F">
              <w:rPr>
                <w:b w:val="0"/>
                <w:webHidden/>
              </w:rPr>
              <w:t>112</w:t>
            </w:r>
            <w:r w:rsidRPr="004804F9">
              <w:rPr>
                <w:b w:val="0"/>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8036" w:history="1">
            <w:r w:rsidR="004804F9" w:rsidRPr="005C252C">
              <w:rPr>
                <w:rStyle w:val="Hipervnculo"/>
                <w:lang w:val="en-US"/>
              </w:rPr>
              <w:t>BIBLIOGRAFÍA</w:t>
            </w:r>
            <w:r w:rsidR="004804F9" w:rsidRPr="004804F9">
              <w:rPr>
                <w:b w:val="0"/>
                <w:webHidden/>
              </w:rPr>
              <w:tab/>
            </w:r>
            <w:r w:rsidRPr="004804F9">
              <w:rPr>
                <w:b w:val="0"/>
                <w:webHidden/>
              </w:rPr>
              <w:fldChar w:fldCharType="begin"/>
            </w:r>
            <w:r w:rsidR="004804F9" w:rsidRPr="004804F9">
              <w:rPr>
                <w:b w:val="0"/>
                <w:webHidden/>
              </w:rPr>
              <w:instrText xml:space="preserve"> PAGEREF _Toc327478036 \h </w:instrText>
            </w:r>
            <w:r w:rsidRPr="004804F9">
              <w:rPr>
                <w:b w:val="0"/>
                <w:webHidden/>
              </w:rPr>
            </w:r>
            <w:r w:rsidRPr="004804F9">
              <w:rPr>
                <w:b w:val="0"/>
                <w:webHidden/>
              </w:rPr>
              <w:fldChar w:fldCharType="separate"/>
            </w:r>
            <w:r w:rsidR="004A5F6F">
              <w:rPr>
                <w:b w:val="0"/>
                <w:webHidden/>
              </w:rPr>
              <w:t>113</w:t>
            </w:r>
            <w:r w:rsidRPr="004804F9">
              <w:rPr>
                <w:b w:val="0"/>
                <w:webHidden/>
              </w:rPr>
              <w:fldChar w:fldCharType="end"/>
            </w:r>
          </w:hyperlink>
        </w:p>
        <w:p w:rsidR="004804F9" w:rsidRDefault="00A73CD2" w:rsidP="004804F9">
          <w:pPr>
            <w:pStyle w:val="TDC1"/>
            <w:jc w:val="both"/>
            <w:rPr>
              <w:rFonts w:asciiTheme="minorHAnsi" w:eastAsiaTheme="minorEastAsia" w:hAnsiTheme="minorHAnsi" w:cstheme="minorBidi"/>
              <w:b w:val="0"/>
              <w:sz w:val="22"/>
              <w:szCs w:val="22"/>
              <w:lang w:val="en-US" w:eastAsia="en-US"/>
            </w:rPr>
          </w:pPr>
          <w:hyperlink w:anchor="_Toc327478037" w:history="1">
            <w:r w:rsidR="004804F9" w:rsidRPr="005C252C">
              <w:rPr>
                <w:rStyle w:val="Hipervnculo"/>
              </w:rPr>
              <w:t>APÉNDICES</w:t>
            </w:r>
            <w:r w:rsidR="004804F9" w:rsidRPr="004804F9">
              <w:rPr>
                <w:b w:val="0"/>
                <w:webHidden/>
              </w:rPr>
              <w:tab/>
            </w:r>
            <w:r w:rsidRPr="004804F9">
              <w:rPr>
                <w:b w:val="0"/>
                <w:webHidden/>
              </w:rPr>
              <w:fldChar w:fldCharType="begin"/>
            </w:r>
            <w:r w:rsidR="004804F9" w:rsidRPr="004804F9">
              <w:rPr>
                <w:b w:val="0"/>
                <w:webHidden/>
              </w:rPr>
              <w:instrText xml:space="preserve"> PAGEREF _Toc327478037 \h </w:instrText>
            </w:r>
            <w:r w:rsidRPr="004804F9">
              <w:rPr>
                <w:b w:val="0"/>
                <w:webHidden/>
              </w:rPr>
            </w:r>
            <w:r w:rsidRPr="004804F9">
              <w:rPr>
                <w:b w:val="0"/>
                <w:webHidden/>
              </w:rPr>
              <w:fldChar w:fldCharType="separate"/>
            </w:r>
            <w:r w:rsidR="004A5F6F">
              <w:rPr>
                <w:b w:val="0"/>
                <w:webHidden/>
              </w:rPr>
              <w:t>119</w:t>
            </w:r>
            <w:r w:rsidRPr="004804F9">
              <w:rPr>
                <w:b w:val="0"/>
                <w:webHidden/>
              </w:rPr>
              <w:fldChar w:fldCharType="end"/>
            </w:r>
          </w:hyperlink>
        </w:p>
        <w:p w:rsidR="004804F9" w:rsidRDefault="00A73CD2" w:rsidP="004804F9">
          <w:pPr>
            <w:pStyle w:val="TDC2"/>
            <w:rPr>
              <w:rFonts w:asciiTheme="minorHAnsi" w:eastAsiaTheme="minorEastAsia" w:hAnsiTheme="minorHAnsi" w:cstheme="minorBidi"/>
              <w:sz w:val="22"/>
              <w:szCs w:val="22"/>
              <w:lang w:val="en-US" w:eastAsia="en-US"/>
            </w:rPr>
          </w:pPr>
          <w:hyperlink w:anchor="_Toc327478038" w:history="1">
            <w:r w:rsidR="004804F9">
              <w:rPr>
                <w:rStyle w:val="Hipervnculo"/>
                <w:lang w:val="es-VE"/>
              </w:rPr>
              <w:t>Código fuente de la macro Excel empleado (Fung, 2011)</w:t>
            </w:r>
            <w:r w:rsidR="004804F9">
              <w:rPr>
                <w:webHidden/>
              </w:rPr>
              <w:tab/>
            </w:r>
            <w:r>
              <w:rPr>
                <w:webHidden/>
              </w:rPr>
              <w:fldChar w:fldCharType="begin"/>
            </w:r>
            <w:r w:rsidR="004804F9">
              <w:rPr>
                <w:webHidden/>
              </w:rPr>
              <w:instrText xml:space="preserve"> PAGEREF _Toc327478038 \h </w:instrText>
            </w:r>
            <w:r>
              <w:rPr>
                <w:webHidden/>
              </w:rPr>
            </w:r>
            <w:r>
              <w:rPr>
                <w:webHidden/>
              </w:rPr>
              <w:fldChar w:fldCharType="separate"/>
            </w:r>
            <w:r w:rsidR="004A5F6F">
              <w:rPr>
                <w:webHidden/>
              </w:rPr>
              <w:t>119</w:t>
            </w:r>
            <w:r>
              <w:rPr>
                <w:webHidden/>
              </w:rPr>
              <w:fldChar w:fldCharType="end"/>
            </w:r>
          </w:hyperlink>
        </w:p>
        <w:p w:rsidR="00FD5776" w:rsidRDefault="00A73CD2" w:rsidP="004804F9">
          <w:pPr>
            <w:jc w:val="both"/>
          </w:pPr>
          <w:r>
            <w:fldChar w:fldCharType="end"/>
          </w:r>
        </w:p>
      </w:sdtContent>
    </w:sdt>
    <w:p w:rsidR="00FB6855" w:rsidRDefault="00FB6855" w:rsidP="00DE662B">
      <w:pPr>
        <w:shd w:val="clear" w:color="auto" w:fill="FFFFFF"/>
        <w:spacing w:line="360" w:lineRule="auto"/>
        <w:jc w:val="both"/>
        <w:rPr>
          <w:b/>
          <w:szCs w:val="24"/>
        </w:rPr>
      </w:pPr>
    </w:p>
    <w:p w:rsidR="00641940" w:rsidRDefault="00641940" w:rsidP="00DE662B">
      <w:pPr>
        <w:shd w:val="clear" w:color="auto" w:fill="FFFFFF"/>
        <w:spacing w:line="360" w:lineRule="auto"/>
        <w:jc w:val="both"/>
        <w:rPr>
          <w:b/>
          <w:szCs w:val="24"/>
        </w:rPr>
        <w:sectPr w:rsidR="00641940" w:rsidSect="006F09D1">
          <w:pgSz w:w="12240" w:h="15840"/>
          <w:pgMar w:top="1699" w:right="1699" w:bottom="1699" w:left="2275" w:header="720" w:footer="720" w:gutter="0"/>
          <w:pgNumType w:fmt="lowerRoman"/>
          <w:cols w:space="720"/>
          <w:docGrid w:linePitch="360"/>
        </w:sectPr>
      </w:pPr>
    </w:p>
    <w:p w:rsidR="00FB6855" w:rsidRDefault="002C10C0" w:rsidP="005B74B4">
      <w:pPr>
        <w:pStyle w:val="Ttulo1"/>
      </w:pPr>
      <w:bookmarkStart w:id="4" w:name="_Toc327477997"/>
      <w:r>
        <w:lastRenderedPageBreak/>
        <w:t>IN</w:t>
      </w:r>
      <w:r w:rsidR="00FB6855">
        <w:t>DICE DE FIGURAS</w:t>
      </w:r>
      <w:bookmarkEnd w:id="4"/>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r>
        <w:rPr>
          <w:b/>
          <w:szCs w:val="24"/>
        </w:rPr>
        <w:fldChar w:fldCharType="begin"/>
      </w:r>
      <w:r w:rsidR="000E0C20">
        <w:rPr>
          <w:b/>
          <w:szCs w:val="24"/>
        </w:rPr>
        <w:instrText xml:space="preserve"> TOC \h \z \c "Figura N°" </w:instrText>
      </w:r>
      <w:r>
        <w:rPr>
          <w:b/>
          <w:szCs w:val="24"/>
        </w:rPr>
        <w:fldChar w:fldCharType="separate"/>
      </w:r>
      <w:hyperlink w:anchor="_Toc327481413" w:history="1">
        <w:r w:rsidR="00C21F97" w:rsidRPr="00C21F97">
          <w:rPr>
            <w:rStyle w:val="Hipervnculo"/>
            <w:b/>
            <w:noProof/>
          </w:rPr>
          <w:t>Figura N° 1</w:t>
        </w:r>
        <w:r w:rsidR="00C21F97" w:rsidRPr="007C4FD8">
          <w:rPr>
            <w:rStyle w:val="Hipervnculo"/>
            <w:noProof/>
          </w:rPr>
          <w:t>: Columna coalescedora empacada con rocas rojas (Renouf y otros, 2006).</w:t>
        </w:r>
        <w:r w:rsidR="00C21F97">
          <w:rPr>
            <w:noProof/>
            <w:webHidden/>
          </w:rPr>
          <w:tab/>
        </w:r>
        <w:r>
          <w:rPr>
            <w:noProof/>
            <w:webHidden/>
          </w:rPr>
          <w:fldChar w:fldCharType="begin"/>
        </w:r>
        <w:r w:rsidR="00C21F97">
          <w:rPr>
            <w:noProof/>
            <w:webHidden/>
          </w:rPr>
          <w:instrText xml:space="preserve"> PAGEREF _Toc327481413 \h </w:instrText>
        </w:r>
        <w:r>
          <w:rPr>
            <w:noProof/>
            <w:webHidden/>
          </w:rPr>
        </w:r>
        <w:r>
          <w:rPr>
            <w:noProof/>
            <w:webHidden/>
          </w:rPr>
          <w:fldChar w:fldCharType="separate"/>
        </w:r>
        <w:r w:rsidR="004A5F6F">
          <w:rPr>
            <w:noProof/>
            <w:webHidden/>
          </w:rPr>
          <w:t>7</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14" w:history="1">
        <w:r w:rsidR="00C21F97" w:rsidRPr="00C21F97">
          <w:rPr>
            <w:rStyle w:val="Hipervnculo"/>
            <w:b/>
            <w:noProof/>
          </w:rPr>
          <w:t>Figura N° 2:</w:t>
        </w:r>
        <w:r w:rsidR="00C21F97" w:rsidRPr="007C4FD8">
          <w:rPr>
            <w:rStyle w:val="Hipervnculo"/>
            <w:noProof/>
          </w:rPr>
          <w:t xml:space="preserve"> Esquema general del montaje experimental con columna colaescedora</w:t>
        </w:r>
        <w:r w:rsidR="00C21F97">
          <w:rPr>
            <w:noProof/>
            <w:webHidden/>
          </w:rPr>
          <w:tab/>
        </w:r>
        <w:r>
          <w:rPr>
            <w:noProof/>
            <w:webHidden/>
          </w:rPr>
          <w:fldChar w:fldCharType="begin"/>
        </w:r>
        <w:r w:rsidR="00C21F97">
          <w:rPr>
            <w:noProof/>
            <w:webHidden/>
          </w:rPr>
          <w:instrText xml:space="preserve"> PAGEREF _Toc327481414 \h </w:instrText>
        </w:r>
        <w:r>
          <w:rPr>
            <w:noProof/>
            <w:webHidden/>
          </w:rPr>
        </w:r>
        <w:r>
          <w:rPr>
            <w:noProof/>
            <w:webHidden/>
          </w:rPr>
          <w:fldChar w:fldCharType="separate"/>
        </w:r>
        <w:r w:rsidR="004A5F6F">
          <w:rPr>
            <w:noProof/>
            <w:webHidden/>
          </w:rPr>
          <w:t>8</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15" w:history="1">
        <w:r w:rsidR="00C21F97" w:rsidRPr="00C21F97">
          <w:rPr>
            <w:rStyle w:val="Hipervnculo"/>
            <w:b/>
            <w:noProof/>
          </w:rPr>
          <w:t>Figura N° 3:</w:t>
        </w:r>
        <w:r w:rsidR="00C21F97" w:rsidRPr="007C4FD8">
          <w:rPr>
            <w:rStyle w:val="Hipervnculo"/>
            <w:noProof/>
          </w:rPr>
          <w:t xml:space="preserve"> Integración de las técnicas de desestabilización </w:t>
        </w:r>
        <w:r w:rsidR="00C21F97">
          <w:rPr>
            <w:rStyle w:val="Hipervnculo"/>
            <w:noProof/>
          </w:rPr>
          <w:t>en función de</w:t>
        </w:r>
        <w:r w:rsidR="004A5F6F">
          <w:rPr>
            <w:rStyle w:val="Hipervnculo"/>
            <w:noProof/>
          </w:rPr>
          <w:t>l</w:t>
        </w:r>
        <w:r w:rsidR="00C21F97">
          <w:rPr>
            <w:rStyle w:val="Hipervnculo"/>
            <w:noProof/>
          </w:rPr>
          <w:t xml:space="preserve"> </w:t>
        </w:r>
        <w:r w:rsidR="00C21F97" w:rsidRPr="007C4FD8">
          <w:rPr>
            <w:rStyle w:val="Hipervnculo"/>
            <w:noProof/>
          </w:rPr>
          <w:t>porcentaje recuperado de las fases (Morales, 2009).</w:t>
        </w:r>
        <w:r w:rsidR="00C21F97">
          <w:rPr>
            <w:noProof/>
            <w:webHidden/>
          </w:rPr>
          <w:tab/>
        </w:r>
        <w:r>
          <w:rPr>
            <w:noProof/>
            <w:webHidden/>
          </w:rPr>
          <w:fldChar w:fldCharType="begin"/>
        </w:r>
        <w:r w:rsidR="00C21F97">
          <w:rPr>
            <w:noProof/>
            <w:webHidden/>
          </w:rPr>
          <w:instrText xml:space="preserve"> PAGEREF _Toc327481415 \h </w:instrText>
        </w:r>
        <w:r>
          <w:rPr>
            <w:noProof/>
            <w:webHidden/>
          </w:rPr>
        </w:r>
        <w:r>
          <w:rPr>
            <w:noProof/>
            <w:webHidden/>
          </w:rPr>
          <w:fldChar w:fldCharType="separate"/>
        </w:r>
        <w:r w:rsidR="004A5F6F">
          <w:rPr>
            <w:noProof/>
            <w:webHidden/>
          </w:rPr>
          <w:t>11</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16" w:history="1">
        <w:r w:rsidR="00C21F97" w:rsidRPr="00C21F97">
          <w:rPr>
            <w:rStyle w:val="Hipervnculo"/>
            <w:b/>
            <w:noProof/>
          </w:rPr>
          <w:t>Figura N° 4:</w:t>
        </w:r>
        <w:r w:rsidR="00C21F97" w:rsidRPr="007C4FD8">
          <w:rPr>
            <w:rStyle w:val="Hipervnculo"/>
            <w:noProof/>
          </w:rPr>
          <w:t xml:space="preserve"> Fosa de </w:t>
        </w:r>
        <w:r w:rsidR="00C21F97" w:rsidRPr="00C21F97">
          <w:rPr>
            <w:rStyle w:val="Hipervnculo"/>
            <w:noProof/>
            <w:u w:val="none"/>
          </w:rPr>
          <w:t>Producción</w:t>
        </w:r>
        <w:r w:rsidR="00C21F97" w:rsidRPr="007C4FD8">
          <w:rPr>
            <w:rStyle w:val="Hipervnculo"/>
            <w:noProof/>
          </w:rPr>
          <w:t>. Estado Monagas. Venezuela (Morfes, 2004).</w:t>
        </w:r>
        <w:r w:rsidR="00C21F97">
          <w:rPr>
            <w:noProof/>
            <w:webHidden/>
          </w:rPr>
          <w:tab/>
        </w:r>
        <w:r>
          <w:rPr>
            <w:noProof/>
            <w:webHidden/>
          </w:rPr>
          <w:fldChar w:fldCharType="begin"/>
        </w:r>
        <w:r w:rsidR="00C21F97">
          <w:rPr>
            <w:noProof/>
            <w:webHidden/>
          </w:rPr>
          <w:instrText xml:space="preserve"> PAGEREF _Toc327481416 \h </w:instrText>
        </w:r>
        <w:r>
          <w:rPr>
            <w:noProof/>
            <w:webHidden/>
          </w:rPr>
        </w:r>
        <w:r>
          <w:rPr>
            <w:noProof/>
            <w:webHidden/>
          </w:rPr>
          <w:fldChar w:fldCharType="separate"/>
        </w:r>
        <w:r w:rsidR="004A5F6F">
          <w:rPr>
            <w:noProof/>
            <w:webHidden/>
          </w:rPr>
          <w:t>13</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17" w:history="1">
        <w:r w:rsidR="00C21F97" w:rsidRPr="00C21F97">
          <w:rPr>
            <w:rStyle w:val="Hipervnculo"/>
            <w:b/>
            <w:noProof/>
          </w:rPr>
          <w:t>Figura N° 5:</w:t>
        </w:r>
        <w:r w:rsidR="00C21F97" w:rsidRPr="007C4FD8">
          <w:rPr>
            <w:rStyle w:val="Hipervnculo"/>
            <w:noProof/>
          </w:rPr>
          <w:t xml:space="preserve"> Macrofosa ubicada en Morichal, Estado Monagas (Morfes, 2004).</w:t>
        </w:r>
        <w:r w:rsidR="00C21F97">
          <w:rPr>
            <w:noProof/>
            <w:webHidden/>
          </w:rPr>
          <w:tab/>
        </w:r>
        <w:r>
          <w:rPr>
            <w:noProof/>
            <w:webHidden/>
          </w:rPr>
          <w:fldChar w:fldCharType="begin"/>
        </w:r>
        <w:r w:rsidR="00C21F97">
          <w:rPr>
            <w:noProof/>
            <w:webHidden/>
          </w:rPr>
          <w:instrText xml:space="preserve"> PAGEREF _Toc327481417 \h </w:instrText>
        </w:r>
        <w:r>
          <w:rPr>
            <w:noProof/>
            <w:webHidden/>
          </w:rPr>
        </w:r>
        <w:r>
          <w:rPr>
            <w:noProof/>
            <w:webHidden/>
          </w:rPr>
          <w:fldChar w:fldCharType="separate"/>
        </w:r>
        <w:r w:rsidR="004A5F6F">
          <w:rPr>
            <w:noProof/>
            <w:webHidden/>
          </w:rPr>
          <w:t>14</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18" w:history="1">
        <w:r w:rsidR="00C21F97" w:rsidRPr="00C21F97">
          <w:rPr>
            <w:rStyle w:val="Hipervnculo"/>
            <w:b/>
            <w:noProof/>
          </w:rPr>
          <w:t>Figura N° 6:</w:t>
        </w:r>
        <w:r w:rsidR="00C21F97" w:rsidRPr="007C4FD8">
          <w:rPr>
            <w:rStyle w:val="Hipervnculo"/>
            <w:noProof/>
          </w:rPr>
          <w:t xml:space="preserve"> Fosas de producción con revestimiento interno (Morfes, 2004).</w:t>
        </w:r>
        <w:r w:rsidR="00C21F97">
          <w:rPr>
            <w:noProof/>
            <w:webHidden/>
          </w:rPr>
          <w:tab/>
        </w:r>
        <w:r>
          <w:rPr>
            <w:noProof/>
            <w:webHidden/>
          </w:rPr>
          <w:fldChar w:fldCharType="begin"/>
        </w:r>
        <w:r w:rsidR="00C21F97">
          <w:rPr>
            <w:noProof/>
            <w:webHidden/>
          </w:rPr>
          <w:instrText xml:space="preserve"> PAGEREF _Toc327481418 \h </w:instrText>
        </w:r>
        <w:r>
          <w:rPr>
            <w:noProof/>
            <w:webHidden/>
          </w:rPr>
        </w:r>
        <w:r>
          <w:rPr>
            <w:noProof/>
            <w:webHidden/>
          </w:rPr>
          <w:fldChar w:fldCharType="separate"/>
        </w:r>
        <w:r w:rsidR="004A5F6F">
          <w:rPr>
            <w:noProof/>
            <w:webHidden/>
          </w:rPr>
          <w:t>14</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19" w:history="1">
        <w:r w:rsidR="00C21F97" w:rsidRPr="00C21F97">
          <w:rPr>
            <w:rStyle w:val="Hipervnculo"/>
            <w:b/>
            <w:noProof/>
          </w:rPr>
          <w:t>Figura N° 7:</w:t>
        </w:r>
        <w:r w:rsidR="00C21F97" w:rsidRPr="007C4FD8">
          <w:rPr>
            <w:rStyle w:val="Hipervnculo"/>
            <w:noProof/>
          </w:rPr>
          <w:t xml:space="preserve"> Estimación de agua emulsionada contenida en crudo en función de </w:t>
        </w:r>
        <w:r w:rsidR="00C21F97">
          <w:rPr>
            <w:rStyle w:val="Hipervnculo"/>
            <w:noProof/>
          </w:rPr>
          <w:t xml:space="preserve">la gravedad </w:t>
        </w:r>
        <w:r w:rsidR="00C21F97" w:rsidRPr="007C4FD8">
          <w:rPr>
            <w:rStyle w:val="Hipervnculo"/>
            <w:noProof/>
          </w:rPr>
          <w:t>API (Schramm, 1992).</w:t>
        </w:r>
        <w:r w:rsidR="00C21F97">
          <w:rPr>
            <w:noProof/>
            <w:webHidden/>
          </w:rPr>
          <w:tab/>
        </w:r>
        <w:r>
          <w:rPr>
            <w:noProof/>
            <w:webHidden/>
          </w:rPr>
          <w:fldChar w:fldCharType="begin"/>
        </w:r>
        <w:r w:rsidR="00C21F97">
          <w:rPr>
            <w:noProof/>
            <w:webHidden/>
          </w:rPr>
          <w:instrText xml:space="preserve"> PAGEREF _Toc327481419 \h </w:instrText>
        </w:r>
        <w:r>
          <w:rPr>
            <w:noProof/>
            <w:webHidden/>
          </w:rPr>
        </w:r>
        <w:r>
          <w:rPr>
            <w:noProof/>
            <w:webHidden/>
          </w:rPr>
          <w:fldChar w:fldCharType="separate"/>
        </w:r>
        <w:r w:rsidR="004A5F6F">
          <w:rPr>
            <w:noProof/>
            <w:webHidden/>
          </w:rPr>
          <w:t>17</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20" w:history="1">
        <w:r w:rsidR="00C21F97" w:rsidRPr="00C21F97">
          <w:rPr>
            <w:rStyle w:val="Hipervnculo"/>
            <w:b/>
            <w:noProof/>
          </w:rPr>
          <w:t>Figura N° 8:</w:t>
        </w:r>
        <w:r w:rsidR="00C21F97" w:rsidRPr="007C4FD8">
          <w:rPr>
            <w:rStyle w:val="Hipervnculo"/>
            <w:noProof/>
          </w:rPr>
          <w:t xml:space="preserve"> Esquema representativo de las interacciones intermoleculares en el seno de un líquido y en la interfase líquido-aire (Pankow y Cherry, 1996).</w:t>
        </w:r>
        <w:r w:rsidR="00C21F97">
          <w:rPr>
            <w:noProof/>
            <w:webHidden/>
          </w:rPr>
          <w:tab/>
        </w:r>
        <w:r>
          <w:rPr>
            <w:noProof/>
            <w:webHidden/>
          </w:rPr>
          <w:fldChar w:fldCharType="begin"/>
        </w:r>
        <w:r w:rsidR="00C21F97">
          <w:rPr>
            <w:noProof/>
            <w:webHidden/>
          </w:rPr>
          <w:instrText xml:space="preserve"> PAGEREF _Toc327481420 \h </w:instrText>
        </w:r>
        <w:r>
          <w:rPr>
            <w:noProof/>
            <w:webHidden/>
          </w:rPr>
        </w:r>
        <w:r>
          <w:rPr>
            <w:noProof/>
            <w:webHidden/>
          </w:rPr>
          <w:fldChar w:fldCharType="separate"/>
        </w:r>
        <w:r w:rsidR="004A5F6F">
          <w:rPr>
            <w:noProof/>
            <w:webHidden/>
          </w:rPr>
          <w:t>18</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21" w:history="1">
        <w:r w:rsidR="00C21F97" w:rsidRPr="00C21F97">
          <w:rPr>
            <w:rStyle w:val="Hipervnculo"/>
            <w:b/>
            <w:noProof/>
          </w:rPr>
          <w:t>Figura N° 9:</w:t>
        </w:r>
        <w:r w:rsidR="00C21F97" w:rsidRPr="007C4FD8">
          <w:rPr>
            <w:rStyle w:val="Hipervnculo"/>
            <w:noProof/>
          </w:rPr>
          <w:t xml:space="preserve"> Molécula de surfactante en una emulsión agua en aceite W/O (Elaboración propia).</w:t>
        </w:r>
        <w:r w:rsidR="00C21F97">
          <w:rPr>
            <w:noProof/>
            <w:webHidden/>
          </w:rPr>
          <w:tab/>
        </w:r>
        <w:r>
          <w:rPr>
            <w:noProof/>
            <w:webHidden/>
          </w:rPr>
          <w:fldChar w:fldCharType="begin"/>
        </w:r>
        <w:r w:rsidR="00C21F97">
          <w:rPr>
            <w:noProof/>
            <w:webHidden/>
          </w:rPr>
          <w:instrText xml:space="preserve"> PAGEREF _Toc327481421 \h </w:instrText>
        </w:r>
        <w:r>
          <w:rPr>
            <w:noProof/>
            <w:webHidden/>
          </w:rPr>
        </w:r>
        <w:r>
          <w:rPr>
            <w:noProof/>
            <w:webHidden/>
          </w:rPr>
          <w:fldChar w:fldCharType="separate"/>
        </w:r>
        <w:r w:rsidR="004A5F6F">
          <w:rPr>
            <w:noProof/>
            <w:webHidden/>
          </w:rPr>
          <w:t>19</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22" w:history="1">
        <w:r w:rsidR="00C21F97" w:rsidRPr="007C4FD8">
          <w:rPr>
            <w:rStyle w:val="Hipervnculo"/>
            <w:noProof/>
          </w:rPr>
          <w:t xml:space="preserve">Figura N° 10: Composición </w:t>
        </w:r>
        <w:r w:rsidR="00C21F97">
          <w:rPr>
            <w:rStyle w:val="Hipervnculo"/>
            <w:noProof/>
          </w:rPr>
          <w:t xml:space="preserve">del crudo a nivel macroscópico </w:t>
        </w:r>
        <w:r w:rsidR="00C21F97" w:rsidRPr="007C4FD8">
          <w:rPr>
            <w:rStyle w:val="Hipervnculo"/>
            <w:noProof/>
          </w:rPr>
          <w:t>(Elaboración propia).</w:t>
        </w:r>
        <w:r w:rsidR="00C21F97">
          <w:rPr>
            <w:noProof/>
            <w:webHidden/>
          </w:rPr>
          <w:tab/>
        </w:r>
        <w:r>
          <w:rPr>
            <w:noProof/>
            <w:webHidden/>
          </w:rPr>
          <w:fldChar w:fldCharType="begin"/>
        </w:r>
        <w:r w:rsidR="00C21F97">
          <w:rPr>
            <w:noProof/>
            <w:webHidden/>
          </w:rPr>
          <w:instrText xml:space="preserve"> PAGEREF _Toc327481422 \h </w:instrText>
        </w:r>
        <w:r>
          <w:rPr>
            <w:noProof/>
            <w:webHidden/>
          </w:rPr>
        </w:r>
        <w:r>
          <w:rPr>
            <w:noProof/>
            <w:webHidden/>
          </w:rPr>
          <w:fldChar w:fldCharType="separate"/>
        </w:r>
        <w:r w:rsidR="004A5F6F">
          <w:rPr>
            <w:noProof/>
            <w:webHidden/>
          </w:rPr>
          <w:t>21</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23" w:history="1">
        <w:r w:rsidR="00C21F97" w:rsidRPr="00C21F97">
          <w:rPr>
            <w:rStyle w:val="Hipervnculo"/>
            <w:b/>
            <w:noProof/>
          </w:rPr>
          <w:t>Figura N° 11</w:t>
        </w:r>
        <w:r w:rsidR="00C21F97" w:rsidRPr="007C4FD8">
          <w:rPr>
            <w:rStyle w:val="Hipervnculo"/>
            <w:noProof/>
          </w:rPr>
          <w:t>: Posibles estructuras moleculare</w:t>
        </w:r>
        <w:r w:rsidR="00C21F97">
          <w:rPr>
            <w:rStyle w:val="Hipervnculo"/>
            <w:noProof/>
          </w:rPr>
          <w:t>s de dos moléculas de asfalteno</w:t>
        </w:r>
        <w:r w:rsidR="00C21F97" w:rsidRPr="007C4FD8">
          <w:rPr>
            <w:rStyle w:val="Hipervnculo"/>
            <w:noProof/>
          </w:rPr>
          <w:t xml:space="preserve"> (Kilpatric y Spiecker, 2001)</w:t>
        </w:r>
        <w:r w:rsidR="00C21F97" w:rsidRPr="007C4FD8">
          <w:rPr>
            <w:rStyle w:val="Hipervnculo"/>
            <w:i/>
            <w:noProof/>
          </w:rPr>
          <w:t>.</w:t>
        </w:r>
        <w:r w:rsidR="00C21F97">
          <w:rPr>
            <w:noProof/>
            <w:webHidden/>
          </w:rPr>
          <w:tab/>
        </w:r>
        <w:r>
          <w:rPr>
            <w:noProof/>
            <w:webHidden/>
          </w:rPr>
          <w:fldChar w:fldCharType="begin"/>
        </w:r>
        <w:r w:rsidR="00C21F97">
          <w:rPr>
            <w:noProof/>
            <w:webHidden/>
          </w:rPr>
          <w:instrText xml:space="preserve"> PAGEREF _Toc327481423 \h </w:instrText>
        </w:r>
        <w:r>
          <w:rPr>
            <w:noProof/>
            <w:webHidden/>
          </w:rPr>
        </w:r>
        <w:r>
          <w:rPr>
            <w:noProof/>
            <w:webHidden/>
          </w:rPr>
          <w:fldChar w:fldCharType="separate"/>
        </w:r>
        <w:r w:rsidR="004A5F6F">
          <w:rPr>
            <w:noProof/>
            <w:webHidden/>
          </w:rPr>
          <w:t>22</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24" w:history="1">
        <w:r w:rsidR="00C21F97" w:rsidRPr="00C21F97">
          <w:rPr>
            <w:rStyle w:val="Hipervnculo"/>
            <w:b/>
            <w:noProof/>
          </w:rPr>
          <w:t>Figura N° 12:</w:t>
        </w:r>
        <w:r w:rsidR="00C21F97" w:rsidRPr="007C4FD8">
          <w:rPr>
            <w:rStyle w:val="Hipervnculo"/>
            <w:noProof/>
          </w:rPr>
          <w:t xml:space="preserve"> Agregación micelar de asfaltenos en la interfase agua-crudo (Kilpatric y Spiecker, 2001)</w:t>
        </w:r>
        <w:r w:rsidR="00C21F97" w:rsidRPr="007C4FD8">
          <w:rPr>
            <w:rStyle w:val="Hipervnculo"/>
            <w:i/>
            <w:noProof/>
          </w:rPr>
          <w:t>.</w:t>
        </w:r>
        <w:r w:rsidR="00C21F97">
          <w:rPr>
            <w:noProof/>
            <w:webHidden/>
          </w:rPr>
          <w:tab/>
        </w:r>
        <w:r>
          <w:rPr>
            <w:noProof/>
            <w:webHidden/>
          </w:rPr>
          <w:fldChar w:fldCharType="begin"/>
        </w:r>
        <w:r w:rsidR="00C21F97">
          <w:rPr>
            <w:noProof/>
            <w:webHidden/>
          </w:rPr>
          <w:instrText xml:space="preserve"> PAGEREF _Toc327481424 \h </w:instrText>
        </w:r>
        <w:r>
          <w:rPr>
            <w:noProof/>
            <w:webHidden/>
          </w:rPr>
        </w:r>
        <w:r>
          <w:rPr>
            <w:noProof/>
            <w:webHidden/>
          </w:rPr>
          <w:fldChar w:fldCharType="separate"/>
        </w:r>
        <w:r w:rsidR="004A5F6F">
          <w:rPr>
            <w:noProof/>
            <w:webHidden/>
          </w:rPr>
          <w:t>22</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25" w:history="1">
        <w:r w:rsidR="00C21F97" w:rsidRPr="00C21F97">
          <w:rPr>
            <w:rStyle w:val="Hipervnculo"/>
            <w:b/>
            <w:noProof/>
          </w:rPr>
          <w:t>Figura N° 13:</w:t>
        </w:r>
        <w:r w:rsidR="00C21F97" w:rsidRPr="007C4FD8">
          <w:rPr>
            <w:rStyle w:val="Hipervnculo"/>
            <w:noProof/>
          </w:rPr>
          <w:t xml:space="preserve"> Repulsión estérica entre dos gotas de agua (Sunil, 2006).</w:t>
        </w:r>
        <w:r w:rsidR="00C21F97">
          <w:rPr>
            <w:noProof/>
            <w:webHidden/>
          </w:rPr>
          <w:tab/>
        </w:r>
        <w:r>
          <w:rPr>
            <w:noProof/>
            <w:webHidden/>
          </w:rPr>
          <w:fldChar w:fldCharType="begin"/>
        </w:r>
        <w:r w:rsidR="00C21F97">
          <w:rPr>
            <w:noProof/>
            <w:webHidden/>
          </w:rPr>
          <w:instrText xml:space="preserve"> PAGEREF _Toc327481425 \h </w:instrText>
        </w:r>
        <w:r>
          <w:rPr>
            <w:noProof/>
            <w:webHidden/>
          </w:rPr>
        </w:r>
        <w:r>
          <w:rPr>
            <w:noProof/>
            <w:webHidden/>
          </w:rPr>
          <w:fldChar w:fldCharType="separate"/>
        </w:r>
        <w:r w:rsidR="004A5F6F">
          <w:rPr>
            <w:noProof/>
            <w:webHidden/>
          </w:rPr>
          <w:t>23</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26" w:history="1">
        <w:r w:rsidR="00C21F97" w:rsidRPr="00C21F97">
          <w:rPr>
            <w:rStyle w:val="Hipervnculo"/>
            <w:b/>
            <w:noProof/>
          </w:rPr>
          <w:t>Figura N° 14:</w:t>
        </w:r>
        <w:r w:rsidR="00C21F97" w:rsidRPr="007C4FD8">
          <w:rPr>
            <w:rStyle w:val="Hipervnculo"/>
            <w:noProof/>
          </w:rPr>
          <w:t xml:space="preserve"> Efecto de los asfaltenos en la estabilidad de una emulsión W/O (Sunil, 2006).</w:t>
        </w:r>
        <w:r w:rsidR="00C21F97">
          <w:rPr>
            <w:noProof/>
            <w:webHidden/>
          </w:rPr>
          <w:tab/>
        </w:r>
        <w:r>
          <w:rPr>
            <w:noProof/>
            <w:webHidden/>
          </w:rPr>
          <w:fldChar w:fldCharType="begin"/>
        </w:r>
        <w:r w:rsidR="00C21F97">
          <w:rPr>
            <w:noProof/>
            <w:webHidden/>
          </w:rPr>
          <w:instrText xml:space="preserve"> PAGEREF _Toc327481426 \h </w:instrText>
        </w:r>
        <w:r>
          <w:rPr>
            <w:noProof/>
            <w:webHidden/>
          </w:rPr>
        </w:r>
        <w:r>
          <w:rPr>
            <w:noProof/>
            <w:webHidden/>
          </w:rPr>
          <w:fldChar w:fldCharType="separate"/>
        </w:r>
        <w:r w:rsidR="004A5F6F">
          <w:rPr>
            <w:noProof/>
            <w:webHidden/>
          </w:rPr>
          <w:t>24</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27" w:history="1">
        <w:r w:rsidR="00C21F97" w:rsidRPr="00C21F97">
          <w:rPr>
            <w:rStyle w:val="Hipervnculo"/>
            <w:b/>
            <w:noProof/>
          </w:rPr>
          <w:t xml:space="preserve">Figura N° 15: </w:t>
        </w:r>
        <w:r w:rsidR="00C21F97" w:rsidRPr="007C4FD8">
          <w:rPr>
            <w:rStyle w:val="Hipervnculo"/>
            <w:noProof/>
          </w:rPr>
          <w:t>Deshidratador electrostático (Marfisi y Salager, 2004).</w:t>
        </w:r>
        <w:r w:rsidR="00C21F97">
          <w:rPr>
            <w:noProof/>
            <w:webHidden/>
          </w:rPr>
          <w:tab/>
        </w:r>
        <w:r>
          <w:rPr>
            <w:noProof/>
            <w:webHidden/>
          </w:rPr>
          <w:fldChar w:fldCharType="begin"/>
        </w:r>
        <w:r w:rsidR="00C21F97">
          <w:rPr>
            <w:noProof/>
            <w:webHidden/>
          </w:rPr>
          <w:instrText xml:space="preserve"> PAGEREF _Toc327481427 \h </w:instrText>
        </w:r>
        <w:r>
          <w:rPr>
            <w:noProof/>
            <w:webHidden/>
          </w:rPr>
        </w:r>
        <w:r>
          <w:rPr>
            <w:noProof/>
            <w:webHidden/>
          </w:rPr>
          <w:fldChar w:fldCharType="separate"/>
        </w:r>
        <w:r w:rsidR="004A5F6F">
          <w:rPr>
            <w:noProof/>
            <w:webHidden/>
          </w:rPr>
          <w:t>33</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28" w:history="1">
        <w:r w:rsidR="00C21F97" w:rsidRPr="00C21F97">
          <w:rPr>
            <w:rStyle w:val="Hipervnculo"/>
            <w:b/>
            <w:noProof/>
          </w:rPr>
          <w:t>Figura N° 16:</w:t>
        </w:r>
        <w:r w:rsidR="00C21F97" w:rsidRPr="007C4FD8">
          <w:rPr>
            <w:rStyle w:val="Hipervnculo"/>
            <w:noProof/>
          </w:rPr>
          <w:t xml:space="preserve"> Representación del fenómeno de coalescencia eléctrica de dos gotas de agua (Elaboración propia).</w:t>
        </w:r>
        <w:r w:rsidR="00C21F97">
          <w:rPr>
            <w:noProof/>
            <w:webHidden/>
          </w:rPr>
          <w:tab/>
        </w:r>
        <w:r>
          <w:rPr>
            <w:noProof/>
            <w:webHidden/>
          </w:rPr>
          <w:fldChar w:fldCharType="begin"/>
        </w:r>
        <w:r w:rsidR="00C21F97">
          <w:rPr>
            <w:noProof/>
            <w:webHidden/>
          </w:rPr>
          <w:instrText xml:space="preserve"> PAGEREF _Toc327481428 \h </w:instrText>
        </w:r>
        <w:r>
          <w:rPr>
            <w:noProof/>
            <w:webHidden/>
          </w:rPr>
        </w:r>
        <w:r>
          <w:rPr>
            <w:noProof/>
            <w:webHidden/>
          </w:rPr>
          <w:fldChar w:fldCharType="separate"/>
        </w:r>
        <w:r w:rsidR="004A5F6F">
          <w:rPr>
            <w:noProof/>
            <w:webHidden/>
          </w:rPr>
          <w:t>35</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29" w:history="1">
        <w:r w:rsidR="00C21F97" w:rsidRPr="00C21F97">
          <w:rPr>
            <w:rStyle w:val="Hipervnculo"/>
            <w:b/>
            <w:noProof/>
          </w:rPr>
          <w:t xml:space="preserve">Figura N° 17: </w:t>
        </w:r>
        <w:r w:rsidR="00C21F97" w:rsidRPr="007C4FD8">
          <w:rPr>
            <w:rStyle w:val="Hipervnculo"/>
            <w:noProof/>
          </w:rPr>
          <w:t>Comportamiento de una emulsión W/O bajo la influencia de un campo eléctrico.</w:t>
        </w:r>
        <w:r w:rsidR="00C21F97">
          <w:rPr>
            <w:noProof/>
            <w:webHidden/>
          </w:rPr>
          <w:tab/>
        </w:r>
        <w:r>
          <w:rPr>
            <w:noProof/>
            <w:webHidden/>
          </w:rPr>
          <w:fldChar w:fldCharType="begin"/>
        </w:r>
        <w:r w:rsidR="00C21F97">
          <w:rPr>
            <w:noProof/>
            <w:webHidden/>
          </w:rPr>
          <w:instrText xml:space="preserve"> PAGEREF _Toc327481429 \h </w:instrText>
        </w:r>
        <w:r>
          <w:rPr>
            <w:noProof/>
            <w:webHidden/>
          </w:rPr>
        </w:r>
        <w:r>
          <w:rPr>
            <w:noProof/>
            <w:webHidden/>
          </w:rPr>
          <w:fldChar w:fldCharType="separate"/>
        </w:r>
        <w:r w:rsidR="004A5F6F">
          <w:rPr>
            <w:noProof/>
            <w:webHidden/>
          </w:rPr>
          <w:t>36</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30" w:history="1">
        <w:r w:rsidR="00C21F97" w:rsidRPr="00C21F97">
          <w:rPr>
            <w:rStyle w:val="Hipervnculo"/>
            <w:b/>
            <w:noProof/>
          </w:rPr>
          <w:t>Figura N° 18:</w:t>
        </w:r>
        <w:r w:rsidR="00C21F97" w:rsidRPr="007C4FD8">
          <w:rPr>
            <w:rStyle w:val="Hipervnculo"/>
            <w:noProof/>
          </w:rPr>
          <w:t xml:space="preserve"> Movimiento de una gota de agua en un campo DC (Marfisi y Salaguer, 2004).</w:t>
        </w:r>
        <w:r w:rsidR="00C21F97">
          <w:rPr>
            <w:noProof/>
            <w:webHidden/>
          </w:rPr>
          <w:tab/>
        </w:r>
        <w:r>
          <w:rPr>
            <w:noProof/>
            <w:webHidden/>
          </w:rPr>
          <w:fldChar w:fldCharType="begin"/>
        </w:r>
        <w:r w:rsidR="00C21F97">
          <w:rPr>
            <w:noProof/>
            <w:webHidden/>
          </w:rPr>
          <w:instrText xml:space="preserve"> PAGEREF _Toc327481430 \h </w:instrText>
        </w:r>
        <w:r>
          <w:rPr>
            <w:noProof/>
            <w:webHidden/>
          </w:rPr>
        </w:r>
        <w:r>
          <w:rPr>
            <w:noProof/>
            <w:webHidden/>
          </w:rPr>
          <w:fldChar w:fldCharType="separate"/>
        </w:r>
        <w:r w:rsidR="004A5F6F">
          <w:rPr>
            <w:noProof/>
            <w:webHidden/>
          </w:rPr>
          <w:t>41</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31" w:history="1">
        <w:r w:rsidR="00C21F97" w:rsidRPr="00C21F97">
          <w:rPr>
            <w:rStyle w:val="Hipervnculo"/>
            <w:b/>
            <w:noProof/>
          </w:rPr>
          <w:t>Figura N° 19:</w:t>
        </w:r>
        <w:r w:rsidR="00C21F97" w:rsidRPr="007C4FD8">
          <w:rPr>
            <w:rStyle w:val="Hipervnculo"/>
            <w:noProof/>
          </w:rPr>
          <w:t xml:space="preserve"> </w:t>
        </w:r>
        <w:r w:rsidR="004A5F6F">
          <w:rPr>
            <w:rStyle w:val="Hipervnculo"/>
            <w:noProof/>
          </w:rPr>
          <w:t>Dreanaje de la película interfacial</w:t>
        </w:r>
        <w:r w:rsidR="00C21F97" w:rsidRPr="007C4FD8">
          <w:rPr>
            <w:rStyle w:val="Hipervnculo"/>
            <w:noProof/>
          </w:rPr>
          <w:t xml:space="preserve"> (Marfisi y Salaguer, 2004).</w:t>
        </w:r>
        <w:r w:rsidR="00C21F97">
          <w:rPr>
            <w:noProof/>
            <w:webHidden/>
          </w:rPr>
          <w:tab/>
        </w:r>
        <w:r>
          <w:rPr>
            <w:noProof/>
            <w:webHidden/>
          </w:rPr>
          <w:fldChar w:fldCharType="begin"/>
        </w:r>
        <w:r w:rsidR="00C21F97">
          <w:rPr>
            <w:noProof/>
            <w:webHidden/>
          </w:rPr>
          <w:instrText xml:space="preserve"> PAGEREF _Toc327481431 \h </w:instrText>
        </w:r>
        <w:r>
          <w:rPr>
            <w:noProof/>
            <w:webHidden/>
          </w:rPr>
        </w:r>
        <w:r>
          <w:rPr>
            <w:noProof/>
            <w:webHidden/>
          </w:rPr>
          <w:fldChar w:fldCharType="separate"/>
        </w:r>
        <w:r w:rsidR="004A5F6F">
          <w:rPr>
            <w:noProof/>
            <w:webHidden/>
          </w:rPr>
          <w:t>43</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32" w:history="1">
        <w:r w:rsidR="00C21F97" w:rsidRPr="00C21F97">
          <w:rPr>
            <w:rStyle w:val="Hipervnculo"/>
            <w:b/>
            <w:noProof/>
          </w:rPr>
          <w:t>Figura N° 20:</w:t>
        </w:r>
        <w:r w:rsidR="00C21F97" w:rsidRPr="007C4FD8">
          <w:rPr>
            <w:rStyle w:val="Hipervnculo"/>
            <w:noProof/>
          </w:rPr>
          <w:t xml:space="preserve"> </w:t>
        </w:r>
        <w:r w:rsidR="00C21F97" w:rsidRPr="007C4FD8">
          <w:rPr>
            <w:rStyle w:val="Hipervnculo"/>
            <w:noProof/>
            <w:lang w:val="es-VE"/>
          </w:rPr>
          <w:t>Definición de ángulo de contacto en un sistema ideal</w:t>
        </w:r>
        <w:r w:rsidR="00C21F97" w:rsidRPr="007C4FD8">
          <w:rPr>
            <w:rStyle w:val="Hipervnculo"/>
            <w:noProof/>
          </w:rPr>
          <w:t xml:space="preserve"> s</w:t>
        </w:r>
        <w:r w:rsidR="00C21F97">
          <w:rPr>
            <w:rStyle w:val="Hipervnculo"/>
            <w:noProof/>
            <w:lang w:val="es-VE"/>
          </w:rPr>
          <w:t>ólido/líquido/líquido</w:t>
        </w:r>
        <w:r w:rsidR="00C21F97" w:rsidRPr="007C4FD8">
          <w:rPr>
            <w:rStyle w:val="Hipervnculo"/>
            <w:noProof/>
            <w:lang w:val="es-VE"/>
          </w:rPr>
          <w:t xml:space="preserve"> (Carey, 1992).</w:t>
        </w:r>
        <w:r w:rsidR="00C21F97">
          <w:rPr>
            <w:noProof/>
            <w:webHidden/>
          </w:rPr>
          <w:tab/>
        </w:r>
        <w:r>
          <w:rPr>
            <w:noProof/>
            <w:webHidden/>
          </w:rPr>
          <w:fldChar w:fldCharType="begin"/>
        </w:r>
        <w:r w:rsidR="00C21F97">
          <w:rPr>
            <w:noProof/>
            <w:webHidden/>
          </w:rPr>
          <w:instrText xml:space="preserve"> PAGEREF _Toc327481432 \h </w:instrText>
        </w:r>
        <w:r>
          <w:rPr>
            <w:noProof/>
            <w:webHidden/>
          </w:rPr>
        </w:r>
        <w:r>
          <w:rPr>
            <w:noProof/>
            <w:webHidden/>
          </w:rPr>
          <w:fldChar w:fldCharType="separate"/>
        </w:r>
        <w:r w:rsidR="004A5F6F">
          <w:rPr>
            <w:noProof/>
            <w:webHidden/>
          </w:rPr>
          <w:t>46</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33" w:history="1">
        <w:r w:rsidR="00C21F97" w:rsidRPr="00C21F97">
          <w:rPr>
            <w:rStyle w:val="Hipervnculo"/>
            <w:b/>
            <w:noProof/>
          </w:rPr>
          <w:t>Figura N° 21:</w:t>
        </w:r>
        <w:r w:rsidR="00C21F97" w:rsidRPr="007C4FD8">
          <w:rPr>
            <w:rStyle w:val="Hipervnculo"/>
            <w:noProof/>
          </w:rPr>
          <w:t xml:space="preserve"> Microscopio óptico NIKON MED-600 (LSM).</w:t>
        </w:r>
        <w:r w:rsidR="00C21F97">
          <w:rPr>
            <w:noProof/>
            <w:webHidden/>
          </w:rPr>
          <w:tab/>
        </w:r>
        <w:r>
          <w:rPr>
            <w:noProof/>
            <w:webHidden/>
          </w:rPr>
          <w:fldChar w:fldCharType="begin"/>
        </w:r>
        <w:r w:rsidR="00C21F97">
          <w:rPr>
            <w:noProof/>
            <w:webHidden/>
          </w:rPr>
          <w:instrText xml:space="preserve"> PAGEREF _Toc327481433 \h </w:instrText>
        </w:r>
        <w:r>
          <w:rPr>
            <w:noProof/>
            <w:webHidden/>
          </w:rPr>
        </w:r>
        <w:r>
          <w:rPr>
            <w:noProof/>
            <w:webHidden/>
          </w:rPr>
          <w:fldChar w:fldCharType="separate"/>
        </w:r>
        <w:r w:rsidR="004A5F6F">
          <w:rPr>
            <w:noProof/>
            <w:webHidden/>
          </w:rPr>
          <w:t>48</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34" w:history="1">
        <w:r w:rsidR="00C21F97" w:rsidRPr="00C21F97">
          <w:rPr>
            <w:rStyle w:val="Hipervnculo"/>
            <w:b/>
            <w:noProof/>
            <w:lang w:val="en-US"/>
          </w:rPr>
          <w:t>Figura N° 22:</w:t>
        </w:r>
        <w:r w:rsidR="00C21F97" w:rsidRPr="007C4FD8">
          <w:rPr>
            <w:rStyle w:val="Hipervnculo"/>
            <w:noProof/>
            <w:lang w:val="en-US"/>
          </w:rPr>
          <w:t xml:space="preserve"> Software Image Pro Plus 6.0 (LSM).</w:t>
        </w:r>
        <w:r w:rsidR="00C21F97">
          <w:rPr>
            <w:noProof/>
            <w:webHidden/>
          </w:rPr>
          <w:tab/>
        </w:r>
        <w:r>
          <w:rPr>
            <w:noProof/>
            <w:webHidden/>
          </w:rPr>
          <w:fldChar w:fldCharType="begin"/>
        </w:r>
        <w:r w:rsidR="00C21F97">
          <w:rPr>
            <w:noProof/>
            <w:webHidden/>
          </w:rPr>
          <w:instrText xml:space="preserve"> PAGEREF _Toc327481434 \h </w:instrText>
        </w:r>
        <w:r>
          <w:rPr>
            <w:noProof/>
            <w:webHidden/>
          </w:rPr>
        </w:r>
        <w:r>
          <w:rPr>
            <w:noProof/>
            <w:webHidden/>
          </w:rPr>
          <w:fldChar w:fldCharType="separate"/>
        </w:r>
        <w:r w:rsidR="004A5F6F">
          <w:rPr>
            <w:noProof/>
            <w:webHidden/>
          </w:rPr>
          <w:t>49</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35" w:history="1">
        <w:r w:rsidR="00C21F97" w:rsidRPr="00C21F97">
          <w:rPr>
            <w:rStyle w:val="Hipervnculo"/>
            <w:b/>
            <w:noProof/>
          </w:rPr>
          <w:t>Figura N° 23:</w:t>
        </w:r>
        <w:r w:rsidR="00C21F97" w:rsidRPr="007C4FD8">
          <w:rPr>
            <w:rStyle w:val="Hipervnculo"/>
            <w:noProof/>
          </w:rPr>
          <w:t xml:space="preserve"> Conductímetro Orion 3 Star (LSM).</w:t>
        </w:r>
        <w:r w:rsidR="00C21F97">
          <w:rPr>
            <w:noProof/>
            <w:webHidden/>
          </w:rPr>
          <w:tab/>
        </w:r>
        <w:r>
          <w:rPr>
            <w:noProof/>
            <w:webHidden/>
          </w:rPr>
          <w:fldChar w:fldCharType="begin"/>
        </w:r>
        <w:r w:rsidR="00C21F97">
          <w:rPr>
            <w:noProof/>
            <w:webHidden/>
          </w:rPr>
          <w:instrText xml:space="preserve"> PAGEREF _Toc327481435 \h </w:instrText>
        </w:r>
        <w:r>
          <w:rPr>
            <w:noProof/>
            <w:webHidden/>
          </w:rPr>
        </w:r>
        <w:r>
          <w:rPr>
            <w:noProof/>
            <w:webHidden/>
          </w:rPr>
          <w:fldChar w:fldCharType="separate"/>
        </w:r>
        <w:r w:rsidR="004A5F6F">
          <w:rPr>
            <w:noProof/>
            <w:webHidden/>
          </w:rPr>
          <w:t>50</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36" w:history="1">
        <w:r w:rsidR="00C21F97" w:rsidRPr="00C21F97">
          <w:rPr>
            <w:rStyle w:val="Hipervnculo"/>
            <w:b/>
            <w:noProof/>
          </w:rPr>
          <w:t>Figura N° 24</w:t>
        </w:r>
        <w:r w:rsidR="00C21F97">
          <w:rPr>
            <w:rStyle w:val="Hipervnculo"/>
            <w:noProof/>
          </w:rPr>
          <w:t>: Fuente de poder DC (LSM)</w:t>
        </w:r>
        <w:r w:rsidR="00C21F97">
          <w:rPr>
            <w:noProof/>
            <w:webHidden/>
          </w:rPr>
          <w:tab/>
        </w:r>
        <w:r>
          <w:rPr>
            <w:noProof/>
            <w:webHidden/>
          </w:rPr>
          <w:fldChar w:fldCharType="begin"/>
        </w:r>
        <w:r w:rsidR="00C21F97">
          <w:rPr>
            <w:noProof/>
            <w:webHidden/>
          </w:rPr>
          <w:instrText xml:space="preserve"> PAGEREF _Toc327481436 \h </w:instrText>
        </w:r>
        <w:r>
          <w:rPr>
            <w:noProof/>
            <w:webHidden/>
          </w:rPr>
        </w:r>
        <w:r>
          <w:rPr>
            <w:noProof/>
            <w:webHidden/>
          </w:rPr>
          <w:fldChar w:fldCharType="separate"/>
        </w:r>
        <w:r w:rsidR="004A5F6F">
          <w:rPr>
            <w:noProof/>
            <w:webHidden/>
          </w:rPr>
          <w:t>50</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37" w:history="1">
        <w:r w:rsidR="00C21F97" w:rsidRPr="00C21F97">
          <w:rPr>
            <w:rStyle w:val="Hipervnculo"/>
            <w:b/>
            <w:noProof/>
          </w:rPr>
          <w:t>Figura N° 25</w:t>
        </w:r>
        <w:r w:rsidR="00C21F97" w:rsidRPr="007C4FD8">
          <w:rPr>
            <w:rStyle w:val="Hipervnculo"/>
            <w:noProof/>
            <w:lang w:val="es-VE"/>
          </w:rPr>
          <w:t>: Centrífuga (LSM).</w:t>
        </w:r>
        <w:r w:rsidR="00C21F97">
          <w:rPr>
            <w:noProof/>
            <w:webHidden/>
          </w:rPr>
          <w:tab/>
        </w:r>
        <w:r>
          <w:rPr>
            <w:noProof/>
            <w:webHidden/>
          </w:rPr>
          <w:fldChar w:fldCharType="begin"/>
        </w:r>
        <w:r w:rsidR="00C21F97">
          <w:rPr>
            <w:noProof/>
            <w:webHidden/>
          </w:rPr>
          <w:instrText xml:space="preserve"> PAGEREF _Toc327481437 \h </w:instrText>
        </w:r>
        <w:r>
          <w:rPr>
            <w:noProof/>
            <w:webHidden/>
          </w:rPr>
        </w:r>
        <w:r>
          <w:rPr>
            <w:noProof/>
            <w:webHidden/>
          </w:rPr>
          <w:fldChar w:fldCharType="separate"/>
        </w:r>
        <w:r w:rsidR="004A5F6F">
          <w:rPr>
            <w:noProof/>
            <w:webHidden/>
          </w:rPr>
          <w:t>51</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38" w:history="1">
        <w:r w:rsidR="00C21F97" w:rsidRPr="00C21F97">
          <w:rPr>
            <w:rStyle w:val="Hipervnculo"/>
            <w:b/>
            <w:noProof/>
          </w:rPr>
          <w:t>Figura N° 26</w:t>
        </w:r>
        <w:r w:rsidR="00C21F97" w:rsidRPr="00C21F97">
          <w:rPr>
            <w:rStyle w:val="Hipervnculo"/>
            <w:b/>
            <w:noProof/>
            <w:lang w:val="es-VE"/>
          </w:rPr>
          <w:t>:</w:t>
        </w:r>
        <w:r w:rsidR="00C21F97" w:rsidRPr="007C4FD8">
          <w:rPr>
            <w:rStyle w:val="Hipervnculo"/>
            <w:noProof/>
            <w:lang w:val="es-VE"/>
          </w:rPr>
          <w:t xml:space="preserve"> Curva de calibración de la termocupla empleada.</w:t>
        </w:r>
        <w:r w:rsidR="00C21F97">
          <w:rPr>
            <w:noProof/>
            <w:webHidden/>
          </w:rPr>
          <w:tab/>
        </w:r>
        <w:r>
          <w:rPr>
            <w:noProof/>
            <w:webHidden/>
          </w:rPr>
          <w:fldChar w:fldCharType="begin"/>
        </w:r>
        <w:r w:rsidR="00C21F97">
          <w:rPr>
            <w:noProof/>
            <w:webHidden/>
          </w:rPr>
          <w:instrText xml:space="preserve"> PAGEREF _Toc327481438 \h </w:instrText>
        </w:r>
        <w:r>
          <w:rPr>
            <w:noProof/>
            <w:webHidden/>
          </w:rPr>
        </w:r>
        <w:r>
          <w:rPr>
            <w:noProof/>
            <w:webHidden/>
          </w:rPr>
          <w:fldChar w:fldCharType="separate"/>
        </w:r>
        <w:r w:rsidR="004A5F6F">
          <w:rPr>
            <w:noProof/>
            <w:webHidden/>
          </w:rPr>
          <w:t>52</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39" w:history="1">
        <w:r w:rsidR="00C21F97" w:rsidRPr="00C21F97">
          <w:rPr>
            <w:rStyle w:val="Hipervnculo"/>
            <w:b/>
            <w:noProof/>
          </w:rPr>
          <w:t>Figura N° 27</w:t>
        </w:r>
        <w:r w:rsidR="00C21F97" w:rsidRPr="00C21F97">
          <w:rPr>
            <w:rStyle w:val="Hipervnculo"/>
            <w:b/>
            <w:noProof/>
            <w:lang w:val="es-VE"/>
          </w:rPr>
          <w:t>:</w:t>
        </w:r>
        <w:r w:rsidR="00C21F97" w:rsidRPr="007C4FD8">
          <w:rPr>
            <w:rStyle w:val="Hipervnculo"/>
            <w:noProof/>
            <w:lang w:val="es-VE"/>
          </w:rPr>
          <w:t xml:space="preserve"> Multímetro UNI-T (LSM).</w:t>
        </w:r>
        <w:r w:rsidR="00C21F97">
          <w:rPr>
            <w:noProof/>
            <w:webHidden/>
          </w:rPr>
          <w:tab/>
        </w:r>
        <w:r>
          <w:rPr>
            <w:noProof/>
            <w:webHidden/>
          </w:rPr>
          <w:fldChar w:fldCharType="begin"/>
        </w:r>
        <w:r w:rsidR="00C21F97">
          <w:rPr>
            <w:noProof/>
            <w:webHidden/>
          </w:rPr>
          <w:instrText xml:space="preserve"> PAGEREF _Toc327481439 \h </w:instrText>
        </w:r>
        <w:r>
          <w:rPr>
            <w:noProof/>
            <w:webHidden/>
          </w:rPr>
        </w:r>
        <w:r>
          <w:rPr>
            <w:noProof/>
            <w:webHidden/>
          </w:rPr>
          <w:fldChar w:fldCharType="separate"/>
        </w:r>
        <w:r w:rsidR="004A5F6F">
          <w:rPr>
            <w:noProof/>
            <w:webHidden/>
          </w:rPr>
          <w:t>52</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40" w:history="1">
        <w:r w:rsidR="00C21F97" w:rsidRPr="00C21F97">
          <w:rPr>
            <w:rStyle w:val="Hipervnculo"/>
            <w:b/>
            <w:noProof/>
          </w:rPr>
          <w:t>Figura N˚28:</w:t>
        </w:r>
        <w:r w:rsidR="00C21F97" w:rsidRPr="007C4FD8">
          <w:rPr>
            <w:rStyle w:val="Hipervnculo"/>
            <w:noProof/>
          </w:rPr>
          <w:t xml:space="preserve"> Procedimiento general para la obtención de datos empleando la técnica de microscopía óptica.</w:t>
        </w:r>
        <w:r w:rsidR="00C21F97">
          <w:rPr>
            <w:noProof/>
            <w:webHidden/>
          </w:rPr>
          <w:tab/>
        </w:r>
        <w:r>
          <w:rPr>
            <w:noProof/>
            <w:webHidden/>
          </w:rPr>
          <w:fldChar w:fldCharType="begin"/>
        </w:r>
        <w:r w:rsidR="00C21F97">
          <w:rPr>
            <w:noProof/>
            <w:webHidden/>
          </w:rPr>
          <w:instrText xml:space="preserve"> PAGEREF _Toc327481440 \h </w:instrText>
        </w:r>
        <w:r>
          <w:rPr>
            <w:noProof/>
            <w:webHidden/>
          </w:rPr>
        </w:r>
        <w:r>
          <w:rPr>
            <w:noProof/>
            <w:webHidden/>
          </w:rPr>
          <w:fldChar w:fldCharType="separate"/>
        </w:r>
        <w:r w:rsidR="004A5F6F">
          <w:rPr>
            <w:noProof/>
            <w:webHidden/>
          </w:rPr>
          <w:t>56</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41" w:history="1">
        <w:r w:rsidR="00C21F97" w:rsidRPr="00C21F97">
          <w:rPr>
            <w:rStyle w:val="Hipervnculo"/>
            <w:b/>
            <w:noProof/>
          </w:rPr>
          <w:t>Figura N° 29:</w:t>
        </w:r>
        <w:r w:rsidR="00C21F97" w:rsidRPr="007C4FD8">
          <w:rPr>
            <w:rStyle w:val="Hipervnculo"/>
            <w:noProof/>
          </w:rPr>
          <w:t xml:space="preserve"> Celda de observación (Morales, 2007).</w:t>
        </w:r>
        <w:r w:rsidR="00C21F97">
          <w:rPr>
            <w:noProof/>
            <w:webHidden/>
          </w:rPr>
          <w:tab/>
        </w:r>
        <w:r>
          <w:rPr>
            <w:noProof/>
            <w:webHidden/>
          </w:rPr>
          <w:fldChar w:fldCharType="begin"/>
        </w:r>
        <w:r w:rsidR="00C21F97">
          <w:rPr>
            <w:noProof/>
            <w:webHidden/>
          </w:rPr>
          <w:instrText xml:space="preserve"> PAGEREF _Toc327481441 \h </w:instrText>
        </w:r>
        <w:r>
          <w:rPr>
            <w:noProof/>
            <w:webHidden/>
          </w:rPr>
        </w:r>
        <w:r>
          <w:rPr>
            <w:noProof/>
            <w:webHidden/>
          </w:rPr>
          <w:fldChar w:fldCharType="separate"/>
        </w:r>
        <w:r w:rsidR="004A5F6F">
          <w:rPr>
            <w:noProof/>
            <w:webHidden/>
          </w:rPr>
          <w:t>61</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42" w:history="1">
        <w:r w:rsidR="00C21F97" w:rsidRPr="00C21F97">
          <w:rPr>
            <w:rStyle w:val="Hipervnculo"/>
            <w:b/>
            <w:noProof/>
          </w:rPr>
          <w:t>Figura N° 30:</w:t>
        </w:r>
        <w:r w:rsidR="00C21F97" w:rsidRPr="007C4FD8">
          <w:rPr>
            <w:rStyle w:val="Hipervnculo"/>
            <w:noProof/>
          </w:rPr>
          <w:t xml:space="preserve"> Dimensiones de la celda de observación (Morales, 2007) y la celda de trabajo (Rodríguez, en ejecución).</w:t>
        </w:r>
        <w:r w:rsidR="00C21F97">
          <w:rPr>
            <w:noProof/>
            <w:webHidden/>
          </w:rPr>
          <w:tab/>
        </w:r>
        <w:r>
          <w:rPr>
            <w:noProof/>
            <w:webHidden/>
          </w:rPr>
          <w:fldChar w:fldCharType="begin"/>
        </w:r>
        <w:r w:rsidR="00C21F97">
          <w:rPr>
            <w:noProof/>
            <w:webHidden/>
          </w:rPr>
          <w:instrText xml:space="preserve"> PAGEREF _Toc327481442 \h </w:instrText>
        </w:r>
        <w:r>
          <w:rPr>
            <w:noProof/>
            <w:webHidden/>
          </w:rPr>
        </w:r>
        <w:r>
          <w:rPr>
            <w:noProof/>
            <w:webHidden/>
          </w:rPr>
          <w:fldChar w:fldCharType="separate"/>
        </w:r>
        <w:r w:rsidR="004A5F6F">
          <w:rPr>
            <w:noProof/>
            <w:webHidden/>
          </w:rPr>
          <w:t>64</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43" w:history="1">
        <w:r w:rsidR="00C21F97" w:rsidRPr="00C21F97">
          <w:rPr>
            <w:rStyle w:val="Hipervnculo"/>
            <w:b/>
            <w:noProof/>
          </w:rPr>
          <w:t>Figura N° 31:</w:t>
        </w:r>
        <w:r w:rsidR="00C21F97" w:rsidRPr="007C4FD8">
          <w:rPr>
            <w:rStyle w:val="Hipervnculo"/>
            <w:noProof/>
          </w:rPr>
          <w:t xml:space="preserve"> Sistema de tratamiento eléctrico para la producción de corriente AC y DC (LSM).</w:t>
        </w:r>
        <w:r w:rsidR="00C21F97">
          <w:rPr>
            <w:noProof/>
            <w:webHidden/>
          </w:rPr>
          <w:tab/>
        </w:r>
        <w:r>
          <w:rPr>
            <w:noProof/>
            <w:webHidden/>
          </w:rPr>
          <w:fldChar w:fldCharType="begin"/>
        </w:r>
        <w:r w:rsidR="00C21F97">
          <w:rPr>
            <w:noProof/>
            <w:webHidden/>
          </w:rPr>
          <w:instrText xml:space="preserve"> PAGEREF _Toc327481443 \h </w:instrText>
        </w:r>
        <w:r>
          <w:rPr>
            <w:noProof/>
            <w:webHidden/>
          </w:rPr>
        </w:r>
        <w:r>
          <w:rPr>
            <w:noProof/>
            <w:webHidden/>
          </w:rPr>
          <w:fldChar w:fldCharType="separate"/>
        </w:r>
        <w:r w:rsidR="004A5F6F">
          <w:rPr>
            <w:noProof/>
            <w:webHidden/>
          </w:rPr>
          <w:t>65</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44" w:history="1">
        <w:r w:rsidR="00C21F97" w:rsidRPr="00C21F97">
          <w:rPr>
            <w:rStyle w:val="Hipervnculo"/>
            <w:b/>
            <w:noProof/>
          </w:rPr>
          <w:t>Figura N° 32:</w:t>
        </w:r>
        <w:r w:rsidR="00C21F97" w:rsidRPr="007C4FD8">
          <w:rPr>
            <w:rStyle w:val="Hipervnculo"/>
            <w:noProof/>
          </w:rPr>
          <w:t xml:space="preserve"> Tanque de alimentación del sistema de tratamiento en continuo.</w:t>
        </w:r>
        <w:r w:rsidR="00C21F97">
          <w:rPr>
            <w:noProof/>
            <w:webHidden/>
          </w:rPr>
          <w:tab/>
        </w:r>
        <w:r>
          <w:rPr>
            <w:noProof/>
            <w:webHidden/>
          </w:rPr>
          <w:fldChar w:fldCharType="begin"/>
        </w:r>
        <w:r w:rsidR="00C21F97">
          <w:rPr>
            <w:noProof/>
            <w:webHidden/>
          </w:rPr>
          <w:instrText xml:space="preserve"> PAGEREF _Toc327481444 \h </w:instrText>
        </w:r>
        <w:r>
          <w:rPr>
            <w:noProof/>
            <w:webHidden/>
          </w:rPr>
        </w:r>
        <w:r>
          <w:rPr>
            <w:noProof/>
            <w:webHidden/>
          </w:rPr>
          <w:fldChar w:fldCharType="separate"/>
        </w:r>
        <w:r w:rsidR="004A5F6F">
          <w:rPr>
            <w:noProof/>
            <w:webHidden/>
          </w:rPr>
          <w:t>67</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45" w:history="1">
        <w:r w:rsidR="00C21F97" w:rsidRPr="00C21F97">
          <w:rPr>
            <w:rStyle w:val="Hipervnculo"/>
            <w:b/>
            <w:noProof/>
          </w:rPr>
          <w:t>Figura N° 33:</w:t>
        </w:r>
        <w:r w:rsidR="00C21F97" w:rsidRPr="007C4FD8">
          <w:rPr>
            <w:rStyle w:val="Hipervnculo"/>
            <w:noProof/>
          </w:rPr>
          <w:t xml:space="preserve"> Celda de aplicación de campo eléctrico del sistema de tratamiento en continuo.</w:t>
        </w:r>
        <w:r w:rsidR="00C21F97">
          <w:rPr>
            <w:noProof/>
            <w:webHidden/>
          </w:rPr>
          <w:tab/>
        </w:r>
        <w:r>
          <w:rPr>
            <w:noProof/>
            <w:webHidden/>
          </w:rPr>
          <w:fldChar w:fldCharType="begin"/>
        </w:r>
        <w:r w:rsidR="00C21F97">
          <w:rPr>
            <w:noProof/>
            <w:webHidden/>
          </w:rPr>
          <w:instrText xml:space="preserve"> PAGEREF _Toc327481445 \h </w:instrText>
        </w:r>
        <w:r>
          <w:rPr>
            <w:noProof/>
            <w:webHidden/>
          </w:rPr>
        </w:r>
        <w:r>
          <w:rPr>
            <w:noProof/>
            <w:webHidden/>
          </w:rPr>
          <w:fldChar w:fldCharType="separate"/>
        </w:r>
        <w:r w:rsidR="004A5F6F">
          <w:rPr>
            <w:noProof/>
            <w:webHidden/>
          </w:rPr>
          <w:t>67</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46" w:history="1">
        <w:r w:rsidR="00C21F97" w:rsidRPr="00C21F97">
          <w:rPr>
            <w:rStyle w:val="Hipervnculo"/>
            <w:b/>
            <w:noProof/>
          </w:rPr>
          <w:t xml:space="preserve">Figura N° 34: </w:t>
        </w:r>
        <w:r w:rsidR="00C21F97" w:rsidRPr="007C4FD8">
          <w:rPr>
            <w:rStyle w:val="Hipervnculo"/>
            <w:noProof/>
          </w:rPr>
          <w:t>Celda de aplicación de campo eléctrico con esferas de polietileno como medio coalescedor.</w:t>
        </w:r>
        <w:r w:rsidR="00C21F97">
          <w:rPr>
            <w:noProof/>
            <w:webHidden/>
          </w:rPr>
          <w:tab/>
        </w:r>
        <w:r>
          <w:rPr>
            <w:noProof/>
            <w:webHidden/>
          </w:rPr>
          <w:fldChar w:fldCharType="begin"/>
        </w:r>
        <w:r w:rsidR="00C21F97">
          <w:rPr>
            <w:noProof/>
            <w:webHidden/>
          </w:rPr>
          <w:instrText xml:space="preserve"> PAGEREF _Toc327481446 \h </w:instrText>
        </w:r>
        <w:r>
          <w:rPr>
            <w:noProof/>
            <w:webHidden/>
          </w:rPr>
        </w:r>
        <w:r>
          <w:rPr>
            <w:noProof/>
            <w:webHidden/>
          </w:rPr>
          <w:fldChar w:fldCharType="separate"/>
        </w:r>
        <w:r w:rsidR="004A5F6F">
          <w:rPr>
            <w:noProof/>
            <w:webHidden/>
          </w:rPr>
          <w:t>69</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47" w:history="1">
        <w:r w:rsidR="00C21F97" w:rsidRPr="00C21F97">
          <w:rPr>
            <w:rStyle w:val="Hipervnculo"/>
            <w:b/>
            <w:noProof/>
          </w:rPr>
          <w:t>Figura N° 35</w:t>
        </w:r>
        <w:r w:rsidR="00C21F97" w:rsidRPr="00C21F97">
          <w:rPr>
            <w:rStyle w:val="Hipervnculo"/>
            <w:b/>
            <w:noProof/>
            <w:lang w:val="es-VE" w:eastAsia="en-US"/>
          </w:rPr>
          <w:t>:</w:t>
        </w:r>
        <w:r w:rsidR="00C21F97" w:rsidRPr="007C4FD8">
          <w:rPr>
            <w:rStyle w:val="Hipervnculo"/>
            <w:noProof/>
            <w:lang w:val="es-VE" w:eastAsia="en-US"/>
          </w:rPr>
          <w:t xml:space="preserve"> Porcentaje de separación de agua. Acema 100. Campo DC. Con y sin medio coalescedor.</w:t>
        </w:r>
        <w:r w:rsidR="00C21F97">
          <w:rPr>
            <w:noProof/>
            <w:webHidden/>
          </w:rPr>
          <w:tab/>
        </w:r>
        <w:r>
          <w:rPr>
            <w:noProof/>
            <w:webHidden/>
          </w:rPr>
          <w:fldChar w:fldCharType="begin"/>
        </w:r>
        <w:r w:rsidR="00C21F97">
          <w:rPr>
            <w:noProof/>
            <w:webHidden/>
          </w:rPr>
          <w:instrText xml:space="preserve"> PAGEREF _Toc327481447 \h </w:instrText>
        </w:r>
        <w:r>
          <w:rPr>
            <w:noProof/>
            <w:webHidden/>
          </w:rPr>
        </w:r>
        <w:r>
          <w:rPr>
            <w:noProof/>
            <w:webHidden/>
          </w:rPr>
          <w:fldChar w:fldCharType="separate"/>
        </w:r>
        <w:r w:rsidR="004A5F6F">
          <w:rPr>
            <w:noProof/>
            <w:webHidden/>
          </w:rPr>
          <w:t>74</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48" w:history="1">
        <w:r w:rsidR="00C21F97" w:rsidRPr="00C21F97">
          <w:rPr>
            <w:rStyle w:val="Hipervnculo"/>
            <w:b/>
            <w:noProof/>
          </w:rPr>
          <w:t>Figura N° 36</w:t>
        </w:r>
        <w:r w:rsidR="00C21F97" w:rsidRPr="00C21F97">
          <w:rPr>
            <w:rStyle w:val="Hipervnculo"/>
            <w:b/>
            <w:noProof/>
            <w:lang w:val="es-VE" w:eastAsia="en-US"/>
          </w:rPr>
          <w:t>:</w:t>
        </w:r>
        <w:r w:rsidR="00C21F97" w:rsidRPr="007C4FD8">
          <w:rPr>
            <w:rStyle w:val="Hipervnculo"/>
            <w:noProof/>
            <w:lang w:val="es-VE" w:eastAsia="en-US"/>
          </w:rPr>
          <w:t xml:space="preserve"> Distribución de fases en los tubos de recolección de muestra luego de aplicado el tratamiento.</w:t>
        </w:r>
        <w:r w:rsidR="00C21F97">
          <w:rPr>
            <w:noProof/>
            <w:webHidden/>
          </w:rPr>
          <w:tab/>
        </w:r>
        <w:r>
          <w:rPr>
            <w:noProof/>
            <w:webHidden/>
          </w:rPr>
          <w:fldChar w:fldCharType="begin"/>
        </w:r>
        <w:r w:rsidR="00C21F97">
          <w:rPr>
            <w:noProof/>
            <w:webHidden/>
          </w:rPr>
          <w:instrText xml:space="preserve"> PAGEREF _Toc327481448 \h </w:instrText>
        </w:r>
        <w:r>
          <w:rPr>
            <w:noProof/>
            <w:webHidden/>
          </w:rPr>
        </w:r>
        <w:r>
          <w:rPr>
            <w:noProof/>
            <w:webHidden/>
          </w:rPr>
          <w:fldChar w:fldCharType="separate"/>
        </w:r>
        <w:r w:rsidR="004A5F6F">
          <w:rPr>
            <w:noProof/>
            <w:webHidden/>
          </w:rPr>
          <w:t>75</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49" w:history="1">
        <w:r w:rsidR="00C21F97" w:rsidRPr="00C21F97">
          <w:rPr>
            <w:rStyle w:val="Hipervnculo"/>
            <w:b/>
            <w:noProof/>
          </w:rPr>
          <w:t>Figura N° 37</w:t>
        </w:r>
        <w:r w:rsidR="00C21F97" w:rsidRPr="00C21F97">
          <w:rPr>
            <w:rStyle w:val="Hipervnculo"/>
            <w:b/>
            <w:noProof/>
            <w:lang w:val="es-VE" w:eastAsia="en-US"/>
          </w:rPr>
          <w:t>:</w:t>
        </w:r>
        <w:r w:rsidR="00C21F97" w:rsidRPr="007C4FD8">
          <w:rPr>
            <w:rStyle w:val="Hipervnculo"/>
            <w:noProof/>
            <w:lang w:val="es-VE" w:eastAsia="en-US"/>
          </w:rPr>
          <w:t xml:space="preserve"> Separación obtenida empleando como medios coalescedores esferas de vidrio y anillos de vidrio a tres diferentes tiempo de residencia. Campo DC y centrifugación.</w:t>
        </w:r>
        <w:r w:rsidR="00C21F97">
          <w:rPr>
            <w:noProof/>
            <w:webHidden/>
          </w:rPr>
          <w:tab/>
        </w:r>
        <w:r>
          <w:rPr>
            <w:noProof/>
            <w:webHidden/>
          </w:rPr>
          <w:fldChar w:fldCharType="begin"/>
        </w:r>
        <w:r w:rsidR="00C21F97">
          <w:rPr>
            <w:noProof/>
            <w:webHidden/>
          </w:rPr>
          <w:instrText xml:space="preserve"> PAGEREF _Toc327481449 \h </w:instrText>
        </w:r>
        <w:r>
          <w:rPr>
            <w:noProof/>
            <w:webHidden/>
          </w:rPr>
        </w:r>
        <w:r>
          <w:rPr>
            <w:noProof/>
            <w:webHidden/>
          </w:rPr>
          <w:fldChar w:fldCharType="separate"/>
        </w:r>
        <w:r w:rsidR="004A5F6F">
          <w:rPr>
            <w:noProof/>
            <w:webHidden/>
          </w:rPr>
          <w:t>77</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50" w:history="1">
        <w:r w:rsidR="00C21F97" w:rsidRPr="00C21F97">
          <w:rPr>
            <w:rStyle w:val="Hipervnculo"/>
            <w:b/>
            <w:noProof/>
          </w:rPr>
          <w:t>Figura N° 38</w:t>
        </w:r>
        <w:r w:rsidR="00C21F97" w:rsidRPr="00C21F97">
          <w:rPr>
            <w:rStyle w:val="Hipervnculo"/>
            <w:b/>
            <w:noProof/>
            <w:lang w:val="es-VE" w:eastAsia="en-US"/>
          </w:rPr>
          <w:t>:</w:t>
        </w:r>
        <w:r w:rsidR="00C21F97" w:rsidRPr="007C4FD8">
          <w:rPr>
            <w:rStyle w:val="Hipervnculo"/>
            <w:noProof/>
            <w:lang w:val="es-VE" w:eastAsia="en-US"/>
          </w:rPr>
          <w:t xml:space="preserve"> Porcentaje de separación de agua. Acema-100. Campo AC, con y sin medio coalescedor.</w:t>
        </w:r>
        <w:r w:rsidR="00C21F97">
          <w:rPr>
            <w:noProof/>
            <w:webHidden/>
          </w:rPr>
          <w:tab/>
        </w:r>
        <w:r>
          <w:rPr>
            <w:noProof/>
            <w:webHidden/>
          </w:rPr>
          <w:fldChar w:fldCharType="begin"/>
        </w:r>
        <w:r w:rsidR="00C21F97">
          <w:rPr>
            <w:noProof/>
            <w:webHidden/>
          </w:rPr>
          <w:instrText xml:space="preserve"> PAGEREF _Toc327481450 \h </w:instrText>
        </w:r>
        <w:r>
          <w:rPr>
            <w:noProof/>
            <w:webHidden/>
          </w:rPr>
        </w:r>
        <w:r>
          <w:rPr>
            <w:noProof/>
            <w:webHidden/>
          </w:rPr>
          <w:fldChar w:fldCharType="separate"/>
        </w:r>
        <w:r w:rsidR="004A5F6F">
          <w:rPr>
            <w:noProof/>
            <w:webHidden/>
          </w:rPr>
          <w:t>78</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51" w:history="1">
        <w:r w:rsidR="00C21F97" w:rsidRPr="00C21F97">
          <w:rPr>
            <w:rStyle w:val="Hipervnculo"/>
            <w:b/>
            <w:noProof/>
          </w:rPr>
          <w:t>Figura N° 39:</w:t>
        </w:r>
        <w:r w:rsidR="00C21F97" w:rsidRPr="007C4FD8">
          <w:rPr>
            <w:rStyle w:val="Hipervnculo"/>
            <w:noProof/>
          </w:rPr>
          <w:t xml:space="preserve"> Separación para cada uno de los medios coalescedores empleados. Fosa Acema-100.</w:t>
        </w:r>
        <w:r w:rsidR="00C21F97">
          <w:rPr>
            <w:noProof/>
            <w:webHidden/>
          </w:rPr>
          <w:tab/>
        </w:r>
        <w:r>
          <w:rPr>
            <w:noProof/>
            <w:webHidden/>
          </w:rPr>
          <w:fldChar w:fldCharType="begin"/>
        </w:r>
        <w:r w:rsidR="00C21F97">
          <w:rPr>
            <w:noProof/>
            <w:webHidden/>
          </w:rPr>
          <w:instrText xml:space="preserve"> PAGEREF _Toc327481451 \h </w:instrText>
        </w:r>
        <w:r>
          <w:rPr>
            <w:noProof/>
            <w:webHidden/>
          </w:rPr>
        </w:r>
        <w:r>
          <w:rPr>
            <w:noProof/>
            <w:webHidden/>
          </w:rPr>
          <w:fldChar w:fldCharType="separate"/>
        </w:r>
        <w:r w:rsidR="004A5F6F">
          <w:rPr>
            <w:noProof/>
            <w:webHidden/>
          </w:rPr>
          <w:t>79</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52" w:history="1">
        <w:r w:rsidR="00C21F97" w:rsidRPr="00C21F97">
          <w:rPr>
            <w:rStyle w:val="Hipervnculo"/>
            <w:b/>
            <w:noProof/>
          </w:rPr>
          <w:t>Figura N° 40:</w:t>
        </w:r>
        <w:r w:rsidR="00C21F97" w:rsidRPr="007C4FD8">
          <w:rPr>
            <w:rStyle w:val="Hipervnculo"/>
            <w:noProof/>
          </w:rPr>
          <w:t xml:space="preserve"> Distribución de tamaño de </w:t>
        </w:r>
        <w:r w:rsidR="00C21F97">
          <w:rPr>
            <w:rStyle w:val="Hipervnculo"/>
            <w:noProof/>
          </w:rPr>
          <w:t>gotas. Merey-31 sin tratamiento</w:t>
        </w:r>
        <w:r w:rsidR="00C21F97">
          <w:rPr>
            <w:noProof/>
            <w:webHidden/>
          </w:rPr>
          <w:tab/>
        </w:r>
        <w:r>
          <w:rPr>
            <w:noProof/>
            <w:webHidden/>
          </w:rPr>
          <w:fldChar w:fldCharType="begin"/>
        </w:r>
        <w:r w:rsidR="00C21F97">
          <w:rPr>
            <w:noProof/>
            <w:webHidden/>
          </w:rPr>
          <w:instrText xml:space="preserve"> PAGEREF _Toc327481452 \h </w:instrText>
        </w:r>
        <w:r>
          <w:rPr>
            <w:noProof/>
            <w:webHidden/>
          </w:rPr>
        </w:r>
        <w:r>
          <w:rPr>
            <w:noProof/>
            <w:webHidden/>
          </w:rPr>
          <w:fldChar w:fldCharType="separate"/>
        </w:r>
        <w:r w:rsidR="004A5F6F">
          <w:rPr>
            <w:noProof/>
            <w:webHidden/>
          </w:rPr>
          <w:t>84</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53" w:history="1">
        <w:r w:rsidR="00C21F97" w:rsidRPr="00C21F97">
          <w:rPr>
            <w:rStyle w:val="Hipervnculo"/>
            <w:b/>
            <w:noProof/>
          </w:rPr>
          <w:t>Figura N° 41:</w:t>
        </w:r>
        <w:r w:rsidR="00C21F97" w:rsidRPr="007C4FD8">
          <w:rPr>
            <w:rStyle w:val="Hipervnculo"/>
            <w:noProof/>
          </w:rPr>
          <w:t xml:space="preserve"> Distribución de diámetro de gotas para una fracción acumulada del 10, 50 y 90 %. </w:t>
        </w:r>
        <w:r w:rsidR="00C21F97">
          <w:rPr>
            <w:rStyle w:val="Hipervnculo"/>
            <w:noProof/>
          </w:rPr>
          <w:t xml:space="preserve">Fosa </w:t>
        </w:r>
        <w:r w:rsidR="00C21F97" w:rsidRPr="007C4FD8">
          <w:rPr>
            <w:rStyle w:val="Hipervnculo"/>
            <w:noProof/>
          </w:rPr>
          <w:t>Merey-31..</w:t>
        </w:r>
        <w:r w:rsidR="00C21F97">
          <w:rPr>
            <w:noProof/>
            <w:webHidden/>
          </w:rPr>
          <w:tab/>
        </w:r>
        <w:r>
          <w:rPr>
            <w:noProof/>
            <w:webHidden/>
          </w:rPr>
          <w:fldChar w:fldCharType="begin"/>
        </w:r>
        <w:r w:rsidR="00C21F97">
          <w:rPr>
            <w:noProof/>
            <w:webHidden/>
          </w:rPr>
          <w:instrText xml:space="preserve"> PAGEREF _Toc327481453 \h </w:instrText>
        </w:r>
        <w:r>
          <w:rPr>
            <w:noProof/>
            <w:webHidden/>
          </w:rPr>
        </w:r>
        <w:r>
          <w:rPr>
            <w:noProof/>
            <w:webHidden/>
          </w:rPr>
          <w:fldChar w:fldCharType="separate"/>
        </w:r>
        <w:r w:rsidR="004A5F6F">
          <w:rPr>
            <w:noProof/>
            <w:webHidden/>
          </w:rPr>
          <w:t>87</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54" w:history="1">
        <w:r w:rsidR="00C21F97" w:rsidRPr="00C21F97">
          <w:rPr>
            <w:rStyle w:val="Hipervnculo"/>
            <w:b/>
            <w:noProof/>
          </w:rPr>
          <w:t>Figura N° 42:</w:t>
        </w:r>
        <w:r w:rsidR="00C21F97" w:rsidRPr="007C4FD8">
          <w:rPr>
            <w:rStyle w:val="Hipervnculo"/>
            <w:noProof/>
          </w:rPr>
          <w:t xml:space="preserve"> Factor de desestabilización (FD). Fosa Merey-31. Campo DC.</w:t>
        </w:r>
        <w:r w:rsidR="00C21F97">
          <w:rPr>
            <w:noProof/>
            <w:webHidden/>
          </w:rPr>
          <w:tab/>
        </w:r>
        <w:r>
          <w:rPr>
            <w:noProof/>
            <w:webHidden/>
          </w:rPr>
          <w:fldChar w:fldCharType="begin"/>
        </w:r>
        <w:r w:rsidR="00C21F97">
          <w:rPr>
            <w:noProof/>
            <w:webHidden/>
          </w:rPr>
          <w:instrText xml:space="preserve"> PAGEREF _Toc327481454 \h </w:instrText>
        </w:r>
        <w:r>
          <w:rPr>
            <w:noProof/>
            <w:webHidden/>
          </w:rPr>
        </w:r>
        <w:r>
          <w:rPr>
            <w:noProof/>
            <w:webHidden/>
          </w:rPr>
          <w:fldChar w:fldCharType="separate"/>
        </w:r>
        <w:r w:rsidR="004A5F6F">
          <w:rPr>
            <w:noProof/>
            <w:webHidden/>
          </w:rPr>
          <w:t>90</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55" w:history="1">
        <w:r w:rsidR="00C21F97" w:rsidRPr="00C21F97">
          <w:rPr>
            <w:rStyle w:val="Hipervnculo"/>
            <w:b/>
            <w:noProof/>
          </w:rPr>
          <w:t>Figura N° 43:</w:t>
        </w:r>
        <w:r w:rsidR="00C21F97" w:rsidRPr="007C4FD8">
          <w:rPr>
            <w:rStyle w:val="Hipervnculo"/>
            <w:noProof/>
          </w:rPr>
          <w:t xml:space="preserve"> Esquema general de la adsorción de surfacta</w:t>
        </w:r>
        <w:r w:rsidR="00C21F97">
          <w:rPr>
            <w:rStyle w:val="Hipervnculo"/>
            <w:noProof/>
          </w:rPr>
          <w:t>ntes sobre el medio coalescedor</w:t>
        </w:r>
        <w:r w:rsidR="00C21F97">
          <w:rPr>
            <w:noProof/>
            <w:webHidden/>
          </w:rPr>
          <w:tab/>
        </w:r>
        <w:r>
          <w:rPr>
            <w:noProof/>
            <w:webHidden/>
          </w:rPr>
          <w:fldChar w:fldCharType="begin"/>
        </w:r>
        <w:r w:rsidR="00C21F97">
          <w:rPr>
            <w:noProof/>
            <w:webHidden/>
          </w:rPr>
          <w:instrText xml:space="preserve"> PAGEREF _Toc327481455 \h </w:instrText>
        </w:r>
        <w:r>
          <w:rPr>
            <w:noProof/>
            <w:webHidden/>
          </w:rPr>
        </w:r>
        <w:r>
          <w:rPr>
            <w:noProof/>
            <w:webHidden/>
          </w:rPr>
          <w:fldChar w:fldCharType="separate"/>
        </w:r>
        <w:r w:rsidR="004A5F6F">
          <w:rPr>
            <w:noProof/>
            <w:webHidden/>
          </w:rPr>
          <w:t>92</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56" w:history="1">
        <w:r w:rsidR="00C21F97" w:rsidRPr="00C21F97">
          <w:rPr>
            <w:rStyle w:val="Hipervnculo"/>
            <w:b/>
            <w:noProof/>
          </w:rPr>
          <w:t>Figura N° 44:</w:t>
        </w:r>
        <w:r w:rsidR="00C21F97" w:rsidRPr="007C4FD8">
          <w:rPr>
            <w:rStyle w:val="Hipervnculo"/>
            <w:noProof/>
          </w:rPr>
          <w:t xml:space="preserve"> Perfil estimado de temperatura en la celda de aplicación de campo eléctrico para anillos de vidrio y esferas de polietileno.</w:t>
        </w:r>
        <w:r w:rsidR="00C21F97">
          <w:rPr>
            <w:noProof/>
            <w:webHidden/>
          </w:rPr>
          <w:tab/>
        </w:r>
        <w:r>
          <w:rPr>
            <w:noProof/>
            <w:webHidden/>
          </w:rPr>
          <w:fldChar w:fldCharType="begin"/>
        </w:r>
        <w:r w:rsidR="00C21F97">
          <w:rPr>
            <w:noProof/>
            <w:webHidden/>
          </w:rPr>
          <w:instrText xml:space="preserve"> PAGEREF _Toc327481456 \h </w:instrText>
        </w:r>
        <w:r>
          <w:rPr>
            <w:noProof/>
            <w:webHidden/>
          </w:rPr>
        </w:r>
        <w:r>
          <w:rPr>
            <w:noProof/>
            <w:webHidden/>
          </w:rPr>
          <w:fldChar w:fldCharType="separate"/>
        </w:r>
        <w:r w:rsidR="004A5F6F">
          <w:rPr>
            <w:noProof/>
            <w:webHidden/>
          </w:rPr>
          <w:t>94</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57" w:history="1">
        <w:r w:rsidR="00C21F97" w:rsidRPr="00C21F97">
          <w:rPr>
            <w:rStyle w:val="Hipervnculo"/>
            <w:b/>
            <w:noProof/>
          </w:rPr>
          <w:t>Figura N° 45:</w:t>
        </w:r>
        <w:r w:rsidR="00C21F97" w:rsidRPr="007C4FD8">
          <w:rPr>
            <w:rStyle w:val="Hipervnculo"/>
            <w:noProof/>
          </w:rPr>
          <w:t xml:space="preserve"> Tiempo de residencia estimado para las pruebas realizadas empleando anillos de vidrio y polietileno.</w:t>
        </w:r>
        <w:r w:rsidR="00C21F97">
          <w:rPr>
            <w:noProof/>
            <w:webHidden/>
          </w:rPr>
          <w:tab/>
        </w:r>
        <w:r>
          <w:rPr>
            <w:noProof/>
            <w:webHidden/>
          </w:rPr>
          <w:fldChar w:fldCharType="begin"/>
        </w:r>
        <w:r w:rsidR="00C21F97">
          <w:rPr>
            <w:noProof/>
            <w:webHidden/>
          </w:rPr>
          <w:instrText xml:space="preserve"> PAGEREF _Toc327481457 \h </w:instrText>
        </w:r>
        <w:r>
          <w:rPr>
            <w:noProof/>
            <w:webHidden/>
          </w:rPr>
        </w:r>
        <w:r>
          <w:rPr>
            <w:noProof/>
            <w:webHidden/>
          </w:rPr>
          <w:fldChar w:fldCharType="separate"/>
        </w:r>
        <w:r w:rsidR="004A5F6F">
          <w:rPr>
            <w:noProof/>
            <w:webHidden/>
          </w:rPr>
          <w:t>95</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58" w:history="1">
        <w:r w:rsidR="00C21F97" w:rsidRPr="00C21F97">
          <w:rPr>
            <w:rStyle w:val="Hipervnculo"/>
            <w:b/>
            <w:noProof/>
          </w:rPr>
          <w:t>Figura N° 46:</w:t>
        </w:r>
        <w:r w:rsidR="00C21F97" w:rsidRPr="007C4FD8">
          <w:rPr>
            <w:rStyle w:val="Hipervnculo"/>
            <w:noProof/>
          </w:rPr>
          <w:t xml:space="preserve"> Distribución de diámetro de gotas para una fracción acumulada del 10, 50 y 90%</w:t>
        </w:r>
        <w:r w:rsidR="00C21F97">
          <w:rPr>
            <w:rStyle w:val="Hipervnculo"/>
            <w:noProof/>
          </w:rPr>
          <w:t xml:space="preserve"> luego de centrifugar</w:t>
        </w:r>
        <w:r w:rsidR="00C21F97" w:rsidRPr="007C4FD8">
          <w:rPr>
            <w:rStyle w:val="Hipervnculo"/>
            <w:noProof/>
          </w:rPr>
          <w:t>.</w:t>
        </w:r>
        <w:r w:rsidR="00C21F97">
          <w:rPr>
            <w:rStyle w:val="Hipervnculo"/>
            <w:noProof/>
          </w:rPr>
          <w:t xml:space="preserve"> Fosa</w:t>
        </w:r>
        <w:r w:rsidR="00C21F97" w:rsidRPr="007C4FD8">
          <w:rPr>
            <w:rStyle w:val="Hipervnculo"/>
            <w:noProof/>
          </w:rPr>
          <w:t xml:space="preserve"> Merey-31..</w:t>
        </w:r>
        <w:r w:rsidR="00C21F97">
          <w:rPr>
            <w:noProof/>
            <w:webHidden/>
          </w:rPr>
          <w:tab/>
        </w:r>
        <w:r>
          <w:rPr>
            <w:noProof/>
            <w:webHidden/>
          </w:rPr>
          <w:fldChar w:fldCharType="begin"/>
        </w:r>
        <w:r w:rsidR="00C21F97">
          <w:rPr>
            <w:noProof/>
            <w:webHidden/>
          </w:rPr>
          <w:instrText xml:space="preserve"> PAGEREF _Toc327481458 \h </w:instrText>
        </w:r>
        <w:r>
          <w:rPr>
            <w:noProof/>
            <w:webHidden/>
          </w:rPr>
        </w:r>
        <w:r>
          <w:rPr>
            <w:noProof/>
            <w:webHidden/>
          </w:rPr>
          <w:fldChar w:fldCharType="separate"/>
        </w:r>
        <w:r w:rsidR="004A5F6F">
          <w:rPr>
            <w:noProof/>
            <w:webHidden/>
          </w:rPr>
          <w:t>97</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59" w:history="1">
        <w:r w:rsidR="00C21F97" w:rsidRPr="00C21F97">
          <w:rPr>
            <w:rStyle w:val="Hipervnculo"/>
            <w:b/>
            <w:noProof/>
          </w:rPr>
          <w:t>Figura N° 47:</w:t>
        </w:r>
        <w:r w:rsidR="00C21F97" w:rsidRPr="007C4FD8">
          <w:rPr>
            <w:rStyle w:val="Hipervnculo"/>
            <w:noProof/>
          </w:rPr>
          <w:t xml:space="preserve"> </w:t>
        </w:r>
        <w:r w:rsidR="00C21F97">
          <w:rPr>
            <w:rStyle w:val="Hipervnculo"/>
            <w:noProof/>
          </w:rPr>
          <w:t>Microscopías de la emulsión Merey 31 (Fotos)</w:t>
        </w:r>
        <w:r w:rsidR="00C21F97" w:rsidRPr="007C4FD8">
          <w:rPr>
            <w:rStyle w:val="Hipervnculo"/>
            <w:noProof/>
          </w:rPr>
          <w:t>.</w:t>
        </w:r>
        <w:r w:rsidR="00C21F97">
          <w:rPr>
            <w:noProof/>
            <w:webHidden/>
          </w:rPr>
          <w:tab/>
        </w:r>
        <w:r>
          <w:rPr>
            <w:noProof/>
            <w:webHidden/>
          </w:rPr>
          <w:fldChar w:fldCharType="begin"/>
        </w:r>
        <w:r w:rsidR="00C21F97">
          <w:rPr>
            <w:noProof/>
            <w:webHidden/>
          </w:rPr>
          <w:instrText xml:space="preserve"> PAGEREF _Toc327481459 \h </w:instrText>
        </w:r>
        <w:r>
          <w:rPr>
            <w:noProof/>
            <w:webHidden/>
          </w:rPr>
        </w:r>
        <w:r>
          <w:rPr>
            <w:noProof/>
            <w:webHidden/>
          </w:rPr>
          <w:fldChar w:fldCharType="separate"/>
        </w:r>
        <w:r w:rsidR="004A5F6F">
          <w:rPr>
            <w:noProof/>
            <w:webHidden/>
          </w:rPr>
          <w:t>99</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60" w:history="1">
        <w:r w:rsidR="00C21F97" w:rsidRPr="00C21F97">
          <w:rPr>
            <w:rStyle w:val="Hipervnculo"/>
            <w:b/>
            <w:noProof/>
          </w:rPr>
          <w:t>Figura N° 48:</w:t>
        </w:r>
        <w:r w:rsidR="00C21F97" w:rsidRPr="007C4FD8">
          <w:rPr>
            <w:rStyle w:val="Hipervnculo"/>
            <w:noProof/>
          </w:rPr>
          <w:t xml:space="preserve"> Análisis S.A.R.A. de las fosas de producción en estudio. (Rodríguez, en ejecución).</w:t>
        </w:r>
        <w:r w:rsidR="00C21F97">
          <w:rPr>
            <w:noProof/>
            <w:webHidden/>
          </w:rPr>
          <w:tab/>
        </w:r>
        <w:r>
          <w:rPr>
            <w:noProof/>
            <w:webHidden/>
          </w:rPr>
          <w:fldChar w:fldCharType="begin"/>
        </w:r>
        <w:r w:rsidR="00C21F97">
          <w:rPr>
            <w:noProof/>
            <w:webHidden/>
          </w:rPr>
          <w:instrText xml:space="preserve"> PAGEREF _Toc327481460 \h </w:instrText>
        </w:r>
        <w:r>
          <w:rPr>
            <w:noProof/>
            <w:webHidden/>
          </w:rPr>
        </w:r>
        <w:r>
          <w:rPr>
            <w:noProof/>
            <w:webHidden/>
          </w:rPr>
          <w:fldChar w:fldCharType="separate"/>
        </w:r>
        <w:r w:rsidR="004A5F6F">
          <w:rPr>
            <w:noProof/>
            <w:webHidden/>
          </w:rPr>
          <w:t>103</w:t>
        </w:r>
        <w:r>
          <w:rPr>
            <w:noProof/>
            <w:webHidden/>
          </w:rPr>
          <w:fldChar w:fldCharType="end"/>
        </w:r>
      </w:hyperlink>
    </w:p>
    <w:p w:rsidR="00C21F97"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7481461" w:history="1">
        <w:r w:rsidR="00C21F97" w:rsidRPr="00C21F97">
          <w:rPr>
            <w:rStyle w:val="Hipervnculo"/>
            <w:b/>
            <w:noProof/>
          </w:rPr>
          <w:t>Figura N° 49:</w:t>
        </w:r>
        <w:r w:rsidR="00C21F97" w:rsidRPr="007C4FD8">
          <w:rPr>
            <w:rStyle w:val="Hipervnculo"/>
            <w:noProof/>
          </w:rPr>
          <w:t xml:space="preserve"> Distribución de las líneas de flujo de campo eléctrico</w:t>
        </w:r>
        <w:r w:rsidR="00C21F97">
          <w:rPr>
            <w:rStyle w:val="Hipervnculo"/>
            <w:noProof/>
          </w:rPr>
          <w:t xml:space="preserve"> para una celda con electrodos planos y cilíndricos</w:t>
        </w:r>
        <w:r w:rsidR="00C21F97" w:rsidRPr="007C4FD8">
          <w:rPr>
            <w:rStyle w:val="Hipervnculo"/>
            <w:noProof/>
          </w:rPr>
          <w:t>.</w:t>
        </w:r>
        <w:r w:rsidR="00C21F97">
          <w:rPr>
            <w:noProof/>
            <w:webHidden/>
          </w:rPr>
          <w:tab/>
        </w:r>
        <w:r>
          <w:rPr>
            <w:noProof/>
            <w:webHidden/>
          </w:rPr>
          <w:fldChar w:fldCharType="begin"/>
        </w:r>
        <w:r w:rsidR="00C21F97">
          <w:rPr>
            <w:noProof/>
            <w:webHidden/>
          </w:rPr>
          <w:instrText xml:space="preserve"> PAGEREF _Toc327481461 \h </w:instrText>
        </w:r>
        <w:r>
          <w:rPr>
            <w:noProof/>
            <w:webHidden/>
          </w:rPr>
        </w:r>
        <w:r>
          <w:rPr>
            <w:noProof/>
            <w:webHidden/>
          </w:rPr>
          <w:fldChar w:fldCharType="separate"/>
        </w:r>
        <w:r w:rsidR="004A5F6F">
          <w:rPr>
            <w:noProof/>
            <w:webHidden/>
          </w:rPr>
          <w:t>105</w:t>
        </w:r>
        <w:r>
          <w:rPr>
            <w:noProof/>
            <w:webHidden/>
          </w:rPr>
          <w:fldChar w:fldCharType="end"/>
        </w:r>
      </w:hyperlink>
    </w:p>
    <w:p w:rsidR="00FB6855" w:rsidRDefault="00A73CD2" w:rsidP="00C21F97">
      <w:pPr>
        <w:shd w:val="clear" w:color="auto" w:fill="FFFFFF"/>
        <w:spacing w:line="360" w:lineRule="auto"/>
        <w:jc w:val="both"/>
        <w:rPr>
          <w:b/>
          <w:szCs w:val="24"/>
        </w:rPr>
      </w:pPr>
      <w:r>
        <w:rPr>
          <w:b/>
          <w:szCs w:val="24"/>
        </w:rPr>
        <w:fldChar w:fldCharType="end"/>
      </w:r>
    </w:p>
    <w:p w:rsidR="00FB6855" w:rsidRDefault="00FB6855" w:rsidP="003A6929">
      <w:pPr>
        <w:shd w:val="clear" w:color="auto" w:fill="FFFFFF"/>
        <w:spacing w:line="360" w:lineRule="auto"/>
        <w:jc w:val="center"/>
        <w:rPr>
          <w:b/>
          <w:szCs w:val="24"/>
        </w:rPr>
      </w:pPr>
    </w:p>
    <w:p w:rsidR="00FB6855" w:rsidRDefault="00FB6855" w:rsidP="003A6929">
      <w:pPr>
        <w:shd w:val="clear" w:color="auto" w:fill="FFFFFF"/>
        <w:spacing w:line="360" w:lineRule="auto"/>
        <w:jc w:val="center"/>
        <w:rPr>
          <w:b/>
          <w:szCs w:val="24"/>
        </w:rPr>
      </w:pPr>
    </w:p>
    <w:p w:rsidR="00FB6855" w:rsidRDefault="00FB6855" w:rsidP="003A6929">
      <w:pPr>
        <w:shd w:val="clear" w:color="auto" w:fill="FFFFFF"/>
        <w:spacing w:line="360" w:lineRule="auto"/>
        <w:jc w:val="center"/>
        <w:rPr>
          <w:b/>
          <w:szCs w:val="24"/>
        </w:rPr>
      </w:pPr>
    </w:p>
    <w:p w:rsidR="00FB6855" w:rsidRDefault="00C21F97" w:rsidP="005B74B4">
      <w:pPr>
        <w:pStyle w:val="Ttulo1"/>
      </w:pPr>
      <w:bookmarkStart w:id="5" w:name="_Toc327477998"/>
      <w:r>
        <w:lastRenderedPageBreak/>
        <w:t>IND</w:t>
      </w:r>
      <w:r w:rsidR="00FB6855">
        <w:t>ICE DE TABLAS</w:t>
      </w:r>
      <w:bookmarkEnd w:id="5"/>
    </w:p>
    <w:p w:rsidR="00956E55" w:rsidRDefault="00A73CD2" w:rsidP="00C76EB1">
      <w:pPr>
        <w:shd w:val="clear" w:color="auto" w:fill="FFFFFF"/>
        <w:spacing w:line="360" w:lineRule="auto"/>
        <w:jc w:val="both"/>
        <w:rPr>
          <w:noProof/>
        </w:rPr>
      </w:pPr>
      <w:r>
        <w:rPr>
          <w:b/>
          <w:szCs w:val="24"/>
        </w:rPr>
        <w:fldChar w:fldCharType="begin"/>
      </w:r>
      <w:r w:rsidR="000B51EB">
        <w:rPr>
          <w:b/>
          <w:szCs w:val="24"/>
        </w:rPr>
        <w:instrText xml:space="preserve"> TOC \h \z \c "Table" </w:instrText>
      </w:r>
      <w:r>
        <w:rPr>
          <w:b/>
          <w:szCs w:val="24"/>
        </w:rPr>
        <w:fldChar w:fldCharType="end"/>
      </w:r>
      <w:r>
        <w:rPr>
          <w:b/>
          <w:szCs w:val="24"/>
        </w:rPr>
        <w:fldChar w:fldCharType="begin"/>
      </w:r>
      <w:r w:rsidR="00C76EB1">
        <w:rPr>
          <w:b/>
          <w:szCs w:val="24"/>
        </w:rPr>
        <w:instrText xml:space="preserve"> TOC \h \z \c "Tabla N°" </w:instrText>
      </w:r>
      <w:r>
        <w:rPr>
          <w:b/>
          <w:szCs w:val="24"/>
        </w:rPr>
        <w:fldChar w:fldCharType="separate"/>
      </w:r>
    </w:p>
    <w:p w:rsidR="00956E55"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5636315" w:history="1">
        <w:r w:rsidR="00956E55" w:rsidRPr="00956E55">
          <w:rPr>
            <w:rStyle w:val="Hipervnculo"/>
            <w:b/>
            <w:noProof/>
          </w:rPr>
          <w:t>Tabla N° 1:</w:t>
        </w:r>
        <w:r w:rsidR="00956E55" w:rsidRPr="008D2F95">
          <w:rPr>
            <w:rStyle w:val="Hipervnculo"/>
            <w:noProof/>
          </w:rPr>
          <w:t xml:space="preserve"> Contenido de agua de las fosas según norma ASTM D-4006-81. Padrón y Zúñiga (2005).</w:t>
        </w:r>
        <w:r w:rsidR="00956E55">
          <w:rPr>
            <w:noProof/>
            <w:webHidden/>
          </w:rPr>
          <w:tab/>
        </w:r>
        <w:r>
          <w:rPr>
            <w:noProof/>
            <w:webHidden/>
          </w:rPr>
          <w:fldChar w:fldCharType="begin"/>
        </w:r>
        <w:r w:rsidR="00956E55">
          <w:rPr>
            <w:noProof/>
            <w:webHidden/>
          </w:rPr>
          <w:instrText xml:space="preserve"> PAGEREF _Toc325636315 \h </w:instrText>
        </w:r>
        <w:r>
          <w:rPr>
            <w:noProof/>
            <w:webHidden/>
          </w:rPr>
        </w:r>
        <w:r>
          <w:rPr>
            <w:noProof/>
            <w:webHidden/>
          </w:rPr>
          <w:fldChar w:fldCharType="separate"/>
        </w:r>
        <w:r w:rsidR="004A5F6F">
          <w:rPr>
            <w:noProof/>
            <w:webHidden/>
          </w:rPr>
          <w:t>6</w:t>
        </w:r>
        <w:r>
          <w:rPr>
            <w:noProof/>
            <w:webHidden/>
          </w:rPr>
          <w:fldChar w:fldCharType="end"/>
        </w:r>
      </w:hyperlink>
    </w:p>
    <w:p w:rsidR="00956E55"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5636316" w:history="1">
        <w:r w:rsidR="00956E55" w:rsidRPr="00956E55">
          <w:rPr>
            <w:rStyle w:val="Hipervnculo"/>
            <w:b/>
            <w:noProof/>
          </w:rPr>
          <w:t>Tabla N° 2</w:t>
        </w:r>
        <w:r w:rsidR="00956E55" w:rsidRPr="00956E55">
          <w:rPr>
            <w:rStyle w:val="Hipervnculo"/>
            <w:b/>
            <w:iCs/>
            <w:noProof/>
          </w:rPr>
          <w:t>:</w:t>
        </w:r>
        <w:r w:rsidR="00956E55" w:rsidRPr="008D2F95">
          <w:rPr>
            <w:rStyle w:val="Hipervnculo"/>
            <w:iCs/>
            <w:noProof/>
          </w:rPr>
          <w:t xml:space="preserve"> Fosas de producción.</w:t>
        </w:r>
        <w:r w:rsidR="00956E55">
          <w:rPr>
            <w:noProof/>
            <w:webHidden/>
          </w:rPr>
          <w:tab/>
        </w:r>
        <w:r>
          <w:rPr>
            <w:noProof/>
            <w:webHidden/>
          </w:rPr>
          <w:fldChar w:fldCharType="begin"/>
        </w:r>
        <w:r w:rsidR="00956E55">
          <w:rPr>
            <w:noProof/>
            <w:webHidden/>
          </w:rPr>
          <w:instrText xml:space="preserve"> PAGEREF _Toc325636316 \h </w:instrText>
        </w:r>
        <w:r>
          <w:rPr>
            <w:noProof/>
            <w:webHidden/>
          </w:rPr>
        </w:r>
        <w:r>
          <w:rPr>
            <w:noProof/>
            <w:webHidden/>
          </w:rPr>
          <w:fldChar w:fldCharType="separate"/>
        </w:r>
        <w:r w:rsidR="004A5F6F">
          <w:rPr>
            <w:noProof/>
            <w:webHidden/>
          </w:rPr>
          <w:t>54</w:t>
        </w:r>
        <w:r>
          <w:rPr>
            <w:noProof/>
            <w:webHidden/>
          </w:rPr>
          <w:fldChar w:fldCharType="end"/>
        </w:r>
      </w:hyperlink>
    </w:p>
    <w:p w:rsidR="00956E55"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5636317" w:history="1">
        <w:r w:rsidR="00956E55" w:rsidRPr="00956E55">
          <w:rPr>
            <w:rStyle w:val="Hipervnculo"/>
            <w:b/>
            <w:noProof/>
          </w:rPr>
          <w:t>Tabla N° 3:</w:t>
        </w:r>
        <w:r w:rsidR="00956E55" w:rsidRPr="008D2F95">
          <w:rPr>
            <w:rStyle w:val="Hipervnculo"/>
            <w:noProof/>
          </w:rPr>
          <w:t xml:space="preserve"> Parámetros obtenidos a partir de la hoja de</w:t>
        </w:r>
        <w:r w:rsidR="00380E9C">
          <w:rPr>
            <w:rStyle w:val="Hipervnculo"/>
            <w:noProof/>
          </w:rPr>
          <w:t xml:space="preserve"> cálculo desarrollada por Fung </w:t>
        </w:r>
        <w:r w:rsidR="00956E55" w:rsidRPr="008D2F95">
          <w:rPr>
            <w:rStyle w:val="Hipervnculo"/>
            <w:noProof/>
          </w:rPr>
          <w:t>(Fung, 2011).</w:t>
        </w:r>
        <w:r w:rsidR="00956E55">
          <w:rPr>
            <w:noProof/>
            <w:webHidden/>
          </w:rPr>
          <w:tab/>
        </w:r>
        <w:r>
          <w:rPr>
            <w:noProof/>
            <w:webHidden/>
          </w:rPr>
          <w:fldChar w:fldCharType="begin"/>
        </w:r>
        <w:r w:rsidR="00956E55">
          <w:rPr>
            <w:noProof/>
            <w:webHidden/>
          </w:rPr>
          <w:instrText xml:space="preserve"> PAGEREF _Toc325636317 \h </w:instrText>
        </w:r>
        <w:r>
          <w:rPr>
            <w:noProof/>
            <w:webHidden/>
          </w:rPr>
        </w:r>
        <w:r>
          <w:rPr>
            <w:noProof/>
            <w:webHidden/>
          </w:rPr>
          <w:fldChar w:fldCharType="separate"/>
        </w:r>
        <w:r w:rsidR="004A5F6F">
          <w:rPr>
            <w:noProof/>
            <w:webHidden/>
          </w:rPr>
          <w:t>58</w:t>
        </w:r>
        <w:r>
          <w:rPr>
            <w:noProof/>
            <w:webHidden/>
          </w:rPr>
          <w:fldChar w:fldCharType="end"/>
        </w:r>
      </w:hyperlink>
    </w:p>
    <w:p w:rsidR="00956E55"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5636318" w:history="1">
        <w:r w:rsidR="00956E55" w:rsidRPr="00956E55">
          <w:rPr>
            <w:rStyle w:val="Hipervnculo"/>
            <w:b/>
            <w:noProof/>
          </w:rPr>
          <w:t>Tabla N° 4:</w:t>
        </w:r>
        <w:r w:rsidR="00956E55" w:rsidRPr="008D2F95">
          <w:rPr>
            <w:rStyle w:val="Hipervnculo"/>
            <w:noProof/>
          </w:rPr>
          <w:t xml:space="preserve"> Arreglos dispuestos para el sistema de tratamiento. C: Campo eléctrico. M: Medio coalescedor</w:t>
        </w:r>
        <w:r w:rsidR="00956E55">
          <w:rPr>
            <w:noProof/>
            <w:webHidden/>
          </w:rPr>
          <w:tab/>
        </w:r>
        <w:r>
          <w:rPr>
            <w:noProof/>
            <w:webHidden/>
          </w:rPr>
          <w:fldChar w:fldCharType="begin"/>
        </w:r>
        <w:r w:rsidR="00956E55">
          <w:rPr>
            <w:noProof/>
            <w:webHidden/>
          </w:rPr>
          <w:instrText xml:space="preserve"> PAGEREF _Toc325636318 \h </w:instrText>
        </w:r>
        <w:r>
          <w:rPr>
            <w:noProof/>
            <w:webHidden/>
          </w:rPr>
        </w:r>
        <w:r>
          <w:rPr>
            <w:noProof/>
            <w:webHidden/>
          </w:rPr>
          <w:fldChar w:fldCharType="separate"/>
        </w:r>
        <w:r w:rsidR="004A5F6F">
          <w:rPr>
            <w:noProof/>
            <w:webHidden/>
          </w:rPr>
          <w:t>68</w:t>
        </w:r>
        <w:r>
          <w:rPr>
            <w:noProof/>
            <w:webHidden/>
          </w:rPr>
          <w:fldChar w:fldCharType="end"/>
        </w:r>
      </w:hyperlink>
    </w:p>
    <w:p w:rsidR="00956E55"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5636319" w:history="1">
        <w:r w:rsidR="00956E55" w:rsidRPr="00956E55">
          <w:rPr>
            <w:rStyle w:val="Hipervnculo"/>
            <w:b/>
            <w:noProof/>
          </w:rPr>
          <w:t>Tabla N° 5:</w:t>
        </w:r>
        <w:r w:rsidR="00956E55" w:rsidRPr="008D2F95">
          <w:rPr>
            <w:rStyle w:val="Hipervnculo"/>
            <w:noProof/>
          </w:rPr>
          <w:t xml:space="preserve"> Medios coalescedores dispuestos para el análisis. Mojabilidad relativa. Fracción de vacío.</w:t>
        </w:r>
        <w:r w:rsidR="00956E55">
          <w:rPr>
            <w:noProof/>
            <w:webHidden/>
          </w:rPr>
          <w:tab/>
        </w:r>
        <w:r>
          <w:rPr>
            <w:noProof/>
            <w:webHidden/>
          </w:rPr>
          <w:fldChar w:fldCharType="begin"/>
        </w:r>
        <w:r w:rsidR="00956E55">
          <w:rPr>
            <w:noProof/>
            <w:webHidden/>
          </w:rPr>
          <w:instrText xml:space="preserve"> PAGEREF _Toc325636319 \h </w:instrText>
        </w:r>
        <w:r>
          <w:rPr>
            <w:noProof/>
            <w:webHidden/>
          </w:rPr>
        </w:r>
        <w:r>
          <w:rPr>
            <w:noProof/>
            <w:webHidden/>
          </w:rPr>
          <w:fldChar w:fldCharType="separate"/>
        </w:r>
        <w:r w:rsidR="004A5F6F">
          <w:rPr>
            <w:noProof/>
            <w:webHidden/>
          </w:rPr>
          <w:t>71</w:t>
        </w:r>
        <w:r>
          <w:rPr>
            <w:noProof/>
            <w:webHidden/>
          </w:rPr>
          <w:fldChar w:fldCharType="end"/>
        </w:r>
      </w:hyperlink>
    </w:p>
    <w:p w:rsidR="00956E55"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5636320" w:history="1">
        <w:r w:rsidR="00956E55" w:rsidRPr="00956E55">
          <w:rPr>
            <w:rStyle w:val="Hipervnculo"/>
            <w:b/>
            <w:noProof/>
          </w:rPr>
          <w:t>Tabla N° 6</w:t>
        </w:r>
        <w:r w:rsidR="00956E55" w:rsidRPr="00956E55">
          <w:rPr>
            <w:rStyle w:val="Hipervnculo"/>
            <w:b/>
            <w:noProof/>
            <w:lang w:val="es-VE" w:eastAsia="en-US"/>
          </w:rPr>
          <w:t xml:space="preserve">: </w:t>
        </w:r>
        <w:r w:rsidR="00956E55" w:rsidRPr="008D2F95">
          <w:rPr>
            <w:rStyle w:val="Hipervnculo"/>
            <w:noProof/>
            <w:lang w:val="es-VE" w:eastAsia="en-US"/>
          </w:rPr>
          <w:t>Agua recuperada (% v/v). Material coalescedor: Anillos de vidrio y esfereas de vidrio.</w:t>
        </w:r>
        <w:r w:rsidR="00956E55">
          <w:rPr>
            <w:noProof/>
            <w:webHidden/>
          </w:rPr>
          <w:tab/>
        </w:r>
        <w:r>
          <w:rPr>
            <w:noProof/>
            <w:webHidden/>
          </w:rPr>
          <w:fldChar w:fldCharType="begin"/>
        </w:r>
        <w:r w:rsidR="00956E55">
          <w:rPr>
            <w:noProof/>
            <w:webHidden/>
          </w:rPr>
          <w:instrText xml:space="preserve"> PAGEREF _Toc325636320 \h </w:instrText>
        </w:r>
        <w:r>
          <w:rPr>
            <w:noProof/>
            <w:webHidden/>
          </w:rPr>
        </w:r>
        <w:r>
          <w:rPr>
            <w:noProof/>
            <w:webHidden/>
          </w:rPr>
          <w:fldChar w:fldCharType="separate"/>
        </w:r>
        <w:r w:rsidR="004A5F6F">
          <w:rPr>
            <w:noProof/>
            <w:webHidden/>
          </w:rPr>
          <w:t>76</w:t>
        </w:r>
        <w:r>
          <w:rPr>
            <w:noProof/>
            <w:webHidden/>
          </w:rPr>
          <w:fldChar w:fldCharType="end"/>
        </w:r>
      </w:hyperlink>
    </w:p>
    <w:p w:rsidR="00956E55"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5636321" w:history="1">
        <w:r w:rsidR="00956E55" w:rsidRPr="00956E55">
          <w:rPr>
            <w:rStyle w:val="Hipervnculo"/>
            <w:b/>
            <w:noProof/>
          </w:rPr>
          <w:t>Tabla N° 7:</w:t>
        </w:r>
        <w:r w:rsidR="00956E55" w:rsidRPr="008D2F95">
          <w:rPr>
            <w:rStyle w:val="Hipervnculo"/>
            <w:noProof/>
          </w:rPr>
          <w:t xml:space="preserve"> Conductividad de la fase acuosa de las fosas de producción en estudio.</w:t>
        </w:r>
        <w:r w:rsidR="00956E55">
          <w:rPr>
            <w:noProof/>
            <w:webHidden/>
          </w:rPr>
          <w:tab/>
        </w:r>
        <w:r>
          <w:rPr>
            <w:noProof/>
            <w:webHidden/>
          </w:rPr>
          <w:fldChar w:fldCharType="begin"/>
        </w:r>
        <w:r w:rsidR="00956E55">
          <w:rPr>
            <w:noProof/>
            <w:webHidden/>
          </w:rPr>
          <w:instrText xml:space="preserve"> PAGEREF _Toc325636321 \h </w:instrText>
        </w:r>
        <w:r>
          <w:rPr>
            <w:noProof/>
            <w:webHidden/>
          </w:rPr>
        </w:r>
        <w:r>
          <w:rPr>
            <w:noProof/>
            <w:webHidden/>
          </w:rPr>
          <w:fldChar w:fldCharType="separate"/>
        </w:r>
        <w:r w:rsidR="004A5F6F">
          <w:rPr>
            <w:noProof/>
            <w:webHidden/>
          </w:rPr>
          <w:t>81</w:t>
        </w:r>
        <w:r>
          <w:rPr>
            <w:noProof/>
            <w:webHidden/>
          </w:rPr>
          <w:fldChar w:fldCharType="end"/>
        </w:r>
      </w:hyperlink>
    </w:p>
    <w:p w:rsidR="00956E55"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5636322" w:history="1">
        <w:r w:rsidR="00956E55" w:rsidRPr="00956E55">
          <w:rPr>
            <w:rStyle w:val="Hipervnculo"/>
            <w:b/>
            <w:noProof/>
          </w:rPr>
          <w:t>Tabla N° 8:</w:t>
        </w:r>
        <w:r w:rsidR="00956E55" w:rsidRPr="008D2F95">
          <w:rPr>
            <w:rStyle w:val="Hipervnculo"/>
            <w:noProof/>
          </w:rPr>
          <w:t xml:space="preserve"> Temperatura de la emulsión en la celda de tratamiento empleando diferentes medios coalescedores.</w:t>
        </w:r>
        <w:r w:rsidR="00956E55">
          <w:rPr>
            <w:noProof/>
            <w:webHidden/>
          </w:rPr>
          <w:tab/>
        </w:r>
        <w:r>
          <w:rPr>
            <w:noProof/>
            <w:webHidden/>
          </w:rPr>
          <w:fldChar w:fldCharType="begin"/>
        </w:r>
        <w:r w:rsidR="00956E55">
          <w:rPr>
            <w:noProof/>
            <w:webHidden/>
          </w:rPr>
          <w:instrText xml:space="preserve"> PAGEREF _Toc325636322 \h </w:instrText>
        </w:r>
        <w:r>
          <w:rPr>
            <w:noProof/>
            <w:webHidden/>
          </w:rPr>
        </w:r>
        <w:r>
          <w:rPr>
            <w:noProof/>
            <w:webHidden/>
          </w:rPr>
          <w:fldChar w:fldCharType="separate"/>
        </w:r>
        <w:r w:rsidR="004A5F6F">
          <w:rPr>
            <w:noProof/>
            <w:webHidden/>
          </w:rPr>
          <w:t>93</w:t>
        </w:r>
        <w:r>
          <w:rPr>
            <w:noProof/>
            <w:webHidden/>
          </w:rPr>
          <w:fldChar w:fldCharType="end"/>
        </w:r>
      </w:hyperlink>
    </w:p>
    <w:p w:rsidR="00956E55"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5636323" w:history="1">
        <w:r w:rsidR="00956E55" w:rsidRPr="00956E55">
          <w:rPr>
            <w:rStyle w:val="Hipervnculo"/>
            <w:b/>
            <w:noProof/>
          </w:rPr>
          <w:t>Tabla N° 9:</w:t>
        </w:r>
        <w:r w:rsidR="00956E55" w:rsidRPr="008D2F95">
          <w:rPr>
            <w:rStyle w:val="Hipervnculo"/>
            <w:noProof/>
          </w:rPr>
          <w:t xml:space="preserve"> Viscosidad aparente de las</w:t>
        </w:r>
        <w:r w:rsidR="00380E9C">
          <w:rPr>
            <w:rStyle w:val="Hipervnculo"/>
            <w:noProof/>
          </w:rPr>
          <w:t xml:space="preserve"> fosas de producción en estudio</w:t>
        </w:r>
        <w:r w:rsidR="00956E55" w:rsidRPr="008D2F95">
          <w:rPr>
            <w:rStyle w:val="Hipervnculo"/>
            <w:noProof/>
          </w:rPr>
          <w:t xml:space="preserve"> (Padrón y Zúñiga, 2005)</w:t>
        </w:r>
        <w:r w:rsidR="00956E55">
          <w:rPr>
            <w:noProof/>
            <w:webHidden/>
          </w:rPr>
          <w:tab/>
        </w:r>
        <w:r>
          <w:rPr>
            <w:noProof/>
            <w:webHidden/>
          </w:rPr>
          <w:fldChar w:fldCharType="begin"/>
        </w:r>
        <w:r w:rsidR="00956E55">
          <w:rPr>
            <w:noProof/>
            <w:webHidden/>
          </w:rPr>
          <w:instrText xml:space="preserve"> PAGEREF _Toc325636323 \h </w:instrText>
        </w:r>
        <w:r>
          <w:rPr>
            <w:noProof/>
            <w:webHidden/>
          </w:rPr>
        </w:r>
        <w:r>
          <w:rPr>
            <w:noProof/>
            <w:webHidden/>
          </w:rPr>
          <w:fldChar w:fldCharType="separate"/>
        </w:r>
        <w:r w:rsidR="004A5F6F">
          <w:rPr>
            <w:noProof/>
            <w:webHidden/>
          </w:rPr>
          <w:t>101</w:t>
        </w:r>
        <w:r>
          <w:rPr>
            <w:noProof/>
            <w:webHidden/>
          </w:rPr>
          <w:fldChar w:fldCharType="end"/>
        </w:r>
      </w:hyperlink>
    </w:p>
    <w:p w:rsidR="00956E55"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5636324" w:history="1">
        <w:r w:rsidR="00956E55" w:rsidRPr="00956E55">
          <w:rPr>
            <w:rStyle w:val="Hipervnculo"/>
            <w:b/>
            <w:noProof/>
          </w:rPr>
          <w:t>Tabla N° 10:</w:t>
        </w:r>
        <w:r w:rsidR="00956E55" w:rsidRPr="008D2F95">
          <w:rPr>
            <w:rStyle w:val="Hipervnculo"/>
            <w:noProof/>
          </w:rPr>
          <w:t xml:space="preserve"> Contenido de agua total por destilación, en las</w:t>
        </w:r>
        <w:r w:rsidR="00380E9C">
          <w:rPr>
            <w:rStyle w:val="Hipervnculo"/>
            <w:noProof/>
          </w:rPr>
          <w:t xml:space="preserve"> fosas de producción en estudio</w:t>
        </w:r>
        <w:r w:rsidR="00956E55" w:rsidRPr="008D2F95">
          <w:rPr>
            <w:rStyle w:val="Hipervnculo"/>
            <w:noProof/>
          </w:rPr>
          <w:t xml:space="preserve"> (Rodríguez, en ejecución)</w:t>
        </w:r>
        <w:r w:rsidR="00956E55">
          <w:rPr>
            <w:noProof/>
            <w:webHidden/>
          </w:rPr>
          <w:tab/>
        </w:r>
        <w:r>
          <w:rPr>
            <w:noProof/>
            <w:webHidden/>
          </w:rPr>
          <w:fldChar w:fldCharType="begin"/>
        </w:r>
        <w:r w:rsidR="00956E55">
          <w:rPr>
            <w:noProof/>
            <w:webHidden/>
          </w:rPr>
          <w:instrText xml:space="preserve"> PAGEREF _Toc325636324 \h </w:instrText>
        </w:r>
        <w:r>
          <w:rPr>
            <w:noProof/>
            <w:webHidden/>
          </w:rPr>
        </w:r>
        <w:r>
          <w:rPr>
            <w:noProof/>
            <w:webHidden/>
          </w:rPr>
          <w:fldChar w:fldCharType="separate"/>
        </w:r>
        <w:r w:rsidR="004A5F6F">
          <w:rPr>
            <w:noProof/>
            <w:webHidden/>
          </w:rPr>
          <w:t>102</w:t>
        </w:r>
        <w:r>
          <w:rPr>
            <w:noProof/>
            <w:webHidden/>
          </w:rPr>
          <w:fldChar w:fldCharType="end"/>
        </w:r>
      </w:hyperlink>
    </w:p>
    <w:p w:rsidR="00956E55" w:rsidRDefault="00A73CD2" w:rsidP="00C21F97">
      <w:pPr>
        <w:pStyle w:val="Tabladeilustraciones"/>
        <w:tabs>
          <w:tab w:val="right" w:leader="dot" w:pos="8256"/>
        </w:tabs>
        <w:spacing w:line="360" w:lineRule="auto"/>
        <w:jc w:val="both"/>
        <w:rPr>
          <w:rFonts w:asciiTheme="minorHAnsi" w:eastAsiaTheme="minorEastAsia" w:hAnsiTheme="minorHAnsi" w:cstheme="minorBidi"/>
          <w:noProof/>
          <w:sz w:val="22"/>
          <w:szCs w:val="22"/>
          <w:lang w:val="en-US" w:eastAsia="en-US"/>
        </w:rPr>
      </w:pPr>
      <w:hyperlink w:anchor="_Toc325636325" w:history="1">
        <w:r w:rsidR="00956E55" w:rsidRPr="00956E55">
          <w:rPr>
            <w:rStyle w:val="Hipervnculo"/>
            <w:b/>
            <w:noProof/>
          </w:rPr>
          <w:t>Tabla N° 11:</w:t>
        </w:r>
        <w:r w:rsidR="00956E55" w:rsidRPr="008D2F95">
          <w:rPr>
            <w:rStyle w:val="Hipervnculo"/>
            <w:noProof/>
          </w:rPr>
          <w:t xml:space="preserve"> Resumen: Características y separación para cada </w:t>
        </w:r>
        <w:r w:rsidR="00C21F97">
          <w:rPr>
            <w:rStyle w:val="Hipervnculo"/>
            <w:noProof/>
          </w:rPr>
          <w:t>una de las fosas tratadas</w:t>
        </w:r>
        <w:r w:rsidR="00956E55">
          <w:rPr>
            <w:noProof/>
            <w:webHidden/>
          </w:rPr>
          <w:tab/>
        </w:r>
        <w:r>
          <w:rPr>
            <w:noProof/>
            <w:webHidden/>
          </w:rPr>
          <w:fldChar w:fldCharType="begin"/>
        </w:r>
        <w:r w:rsidR="00956E55">
          <w:rPr>
            <w:noProof/>
            <w:webHidden/>
          </w:rPr>
          <w:instrText xml:space="preserve"> PAGEREF _Toc325636325 \h </w:instrText>
        </w:r>
        <w:r>
          <w:rPr>
            <w:noProof/>
            <w:webHidden/>
          </w:rPr>
        </w:r>
        <w:r>
          <w:rPr>
            <w:noProof/>
            <w:webHidden/>
          </w:rPr>
          <w:fldChar w:fldCharType="separate"/>
        </w:r>
        <w:r w:rsidR="004A5F6F">
          <w:rPr>
            <w:noProof/>
            <w:webHidden/>
          </w:rPr>
          <w:t>104</w:t>
        </w:r>
        <w:r>
          <w:rPr>
            <w:noProof/>
            <w:webHidden/>
          </w:rPr>
          <w:fldChar w:fldCharType="end"/>
        </w:r>
      </w:hyperlink>
    </w:p>
    <w:p w:rsidR="00FB6855" w:rsidRDefault="00A73CD2" w:rsidP="00C76EB1">
      <w:pPr>
        <w:shd w:val="clear" w:color="auto" w:fill="FFFFFF"/>
        <w:spacing w:line="360" w:lineRule="auto"/>
        <w:jc w:val="both"/>
        <w:rPr>
          <w:b/>
          <w:szCs w:val="24"/>
        </w:rPr>
      </w:pPr>
      <w:r>
        <w:rPr>
          <w:b/>
          <w:szCs w:val="24"/>
        </w:rPr>
        <w:fldChar w:fldCharType="end"/>
      </w:r>
    </w:p>
    <w:p w:rsidR="00FB6855" w:rsidRDefault="00FB6855" w:rsidP="003A6929">
      <w:pPr>
        <w:shd w:val="clear" w:color="auto" w:fill="FFFFFF"/>
        <w:spacing w:line="360" w:lineRule="auto"/>
        <w:jc w:val="center"/>
        <w:rPr>
          <w:b/>
          <w:szCs w:val="24"/>
        </w:rPr>
      </w:pPr>
    </w:p>
    <w:p w:rsidR="00FB6855" w:rsidRDefault="00FB6855" w:rsidP="003A6929">
      <w:pPr>
        <w:shd w:val="clear" w:color="auto" w:fill="FFFFFF"/>
        <w:spacing w:line="360" w:lineRule="auto"/>
        <w:jc w:val="center"/>
        <w:rPr>
          <w:b/>
          <w:szCs w:val="24"/>
        </w:rPr>
      </w:pPr>
    </w:p>
    <w:p w:rsidR="00FB6855" w:rsidRDefault="00FB6855" w:rsidP="003A6929">
      <w:pPr>
        <w:shd w:val="clear" w:color="auto" w:fill="FFFFFF"/>
        <w:spacing w:line="360" w:lineRule="auto"/>
        <w:jc w:val="center"/>
        <w:rPr>
          <w:b/>
          <w:szCs w:val="24"/>
        </w:rPr>
      </w:pPr>
    </w:p>
    <w:p w:rsidR="00FB6855" w:rsidRDefault="00FB6855" w:rsidP="003A6929">
      <w:pPr>
        <w:shd w:val="clear" w:color="auto" w:fill="FFFFFF"/>
        <w:spacing w:line="360" w:lineRule="auto"/>
        <w:jc w:val="center"/>
        <w:rPr>
          <w:b/>
          <w:szCs w:val="24"/>
        </w:rPr>
      </w:pPr>
    </w:p>
    <w:p w:rsidR="00FB6855" w:rsidRDefault="00FB6855" w:rsidP="003A6929">
      <w:pPr>
        <w:shd w:val="clear" w:color="auto" w:fill="FFFFFF"/>
        <w:spacing w:line="360" w:lineRule="auto"/>
        <w:jc w:val="center"/>
        <w:rPr>
          <w:b/>
          <w:szCs w:val="24"/>
        </w:rPr>
      </w:pPr>
    </w:p>
    <w:p w:rsidR="00956E55" w:rsidRDefault="00956E55" w:rsidP="003A6929">
      <w:pPr>
        <w:shd w:val="clear" w:color="auto" w:fill="FFFFFF"/>
        <w:spacing w:line="360" w:lineRule="auto"/>
        <w:jc w:val="center"/>
        <w:rPr>
          <w:b/>
          <w:szCs w:val="24"/>
        </w:rPr>
        <w:sectPr w:rsidR="00956E55" w:rsidSect="004A5F6F">
          <w:pgSz w:w="12240" w:h="15840"/>
          <w:pgMar w:top="1699" w:right="1699" w:bottom="1699" w:left="2275" w:header="720" w:footer="720" w:gutter="0"/>
          <w:pgNumType w:fmt="lowerRoman"/>
          <w:cols w:space="720"/>
          <w:docGrid w:linePitch="360"/>
        </w:sectPr>
      </w:pPr>
    </w:p>
    <w:p w:rsidR="00D719B8" w:rsidRDefault="00C308AE" w:rsidP="005B74B4">
      <w:pPr>
        <w:pStyle w:val="Ttulo1"/>
      </w:pPr>
      <w:bookmarkStart w:id="6" w:name="_Toc327477999"/>
      <w:r>
        <w:lastRenderedPageBreak/>
        <w:t>INTRO</w:t>
      </w:r>
      <w:r w:rsidR="00FB6855">
        <w:t>DUCCIÓN</w:t>
      </w:r>
      <w:bookmarkEnd w:id="6"/>
    </w:p>
    <w:p w:rsidR="00DC281E" w:rsidRDefault="00355A67" w:rsidP="00C07B67">
      <w:pPr>
        <w:spacing w:line="360" w:lineRule="auto"/>
        <w:jc w:val="both"/>
        <w:rPr>
          <w:lang w:val="es-VE"/>
        </w:rPr>
      </w:pPr>
      <w:r>
        <w:rPr>
          <w:lang w:val="es-VE"/>
        </w:rPr>
        <w:tab/>
      </w:r>
      <w:r w:rsidR="005529A0">
        <w:rPr>
          <w:lang w:val="es-VE"/>
        </w:rPr>
        <w:t xml:space="preserve">El pasivo ambiental que constituyen las fosas de producción en Venezuela, producto de las operaciones de producción de crudo a lo largo de los años, ha </w:t>
      </w:r>
      <w:r w:rsidR="00E95631">
        <w:rPr>
          <w:lang w:val="es-VE"/>
        </w:rPr>
        <w:t>motivado</w:t>
      </w:r>
      <w:r w:rsidR="005529A0">
        <w:rPr>
          <w:lang w:val="es-VE"/>
        </w:rPr>
        <w:t xml:space="preserve"> la búsqueda </w:t>
      </w:r>
      <w:r w:rsidR="00E95631">
        <w:rPr>
          <w:lang w:val="es-VE"/>
        </w:rPr>
        <w:t xml:space="preserve">de </w:t>
      </w:r>
      <w:r w:rsidR="005529A0">
        <w:rPr>
          <w:lang w:val="es-VE"/>
        </w:rPr>
        <w:t>nuevas tecnologías para el saneamiento y</w:t>
      </w:r>
      <w:r w:rsidR="00DC281E">
        <w:rPr>
          <w:lang w:val="es-VE"/>
        </w:rPr>
        <w:t xml:space="preserve"> la posible</w:t>
      </w:r>
      <w:r w:rsidR="005529A0">
        <w:rPr>
          <w:lang w:val="es-VE"/>
        </w:rPr>
        <w:t xml:space="preserve"> recuperación de </w:t>
      </w:r>
      <w:r w:rsidR="00E95631">
        <w:rPr>
          <w:lang w:val="es-VE"/>
        </w:rPr>
        <w:t>hidrocarburos</w:t>
      </w:r>
      <w:r w:rsidR="005529A0">
        <w:rPr>
          <w:lang w:val="es-VE"/>
        </w:rPr>
        <w:t xml:space="preserve"> del material de fosas. Sin embargo,  hasta ahora las operaciones de saneamiento de fosas, llevadas a cabo por la industria petrolera nacional (PDVSA), han contemplado</w:t>
      </w:r>
      <w:r w:rsidR="00C45538">
        <w:rPr>
          <w:lang w:val="es-VE"/>
        </w:rPr>
        <w:t xml:space="preserve"> únicamente</w:t>
      </w:r>
      <w:r w:rsidR="005529A0">
        <w:rPr>
          <w:lang w:val="es-VE"/>
        </w:rPr>
        <w:t xml:space="preserve"> </w:t>
      </w:r>
      <w:r w:rsidR="00C45538">
        <w:rPr>
          <w:lang w:val="es-VE"/>
        </w:rPr>
        <w:t>el cegado</w:t>
      </w:r>
      <w:r w:rsidR="005529A0">
        <w:rPr>
          <w:lang w:val="es-VE"/>
        </w:rPr>
        <w:t xml:space="preserve"> de la fosa</w:t>
      </w:r>
      <w:r w:rsidR="00E95631">
        <w:rPr>
          <w:lang w:val="es-VE"/>
        </w:rPr>
        <w:t xml:space="preserve"> y la </w:t>
      </w:r>
      <w:r w:rsidR="00C45538">
        <w:rPr>
          <w:lang w:val="es-VE"/>
        </w:rPr>
        <w:t>recuperación</w:t>
      </w:r>
      <w:r w:rsidR="00E95631">
        <w:rPr>
          <w:lang w:val="es-VE"/>
        </w:rPr>
        <w:t xml:space="preserve"> del área afectada</w:t>
      </w:r>
      <w:r w:rsidR="005529A0">
        <w:rPr>
          <w:lang w:val="es-VE"/>
        </w:rPr>
        <w:t xml:space="preserve">. </w:t>
      </w:r>
      <w:r w:rsidR="00C45538">
        <w:rPr>
          <w:lang w:val="es-VE"/>
        </w:rPr>
        <w:t xml:space="preserve">Las </w:t>
      </w:r>
      <w:r w:rsidR="00DC281E">
        <w:rPr>
          <w:lang w:val="es-VE"/>
        </w:rPr>
        <w:t>políticas y normativas internacionales sobre el ambiente, cada día más severas, han obligado a países como Venezuela, a desarrollar leyes y ordenamientos jurídicos con miras a disminuir el pasivo ambient</w:t>
      </w:r>
      <w:r w:rsidR="00E051B8">
        <w:rPr>
          <w:lang w:val="es-VE"/>
        </w:rPr>
        <w:t xml:space="preserve">al que las operaciones de producción y procesamiento de crudo representan. Sin embargo, debido </w:t>
      </w:r>
      <w:r w:rsidR="00C45538">
        <w:rPr>
          <w:lang w:val="es-VE"/>
        </w:rPr>
        <w:t>a la falta de promoción</w:t>
      </w:r>
      <w:r w:rsidR="00E051B8">
        <w:rPr>
          <w:lang w:val="es-VE"/>
        </w:rPr>
        <w:t xml:space="preserve"> de políticas de conservación</w:t>
      </w:r>
      <w:r w:rsidR="00F76C18">
        <w:rPr>
          <w:lang w:val="es-VE"/>
        </w:rPr>
        <w:t xml:space="preserve">, no se ha desarrollado </w:t>
      </w:r>
      <w:r w:rsidR="005529A0">
        <w:rPr>
          <w:lang w:val="es-VE"/>
        </w:rPr>
        <w:t>aún</w:t>
      </w:r>
      <w:r w:rsidR="00F76C18">
        <w:rPr>
          <w:lang w:val="es-VE"/>
        </w:rPr>
        <w:t xml:space="preserve"> un plan de saneamiento de fosas que incluya un sistema </w:t>
      </w:r>
      <w:r w:rsidR="005529A0">
        <w:rPr>
          <w:lang w:val="es-VE"/>
        </w:rPr>
        <w:t xml:space="preserve">de tratamiento y recuperación lo suficientemente </w:t>
      </w:r>
      <w:r w:rsidR="00DC281E">
        <w:rPr>
          <w:lang w:val="es-VE"/>
        </w:rPr>
        <w:t xml:space="preserve">rápido, versátil y económicamente rentable para la recuperación de la fase orgánica del material de fosa. </w:t>
      </w:r>
      <w:r w:rsidR="000F52FC">
        <w:rPr>
          <w:lang w:val="es-VE"/>
        </w:rPr>
        <w:t>Es por ello que e</w:t>
      </w:r>
      <w:r w:rsidR="00DC281E">
        <w:rPr>
          <w:lang w:val="es-VE"/>
        </w:rPr>
        <w:t xml:space="preserve">l presente trabajo tiene </w:t>
      </w:r>
      <w:r w:rsidR="00F76C18">
        <w:rPr>
          <w:lang w:val="es-VE"/>
        </w:rPr>
        <w:t xml:space="preserve">como finalidad </w:t>
      </w:r>
      <w:r w:rsidR="000F52FC">
        <w:rPr>
          <w:lang w:val="es-VE"/>
        </w:rPr>
        <w:t xml:space="preserve">sentar las bases para el desarrollo de un sistema de recuperación de </w:t>
      </w:r>
      <w:r w:rsidR="009D0DB2">
        <w:rPr>
          <w:lang w:val="es-VE"/>
        </w:rPr>
        <w:t>hidrocarburo</w:t>
      </w:r>
      <w:r w:rsidR="000F52FC">
        <w:rPr>
          <w:lang w:val="es-VE"/>
        </w:rPr>
        <w:t xml:space="preserve"> a partir de material de fosa</w:t>
      </w:r>
      <w:r w:rsidR="00FD21B2">
        <w:rPr>
          <w:lang w:val="es-VE"/>
        </w:rPr>
        <w:t>.</w:t>
      </w:r>
    </w:p>
    <w:p w:rsidR="007642E8" w:rsidRDefault="00355A67" w:rsidP="00C07B67">
      <w:pPr>
        <w:spacing w:line="360" w:lineRule="auto"/>
        <w:jc w:val="both"/>
        <w:rPr>
          <w:lang w:val="es-VE"/>
        </w:rPr>
      </w:pPr>
      <w:r>
        <w:rPr>
          <w:lang w:val="es-VE"/>
        </w:rPr>
        <w:tab/>
      </w:r>
      <w:r w:rsidR="00A23F76">
        <w:rPr>
          <w:lang w:val="es-VE"/>
        </w:rPr>
        <w:t>Para esto</w:t>
      </w:r>
      <w:r w:rsidR="007642E8">
        <w:rPr>
          <w:lang w:val="es-VE"/>
        </w:rPr>
        <w:t>,</w:t>
      </w:r>
      <w:r w:rsidR="00A23F76">
        <w:rPr>
          <w:lang w:val="es-VE"/>
        </w:rPr>
        <w:t xml:space="preserve"> se propuso</w:t>
      </w:r>
      <w:r w:rsidR="000F52FC">
        <w:rPr>
          <w:lang w:val="es-VE"/>
        </w:rPr>
        <w:t xml:space="preserve"> emplear la </w:t>
      </w:r>
      <w:r w:rsidR="00A23F76">
        <w:rPr>
          <w:lang w:val="es-VE"/>
        </w:rPr>
        <w:t xml:space="preserve">técnica de </w:t>
      </w:r>
      <w:r w:rsidR="000F52FC">
        <w:rPr>
          <w:lang w:val="es-VE"/>
        </w:rPr>
        <w:t xml:space="preserve">deshidratación electrostática como mecanismo desestabilizador de </w:t>
      </w:r>
      <w:r w:rsidR="00FD21B2">
        <w:rPr>
          <w:lang w:val="es-VE"/>
        </w:rPr>
        <w:t xml:space="preserve">3 </w:t>
      </w:r>
      <w:r w:rsidR="009D0DB2">
        <w:rPr>
          <w:lang w:val="es-VE"/>
        </w:rPr>
        <w:t>fosas de producción</w:t>
      </w:r>
      <w:r w:rsidR="00FD21B2">
        <w:rPr>
          <w:lang w:val="es-VE"/>
        </w:rPr>
        <w:t xml:space="preserve">; </w:t>
      </w:r>
      <w:r>
        <w:rPr>
          <w:lang w:val="es-VE"/>
        </w:rPr>
        <w:t>Acema-100</w:t>
      </w:r>
      <w:r w:rsidR="00FD21B2">
        <w:rPr>
          <w:lang w:val="es-VE"/>
        </w:rPr>
        <w:t xml:space="preserve">, </w:t>
      </w:r>
      <w:r>
        <w:rPr>
          <w:lang w:val="es-VE"/>
        </w:rPr>
        <w:t>Merey-31</w:t>
      </w:r>
      <w:r w:rsidR="00FD21B2">
        <w:rPr>
          <w:lang w:val="es-VE"/>
        </w:rPr>
        <w:t xml:space="preserve"> y </w:t>
      </w:r>
      <w:r>
        <w:rPr>
          <w:lang w:val="es-VE"/>
        </w:rPr>
        <w:t>Guara-2</w:t>
      </w:r>
      <w:r w:rsidR="00FD21B2">
        <w:rPr>
          <w:lang w:val="es-VE"/>
        </w:rPr>
        <w:t xml:space="preserve"> </w:t>
      </w:r>
      <w:r w:rsidR="009D0DB2">
        <w:rPr>
          <w:lang w:val="es-VE"/>
        </w:rPr>
        <w:t xml:space="preserve">ubicadas en </w:t>
      </w:r>
      <w:r w:rsidR="00FD21B2">
        <w:rPr>
          <w:lang w:val="es-VE"/>
        </w:rPr>
        <w:t>el distrito San Tomé en el estado Anzoátegui.</w:t>
      </w:r>
      <w:r w:rsidR="004501D1">
        <w:rPr>
          <w:lang w:val="es-VE"/>
        </w:rPr>
        <w:t xml:space="preserve"> </w:t>
      </w:r>
      <w:r w:rsidR="00A23F76">
        <w:rPr>
          <w:lang w:val="es-VE"/>
        </w:rPr>
        <w:t xml:space="preserve">Debido a la alta estabilidad de </w:t>
      </w:r>
      <w:r w:rsidR="007642E8">
        <w:rPr>
          <w:lang w:val="es-VE"/>
        </w:rPr>
        <w:t>la emulsi</w:t>
      </w:r>
      <w:r w:rsidR="009D0DB2">
        <w:rPr>
          <w:lang w:val="es-VE"/>
        </w:rPr>
        <w:t>ón W/O presente en el material de fosa</w:t>
      </w:r>
      <w:r w:rsidR="007642E8">
        <w:rPr>
          <w:lang w:val="es-VE"/>
        </w:rPr>
        <w:t>, fue incorporado al proceso electrostático, un medio coalescedor con el objeto de promover la desestabilización y posterior coalescencia de las gotas</w:t>
      </w:r>
      <w:r w:rsidR="00C45538">
        <w:rPr>
          <w:lang w:val="es-VE"/>
        </w:rPr>
        <w:t xml:space="preserve"> de agua emulsionadas</w:t>
      </w:r>
      <w:r w:rsidR="007642E8">
        <w:rPr>
          <w:lang w:val="es-VE"/>
        </w:rPr>
        <w:t>.</w:t>
      </w:r>
      <w:r w:rsidR="00FD21B2">
        <w:rPr>
          <w:lang w:val="es-VE"/>
        </w:rPr>
        <w:t xml:space="preserve"> Para esto fue necesario desarrollar </w:t>
      </w:r>
      <w:r w:rsidR="009D0DB2">
        <w:rPr>
          <w:lang w:val="es-VE"/>
        </w:rPr>
        <w:t xml:space="preserve">un sistema </w:t>
      </w:r>
      <w:r w:rsidR="00C45538">
        <w:rPr>
          <w:lang w:val="es-VE"/>
        </w:rPr>
        <w:t>continuo de tratamiento.</w:t>
      </w:r>
    </w:p>
    <w:p w:rsidR="007642E8" w:rsidRDefault="00355A67" w:rsidP="00C07B67">
      <w:pPr>
        <w:autoSpaceDE w:val="0"/>
        <w:autoSpaceDN w:val="0"/>
        <w:adjustRightInd w:val="0"/>
        <w:spacing w:line="360" w:lineRule="auto"/>
        <w:jc w:val="both"/>
        <w:rPr>
          <w:rFonts w:ascii="TimesNewRoman" w:eastAsia="Calibri" w:hAnsi="TimesNewRoman" w:cs="TimesNewRoman"/>
          <w:sz w:val="23"/>
          <w:szCs w:val="23"/>
          <w:lang w:val="es-VE" w:eastAsia="en-US"/>
        </w:rPr>
      </w:pPr>
      <w:r>
        <w:rPr>
          <w:rFonts w:ascii="TimesNewRoman" w:eastAsia="Calibri" w:hAnsi="TimesNewRoman" w:cs="TimesNewRoman"/>
          <w:sz w:val="23"/>
          <w:szCs w:val="23"/>
          <w:lang w:val="es-VE" w:eastAsia="en-US"/>
        </w:rPr>
        <w:tab/>
      </w:r>
      <w:r w:rsidR="007642E8" w:rsidRPr="007642E8">
        <w:rPr>
          <w:rFonts w:ascii="TimesNewRoman" w:eastAsia="Calibri" w:hAnsi="TimesNewRoman" w:cs="TimesNewRoman"/>
          <w:sz w:val="23"/>
          <w:szCs w:val="23"/>
          <w:lang w:val="es-VE" w:eastAsia="en-US"/>
        </w:rPr>
        <w:t>En la actualidad</w:t>
      </w:r>
      <w:r w:rsidR="007642E8">
        <w:rPr>
          <w:rFonts w:ascii="TimesNewRoman" w:eastAsia="Calibri" w:hAnsi="TimesNewRoman" w:cs="TimesNewRoman"/>
          <w:sz w:val="23"/>
          <w:szCs w:val="23"/>
          <w:lang w:val="es-VE" w:eastAsia="en-US"/>
        </w:rPr>
        <w:t xml:space="preserve">, pese a todos los avances científico-técnicos en el área de deshidratación electrostática de crudo, </w:t>
      </w:r>
      <w:r w:rsidR="007642E8" w:rsidRPr="007642E8">
        <w:rPr>
          <w:rFonts w:ascii="TimesNewRoman" w:eastAsia="Calibri" w:hAnsi="TimesNewRoman" w:cs="TimesNewRoman"/>
          <w:sz w:val="23"/>
          <w:szCs w:val="23"/>
          <w:lang w:val="es-VE" w:eastAsia="en-US"/>
        </w:rPr>
        <w:t>un entendi</w:t>
      </w:r>
      <w:r w:rsidR="007642E8">
        <w:rPr>
          <w:rFonts w:ascii="TimesNewRoman" w:eastAsia="Calibri" w:hAnsi="TimesNewRoman" w:cs="TimesNewRoman"/>
          <w:sz w:val="23"/>
          <w:szCs w:val="23"/>
          <w:lang w:val="es-VE" w:eastAsia="en-US"/>
        </w:rPr>
        <w:t xml:space="preserve">miento profundo de los fenómenos que intervienen </w:t>
      </w:r>
      <w:r w:rsidR="00C45538">
        <w:rPr>
          <w:rFonts w:ascii="TimesNewRoman" w:eastAsia="Calibri" w:hAnsi="TimesNewRoman" w:cs="TimesNewRoman"/>
          <w:sz w:val="23"/>
          <w:szCs w:val="23"/>
          <w:lang w:val="es-VE" w:eastAsia="en-US"/>
        </w:rPr>
        <w:t>en el proceso de deshidratación electrostática</w:t>
      </w:r>
      <w:r w:rsidR="007642E8">
        <w:rPr>
          <w:rFonts w:ascii="TimesNewRoman" w:eastAsia="Calibri" w:hAnsi="TimesNewRoman" w:cs="TimesNewRoman"/>
          <w:sz w:val="23"/>
          <w:szCs w:val="23"/>
          <w:lang w:val="es-VE" w:eastAsia="en-US"/>
        </w:rPr>
        <w:t xml:space="preserve"> es aún </w:t>
      </w:r>
      <w:r w:rsidR="00FD21B2">
        <w:rPr>
          <w:rFonts w:ascii="TimesNewRoman" w:eastAsia="Calibri" w:hAnsi="TimesNewRoman" w:cs="TimesNewRoman"/>
          <w:sz w:val="23"/>
          <w:szCs w:val="23"/>
          <w:lang w:val="es-VE" w:eastAsia="en-US"/>
        </w:rPr>
        <w:t>bastante carente, debido a la complejidad de las interacciones físico-químicas e hidrodinámicas involucradas, más aún</w:t>
      </w:r>
      <w:r w:rsidR="00C45538">
        <w:rPr>
          <w:rFonts w:ascii="TimesNewRoman" w:eastAsia="Calibri" w:hAnsi="TimesNewRoman" w:cs="TimesNewRoman"/>
          <w:sz w:val="23"/>
          <w:szCs w:val="23"/>
          <w:lang w:val="es-VE" w:eastAsia="en-US"/>
        </w:rPr>
        <w:t>,</w:t>
      </w:r>
      <w:r w:rsidR="00FD21B2">
        <w:rPr>
          <w:rFonts w:ascii="TimesNewRoman" w:eastAsia="Calibri" w:hAnsi="TimesNewRoman" w:cs="TimesNewRoman"/>
          <w:sz w:val="23"/>
          <w:szCs w:val="23"/>
          <w:lang w:val="es-VE" w:eastAsia="en-US"/>
        </w:rPr>
        <w:t xml:space="preserve"> si se considera la presencia de un medio coalescedor en el sistema de tratamiento. </w:t>
      </w:r>
      <w:r w:rsidR="00FD21B2">
        <w:rPr>
          <w:rFonts w:ascii="TimesNewRoman" w:eastAsia="Calibri" w:hAnsi="TimesNewRoman" w:cs="TimesNewRoman"/>
          <w:sz w:val="23"/>
          <w:szCs w:val="23"/>
          <w:lang w:val="es-VE" w:eastAsia="en-US"/>
        </w:rPr>
        <w:lastRenderedPageBreak/>
        <w:t>Sin embargo, estudios anteriores, han afirmado que la fuerza desestabilizadora del medio coalescedor está asociada</w:t>
      </w:r>
      <w:r w:rsidR="00C45538">
        <w:rPr>
          <w:rFonts w:ascii="TimesNewRoman" w:eastAsia="Calibri" w:hAnsi="TimesNewRoman" w:cs="TimesNewRoman"/>
          <w:sz w:val="23"/>
          <w:szCs w:val="23"/>
          <w:lang w:val="es-VE" w:eastAsia="en-US"/>
        </w:rPr>
        <w:t xml:space="preserve"> a la mojabilidad del material </w:t>
      </w:r>
      <w:r w:rsidR="00F10EE0">
        <w:rPr>
          <w:rFonts w:ascii="TimesNewRoman" w:eastAsia="Calibri" w:hAnsi="TimesNewRoman" w:cs="TimesNewRoman"/>
          <w:sz w:val="23"/>
          <w:szCs w:val="23"/>
          <w:lang w:val="es-VE" w:eastAsia="en-US"/>
        </w:rPr>
        <w:t>(Serrano, 2002).</w:t>
      </w:r>
    </w:p>
    <w:p w:rsidR="009D0DB2" w:rsidRDefault="00355A67" w:rsidP="00C07B67">
      <w:pPr>
        <w:autoSpaceDE w:val="0"/>
        <w:autoSpaceDN w:val="0"/>
        <w:adjustRightInd w:val="0"/>
        <w:spacing w:line="360" w:lineRule="auto"/>
        <w:jc w:val="both"/>
        <w:rPr>
          <w:rFonts w:ascii="TimesNewRoman" w:eastAsia="Calibri" w:hAnsi="TimesNewRoman" w:cs="TimesNewRoman"/>
          <w:sz w:val="23"/>
          <w:szCs w:val="23"/>
          <w:lang w:val="es-VE" w:eastAsia="en-US"/>
        </w:rPr>
      </w:pPr>
      <w:r>
        <w:rPr>
          <w:rFonts w:ascii="TimesNewRoman" w:eastAsia="Calibri" w:hAnsi="TimesNewRoman" w:cs="TimesNewRoman"/>
          <w:sz w:val="23"/>
          <w:szCs w:val="23"/>
          <w:lang w:val="es-VE" w:eastAsia="en-US"/>
        </w:rPr>
        <w:tab/>
      </w:r>
      <w:r w:rsidR="00F10EE0">
        <w:rPr>
          <w:rFonts w:ascii="TimesNewRoman" w:eastAsia="Calibri" w:hAnsi="TimesNewRoman" w:cs="TimesNewRoman"/>
          <w:sz w:val="23"/>
          <w:szCs w:val="23"/>
          <w:lang w:val="es-VE" w:eastAsia="en-US"/>
        </w:rPr>
        <w:t>El uso de un medio coalescedor tiene la finalidad</w:t>
      </w:r>
      <w:r w:rsidR="00C45538">
        <w:rPr>
          <w:rFonts w:ascii="TimesNewRoman" w:eastAsia="Calibri" w:hAnsi="TimesNewRoman" w:cs="TimesNewRoman"/>
          <w:sz w:val="23"/>
          <w:szCs w:val="23"/>
          <w:lang w:val="es-VE" w:eastAsia="en-US"/>
        </w:rPr>
        <w:t xml:space="preserve"> </w:t>
      </w:r>
      <w:r w:rsidR="00F10EE0">
        <w:rPr>
          <w:rFonts w:ascii="TimesNewRoman" w:eastAsia="Calibri" w:hAnsi="TimesNewRoman" w:cs="TimesNewRoman"/>
          <w:sz w:val="23"/>
          <w:szCs w:val="23"/>
          <w:lang w:val="es-VE" w:eastAsia="en-US"/>
        </w:rPr>
        <w:t>de servir como promotor del mecanis</w:t>
      </w:r>
      <w:r w:rsidR="00C45538">
        <w:rPr>
          <w:rFonts w:ascii="TimesNewRoman" w:eastAsia="Calibri" w:hAnsi="TimesNewRoman" w:cs="TimesNewRoman"/>
          <w:sz w:val="23"/>
          <w:szCs w:val="23"/>
          <w:lang w:val="es-VE" w:eastAsia="en-US"/>
        </w:rPr>
        <w:t>mo de la coalescencia eléctrica a fin</w:t>
      </w:r>
      <w:r w:rsidR="00F10EE0">
        <w:rPr>
          <w:rFonts w:ascii="TimesNewRoman" w:eastAsia="Calibri" w:hAnsi="TimesNewRoman" w:cs="TimesNewRoman"/>
          <w:sz w:val="23"/>
          <w:szCs w:val="23"/>
          <w:lang w:val="es-VE" w:eastAsia="en-US"/>
        </w:rPr>
        <w:t xml:space="preserve"> de </w:t>
      </w:r>
      <w:r w:rsidR="00C45538">
        <w:rPr>
          <w:rFonts w:ascii="TimesNewRoman" w:eastAsia="Calibri" w:hAnsi="TimesNewRoman" w:cs="TimesNewRoman"/>
          <w:sz w:val="23"/>
          <w:szCs w:val="23"/>
          <w:lang w:val="es-VE" w:eastAsia="en-US"/>
        </w:rPr>
        <w:t>prescindir</w:t>
      </w:r>
      <w:r w:rsidR="00F10EE0">
        <w:rPr>
          <w:rFonts w:ascii="TimesNewRoman" w:eastAsia="Calibri" w:hAnsi="TimesNewRoman" w:cs="TimesNewRoman"/>
          <w:sz w:val="23"/>
          <w:szCs w:val="23"/>
          <w:lang w:val="es-VE" w:eastAsia="en-US"/>
        </w:rPr>
        <w:t xml:space="preserve"> </w:t>
      </w:r>
      <w:r w:rsidR="00C45538">
        <w:rPr>
          <w:rFonts w:ascii="TimesNewRoman" w:eastAsia="Calibri" w:hAnsi="TimesNewRoman" w:cs="TimesNewRoman"/>
          <w:sz w:val="23"/>
          <w:szCs w:val="23"/>
          <w:lang w:val="es-VE" w:eastAsia="en-US"/>
        </w:rPr>
        <w:t>d</w:t>
      </w:r>
      <w:r w:rsidR="00F10EE0">
        <w:rPr>
          <w:rFonts w:ascii="TimesNewRoman" w:eastAsia="Calibri" w:hAnsi="TimesNewRoman" w:cs="TimesNewRoman"/>
          <w:sz w:val="23"/>
          <w:szCs w:val="23"/>
          <w:lang w:val="es-VE" w:eastAsia="en-US"/>
        </w:rPr>
        <w:t xml:space="preserve">el uso de agentes químicos para la deshidratación de </w:t>
      </w:r>
      <w:r w:rsidR="009D0DB2">
        <w:rPr>
          <w:rFonts w:ascii="TimesNewRoman" w:eastAsia="Calibri" w:hAnsi="TimesNewRoman" w:cs="TimesNewRoman"/>
          <w:sz w:val="23"/>
          <w:szCs w:val="23"/>
          <w:lang w:val="es-VE" w:eastAsia="en-US"/>
        </w:rPr>
        <w:t>hidrocarburo</w:t>
      </w:r>
      <w:r w:rsidR="00F10EE0">
        <w:rPr>
          <w:rFonts w:ascii="TimesNewRoman" w:eastAsia="Calibri" w:hAnsi="TimesNewRoman" w:cs="TimesNewRoman"/>
          <w:sz w:val="23"/>
          <w:szCs w:val="23"/>
          <w:lang w:val="es-VE" w:eastAsia="en-US"/>
        </w:rPr>
        <w:t xml:space="preserve"> </w:t>
      </w:r>
      <w:r w:rsidR="00C45538">
        <w:rPr>
          <w:rFonts w:ascii="TimesNewRoman" w:eastAsia="Calibri" w:hAnsi="TimesNewRoman" w:cs="TimesNewRoman"/>
          <w:sz w:val="23"/>
          <w:szCs w:val="23"/>
          <w:lang w:val="es-VE" w:eastAsia="en-US"/>
        </w:rPr>
        <w:t>y</w:t>
      </w:r>
      <w:r w:rsidR="00F10EE0">
        <w:rPr>
          <w:rFonts w:ascii="TimesNewRoman" w:eastAsia="Calibri" w:hAnsi="TimesNewRoman" w:cs="TimesNewRoman"/>
          <w:sz w:val="23"/>
          <w:szCs w:val="23"/>
          <w:lang w:val="es-VE" w:eastAsia="en-US"/>
        </w:rPr>
        <w:t xml:space="preserve"> disminuir</w:t>
      </w:r>
      <w:r w:rsidR="00C45538">
        <w:rPr>
          <w:rFonts w:ascii="TimesNewRoman" w:eastAsia="Calibri" w:hAnsi="TimesNewRoman" w:cs="TimesNewRoman"/>
          <w:sz w:val="23"/>
          <w:szCs w:val="23"/>
          <w:lang w:val="es-VE" w:eastAsia="en-US"/>
        </w:rPr>
        <w:t xml:space="preserve"> así</w:t>
      </w:r>
      <w:r w:rsidR="00F10EE0">
        <w:rPr>
          <w:rFonts w:ascii="TimesNewRoman" w:eastAsia="Calibri" w:hAnsi="TimesNewRoman" w:cs="TimesNewRoman"/>
          <w:sz w:val="23"/>
          <w:szCs w:val="23"/>
          <w:lang w:val="es-VE" w:eastAsia="en-US"/>
        </w:rPr>
        <w:t xml:space="preserve"> el costo de operación asociado </w:t>
      </w:r>
      <w:r w:rsidR="009D0DB2">
        <w:rPr>
          <w:rFonts w:ascii="TimesNewRoman" w:eastAsia="Calibri" w:hAnsi="TimesNewRoman" w:cs="TimesNewRoman"/>
          <w:sz w:val="23"/>
          <w:szCs w:val="23"/>
          <w:lang w:val="es-VE" w:eastAsia="en-US"/>
        </w:rPr>
        <w:t>a la recup</w:t>
      </w:r>
      <w:r w:rsidR="00C45538">
        <w:rPr>
          <w:rFonts w:ascii="TimesNewRoman" w:eastAsia="Calibri" w:hAnsi="TimesNewRoman" w:cs="TimesNewRoman"/>
          <w:sz w:val="23"/>
          <w:szCs w:val="23"/>
          <w:lang w:val="es-VE" w:eastAsia="en-US"/>
        </w:rPr>
        <w:t>eración de hidrocarburos de material de fosas.</w:t>
      </w:r>
    </w:p>
    <w:p w:rsidR="00F10EE0" w:rsidRDefault="00355A67" w:rsidP="00C07B67">
      <w:pPr>
        <w:autoSpaceDE w:val="0"/>
        <w:autoSpaceDN w:val="0"/>
        <w:adjustRightInd w:val="0"/>
        <w:spacing w:line="360" w:lineRule="auto"/>
        <w:jc w:val="both"/>
        <w:rPr>
          <w:rFonts w:ascii="TimesNewRoman" w:eastAsia="Calibri" w:hAnsi="TimesNewRoman" w:cs="TimesNewRoman"/>
          <w:sz w:val="23"/>
          <w:szCs w:val="23"/>
          <w:lang w:val="es-VE" w:eastAsia="en-US"/>
        </w:rPr>
      </w:pPr>
      <w:r>
        <w:rPr>
          <w:rFonts w:ascii="TimesNewRoman" w:eastAsia="Calibri" w:hAnsi="TimesNewRoman" w:cs="TimesNewRoman"/>
          <w:sz w:val="23"/>
          <w:szCs w:val="23"/>
          <w:lang w:val="es-VE" w:eastAsia="en-US"/>
        </w:rPr>
        <w:tab/>
      </w:r>
      <w:r w:rsidR="00F10EE0">
        <w:rPr>
          <w:rFonts w:ascii="TimesNewRoman" w:eastAsia="Calibri" w:hAnsi="TimesNewRoman" w:cs="TimesNewRoman"/>
          <w:sz w:val="23"/>
          <w:szCs w:val="23"/>
          <w:lang w:val="es-VE" w:eastAsia="en-US"/>
        </w:rPr>
        <w:t>Este trabajo permiti</w:t>
      </w:r>
      <w:r w:rsidR="00C45538">
        <w:rPr>
          <w:rFonts w:ascii="TimesNewRoman" w:eastAsia="Calibri" w:hAnsi="TimesNewRoman" w:cs="TimesNewRoman"/>
          <w:sz w:val="23"/>
          <w:szCs w:val="23"/>
          <w:lang w:val="es-VE" w:eastAsia="en-US"/>
        </w:rPr>
        <w:t>ó i</w:t>
      </w:r>
      <w:r w:rsidR="00F10EE0">
        <w:rPr>
          <w:rFonts w:ascii="TimesNewRoman" w:eastAsia="Calibri" w:hAnsi="TimesNewRoman" w:cs="TimesNewRoman"/>
          <w:sz w:val="23"/>
          <w:szCs w:val="23"/>
          <w:lang w:val="es-VE" w:eastAsia="en-US"/>
        </w:rPr>
        <w:t>dentificar cuáles son</w:t>
      </w:r>
      <w:r w:rsidR="009D0DB2">
        <w:rPr>
          <w:rFonts w:ascii="TimesNewRoman" w:eastAsia="Calibri" w:hAnsi="TimesNewRoman" w:cs="TimesNewRoman"/>
          <w:sz w:val="23"/>
          <w:szCs w:val="23"/>
          <w:lang w:val="es-VE" w:eastAsia="en-US"/>
        </w:rPr>
        <w:t xml:space="preserve"> las</w:t>
      </w:r>
      <w:r w:rsidR="00F10EE0">
        <w:rPr>
          <w:rFonts w:ascii="TimesNewRoman" w:eastAsia="Calibri" w:hAnsi="TimesNewRoman" w:cs="TimesNewRoman"/>
          <w:sz w:val="23"/>
          <w:szCs w:val="23"/>
          <w:lang w:val="es-VE" w:eastAsia="en-US"/>
        </w:rPr>
        <w:t xml:space="preserve"> variables más importantes que rigen el proceso de deshidratación electrostática de material de fosa cuando se prescinde del uso de demulsificantes y se incluye un m</w:t>
      </w:r>
      <w:r w:rsidR="0001513A">
        <w:rPr>
          <w:rFonts w:ascii="TimesNewRoman" w:eastAsia="Calibri" w:hAnsi="TimesNewRoman" w:cs="TimesNewRoman"/>
          <w:sz w:val="23"/>
          <w:szCs w:val="23"/>
          <w:lang w:val="es-VE" w:eastAsia="en-US"/>
        </w:rPr>
        <w:t>edio coalescedor en el sis</w:t>
      </w:r>
      <w:r w:rsidR="009D0DB2">
        <w:rPr>
          <w:rFonts w:ascii="TimesNewRoman" w:eastAsia="Calibri" w:hAnsi="TimesNewRoman" w:cs="TimesNewRoman"/>
          <w:sz w:val="23"/>
          <w:szCs w:val="23"/>
          <w:lang w:val="es-VE" w:eastAsia="en-US"/>
        </w:rPr>
        <w:t xml:space="preserve">tema. </w:t>
      </w:r>
      <w:r w:rsidR="00C45538">
        <w:rPr>
          <w:rFonts w:ascii="TimesNewRoman" w:eastAsia="Calibri" w:hAnsi="TimesNewRoman" w:cs="TimesNewRoman"/>
          <w:sz w:val="23"/>
          <w:szCs w:val="23"/>
          <w:lang w:val="es-VE" w:eastAsia="en-US"/>
        </w:rPr>
        <w:t>Además</w:t>
      </w:r>
      <w:r w:rsidR="009D0DB2">
        <w:rPr>
          <w:rFonts w:ascii="TimesNewRoman" w:eastAsia="Calibri" w:hAnsi="TimesNewRoman" w:cs="TimesNewRoman"/>
          <w:sz w:val="23"/>
          <w:szCs w:val="23"/>
          <w:lang w:val="es-VE" w:eastAsia="en-US"/>
        </w:rPr>
        <w:t xml:space="preserve"> servirá como base para</w:t>
      </w:r>
      <w:r w:rsidR="0001513A">
        <w:rPr>
          <w:rFonts w:ascii="TimesNewRoman" w:eastAsia="Calibri" w:hAnsi="TimesNewRoman" w:cs="TimesNewRoman"/>
          <w:sz w:val="23"/>
          <w:szCs w:val="23"/>
          <w:lang w:val="es-VE" w:eastAsia="en-US"/>
        </w:rPr>
        <w:t xml:space="preserve"> el posterior desarrollo de trabajos de investigación que conviden la tecnología </w:t>
      </w:r>
      <w:r w:rsidR="009D0DB2">
        <w:rPr>
          <w:rFonts w:ascii="TimesNewRoman" w:eastAsia="Calibri" w:hAnsi="TimesNewRoman" w:cs="TimesNewRoman"/>
          <w:sz w:val="23"/>
          <w:szCs w:val="23"/>
          <w:lang w:val="es-VE" w:eastAsia="en-US"/>
        </w:rPr>
        <w:t>al</w:t>
      </w:r>
      <w:r w:rsidR="0001513A">
        <w:rPr>
          <w:rFonts w:ascii="TimesNewRoman" w:eastAsia="Calibri" w:hAnsi="TimesNewRoman" w:cs="TimesNewRoman"/>
          <w:sz w:val="23"/>
          <w:szCs w:val="23"/>
          <w:lang w:val="es-VE" w:eastAsia="en-US"/>
        </w:rPr>
        <w:t xml:space="preserve"> saneamiento y recuperación </w:t>
      </w:r>
      <w:r w:rsidR="009D0DB2">
        <w:rPr>
          <w:rFonts w:ascii="TimesNewRoman" w:eastAsia="Calibri" w:hAnsi="TimesNewRoman" w:cs="TimesNewRoman"/>
          <w:sz w:val="23"/>
          <w:szCs w:val="23"/>
          <w:lang w:val="es-VE" w:eastAsia="en-US"/>
        </w:rPr>
        <w:t>hidrocarburo presente en las</w:t>
      </w:r>
      <w:r w:rsidR="0001513A">
        <w:rPr>
          <w:rFonts w:ascii="TimesNewRoman" w:eastAsia="Calibri" w:hAnsi="TimesNewRoman" w:cs="TimesNewRoman"/>
          <w:sz w:val="23"/>
          <w:szCs w:val="23"/>
          <w:lang w:val="es-VE" w:eastAsia="en-US"/>
        </w:rPr>
        <w:t xml:space="preserve"> fosas de producción.</w:t>
      </w:r>
    </w:p>
    <w:p w:rsidR="00F10EE0" w:rsidRDefault="00F10EE0" w:rsidP="00E626EF">
      <w:pPr>
        <w:autoSpaceDE w:val="0"/>
        <w:autoSpaceDN w:val="0"/>
        <w:adjustRightInd w:val="0"/>
        <w:jc w:val="both"/>
        <w:rPr>
          <w:rFonts w:ascii="TimesNewRoman" w:eastAsia="Calibri" w:hAnsi="TimesNewRoman" w:cs="TimesNewRoman"/>
          <w:sz w:val="23"/>
          <w:szCs w:val="23"/>
          <w:lang w:val="es-VE" w:eastAsia="en-US"/>
        </w:rPr>
      </w:pPr>
    </w:p>
    <w:p w:rsidR="00FD21B2" w:rsidRDefault="00FD21B2" w:rsidP="00E626EF">
      <w:pPr>
        <w:autoSpaceDE w:val="0"/>
        <w:autoSpaceDN w:val="0"/>
        <w:adjustRightInd w:val="0"/>
        <w:jc w:val="both"/>
        <w:rPr>
          <w:rFonts w:ascii="TimesNewRoman" w:eastAsia="Calibri" w:hAnsi="TimesNewRoman" w:cs="TimesNewRoman"/>
          <w:sz w:val="23"/>
          <w:szCs w:val="23"/>
          <w:lang w:val="es-VE" w:eastAsia="en-US"/>
        </w:rPr>
      </w:pPr>
    </w:p>
    <w:p w:rsidR="00FD21B2" w:rsidRPr="007642E8" w:rsidRDefault="00FD21B2" w:rsidP="00E626EF">
      <w:pPr>
        <w:autoSpaceDE w:val="0"/>
        <w:autoSpaceDN w:val="0"/>
        <w:adjustRightInd w:val="0"/>
        <w:jc w:val="both"/>
        <w:rPr>
          <w:rFonts w:ascii="TimesNewRoman" w:eastAsia="Calibri" w:hAnsi="TimesNewRoman" w:cs="TimesNewRoman"/>
          <w:sz w:val="23"/>
          <w:szCs w:val="23"/>
          <w:lang w:val="es-VE" w:eastAsia="en-US"/>
        </w:rPr>
      </w:pPr>
    </w:p>
    <w:p w:rsidR="00DC281E" w:rsidRPr="005529A0" w:rsidRDefault="00DC281E" w:rsidP="00E626EF">
      <w:pPr>
        <w:jc w:val="both"/>
        <w:rPr>
          <w:lang w:val="es-VE"/>
        </w:rPr>
      </w:pPr>
    </w:p>
    <w:p w:rsidR="00FB6855" w:rsidRDefault="00FB6855" w:rsidP="00E626EF">
      <w:pPr>
        <w:shd w:val="clear" w:color="auto" w:fill="FFFFFF"/>
        <w:spacing w:line="360" w:lineRule="auto"/>
        <w:jc w:val="both"/>
        <w:rPr>
          <w:b/>
          <w:szCs w:val="24"/>
        </w:rPr>
      </w:pPr>
    </w:p>
    <w:p w:rsidR="00FB6855" w:rsidRDefault="00FB6855" w:rsidP="00E626EF">
      <w:pPr>
        <w:shd w:val="clear" w:color="auto" w:fill="FFFFFF"/>
        <w:spacing w:line="360" w:lineRule="auto"/>
        <w:jc w:val="both"/>
        <w:rPr>
          <w:b/>
          <w:szCs w:val="24"/>
        </w:rPr>
      </w:pPr>
    </w:p>
    <w:p w:rsidR="00FB6855" w:rsidRDefault="00FB6855" w:rsidP="00E626EF">
      <w:pPr>
        <w:shd w:val="clear" w:color="auto" w:fill="FFFFFF"/>
        <w:spacing w:line="360" w:lineRule="auto"/>
        <w:jc w:val="both"/>
        <w:rPr>
          <w:b/>
          <w:szCs w:val="24"/>
        </w:rPr>
      </w:pPr>
    </w:p>
    <w:p w:rsidR="00FB6855" w:rsidRDefault="00FB6855" w:rsidP="00E626EF">
      <w:pPr>
        <w:shd w:val="clear" w:color="auto" w:fill="FFFFFF"/>
        <w:spacing w:line="360" w:lineRule="auto"/>
        <w:jc w:val="both"/>
        <w:rPr>
          <w:b/>
          <w:szCs w:val="24"/>
        </w:rPr>
      </w:pPr>
    </w:p>
    <w:p w:rsidR="00FB6855" w:rsidRDefault="00FB6855" w:rsidP="00E626EF">
      <w:pPr>
        <w:shd w:val="clear" w:color="auto" w:fill="FFFFFF"/>
        <w:spacing w:line="360" w:lineRule="auto"/>
        <w:jc w:val="both"/>
        <w:rPr>
          <w:b/>
          <w:szCs w:val="24"/>
        </w:rPr>
      </w:pPr>
    </w:p>
    <w:p w:rsidR="00FB6855" w:rsidRDefault="00FB6855" w:rsidP="00E626EF">
      <w:pPr>
        <w:shd w:val="clear" w:color="auto" w:fill="FFFFFF"/>
        <w:spacing w:line="360" w:lineRule="auto"/>
        <w:jc w:val="both"/>
        <w:rPr>
          <w:b/>
          <w:szCs w:val="24"/>
        </w:rPr>
      </w:pPr>
    </w:p>
    <w:p w:rsidR="00FB6855" w:rsidRDefault="00FB6855" w:rsidP="00E626EF">
      <w:pPr>
        <w:shd w:val="clear" w:color="auto" w:fill="FFFFFF"/>
        <w:spacing w:line="360" w:lineRule="auto"/>
        <w:jc w:val="both"/>
        <w:rPr>
          <w:b/>
          <w:szCs w:val="24"/>
        </w:rPr>
      </w:pPr>
    </w:p>
    <w:p w:rsidR="00FB6855" w:rsidRDefault="00FB6855" w:rsidP="00E626EF">
      <w:pPr>
        <w:shd w:val="clear" w:color="auto" w:fill="FFFFFF"/>
        <w:spacing w:line="360" w:lineRule="auto"/>
        <w:jc w:val="both"/>
        <w:rPr>
          <w:b/>
          <w:szCs w:val="24"/>
        </w:rPr>
      </w:pPr>
    </w:p>
    <w:p w:rsidR="00FB6855" w:rsidRDefault="00FB6855" w:rsidP="00E626EF">
      <w:pPr>
        <w:shd w:val="clear" w:color="auto" w:fill="FFFFFF"/>
        <w:spacing w:line="360" w:lineRule="auto"/>
        <w:jc w:val="both"/>
        <w:rPr>
          <w:b/>
          <w:szCs w:val="24"/>
        </w:rPr>
      </w:pPr>
    </w:p>
    <w:p w:rsidR="00FB6855" w:rsidRDefault="00FB6855" w:rsidP="003A6929">
      <w:pPr>
        <w:shd w:val="clear" w:color="auto" w:fill="FFFFFF"/>
        <w:spacing w:line="360" w:lineRule="auto"/>
        <w:jc w:val="center"/>
        <w:rPr>
          <w:b/>
          <w:szCs w:val="24"/>
        </w:rPr>
      </w:pPr>
    </w:p>
    <w:p w:rsidR="002C10C0" w:rsidRDefault="002C10C0" w:rsidP="003A6929">
      <w:pPr>
        <w:shd w:val="clear" w:color="auto" w:fill="FFFFFF"/>
        <w:spacing w:line="360" w:lineRule="auto"/>
        <w:jc w:val="center"/>
        <w:rPr>
          <w:b/>
          <w:szCs w:val="24"/>
        </w:rPr>
        <w:sectPr w:rsidR="002C10C0" w:rsidSect="00AC239A">
          <w:footerReference w:type="default" r:id="rId10"/>
          <w:pgSz w:w="12240" w:h="15840"/>
          <w:pgMar w:top="1699" w:right="1699" w:bottom="1699" w:left="2275" w:header="720" w:footer="720" w:gutter="0"/>
          <w:pgNumType w:start="1"/>
          <w:cols w:space="720"/>
          <w:docGrid w:linePitch="360"/>
        </w:sectPr>
      </w:pPr>
    </w:p>
    <w:p w:rsidR="00555CE1" w:rsidRDefault="00E92FF1" w:rsidP="005B74B4">
      <w:pPr>
        <w:pStyle w:val="Ttulo1"/>
      </w:pPr>
      <w:bookmarkStart w:id="7" w:name="_Toc327478000"/>
      <w:bookmarkStart w:id="8" w:name="_Toc299209436"/>
      <w:bookmarkStart w:id="9" w:name="_Toc299209440"/>
      <w:r w:rsidRPr="002C10C0">
        <w:lastRenderedPageBreak/>
        <w:t>CAPITULO I</w:t>
      </w:r>
      <w:bookmarkEnd w:id="7"/>
    </w:p>
    <w:p w:rsidR="00E92FF1" w:rsidRPr="002C10C0" w:rsidRDefault="00E92FF1" w:rsidP="005B74B4">
      <w:pPr>
        <w:pStyle w:val="Ttulo1"/>
      </w:pPr>
      <w:r w:rsidRPr="002C10C0">
        <w:t xml:space="preserve"> </w:t>
      </w:r>
      <w:bookmarkStart w:id="10" w:name="_Toc327478001"/>
      <w:r w:rsidRPr="002C10C0">
        <w:t>FUNDAMENTOS DE LA INVESTIGACION</w:t>
      </w:r>
      <w:bookmarkEnd w:id="8"/>
      <w:bookmarkEnd w:id="10"/>
      <w:r w:rsidR="00A73CD2" w:rsidRPr="002C10C0">
        <w:fldChar w:fldCharType="begin"/>
      </w:r>
      <w:r w:rsidRPr="002C10C0">
        <w:instrText xml:space="preserve"> XE "CAPITULO I\: FUNDAMENTOS DE LA INVESTIGACION" </w:instrText>
      </w:r>
      <w:r w:rsidR="00A73CD2" w:rsidRPr="002C10C0">
        <w:fldChar w:fldCharType="end"/>
      </w:r>
    </w:p>
    <w:p w:rsidR="00E92FF1" w:rsidRPr="002C10C0" w:rsidRDefault="00B375C6" w:rsidP="002C10C0">
      <w:pPr>
        <w:pStyle w:val="Ttulo2"/>
        <w:spacing w:line="360" w:lineRule="auto"/>
        <w:rPr>
          <w:rFonts w:ascii="Times New Roman" w:hAnsi="Times New Roman" w:cs="Times New Roman"/>
          <w:color w:val="auto"/>
          <w:sz w:val="24"/>
          <w:szCs w:val="24"/>
        </w:rPr>
      </w:pPr>
      <w:bookmarkStart w:id="11" w:name="_Toc327478002"/>
      <w:r>
        <w:rPr>
          <w:rFonts w:ascii="Times New Roman" w:hAnsi="Times New Roman" w:cs="Times New Roman"/>
          <w:color w:val="auto"/>
          <w:sz w:val="24"/>
          <w:szCs w:val="24"/>
        </w:rPr>
        <w:t xml:space="preserve">1.1 </w:t>
      </w:r>
      <w:r w:rsidR="00E92FF1" w:rsidRPr="002C10C0">
        <w:rPr>
          <w:rFonts w:ascii="Times New Roman" w:hAnsi="Times New Roman" w:cs="Times New Roman"/>
          <w:color w:val="auto"/>
          <w:sz w:val="24"/>
          <w:szCs w:val="24"/>
        </w:rPr>
        <w:t>PLANTEAMIENTO DEL PROBLEMA</w:t>
      </w:r>
      <w:bookmarkEnd w:id="11"/>
    </w:p>
    <w:p w:rsidR="00E92FF1" w:rsidRPr="008E6002" w:rsidRDefault="00E92FF1" w:rsidP="00E92FF1">
      <w:pPr>
        <w:autoSpaceDE w:val="0"/>
        <w:autoSpaceDN w:val="0"/>
        <w:adjustRightInd w:val="0"/>
        <w:spacing w:line="360" w:lineRule="auto"/>
        <w:ind w:firstLine="360"/>
        <w:jc w:val="both"/>
        <w:rPr>
          <w:rFonts w:eastAsia="Calibri"/>
          <w:szCs w:val="24"/>
        </w:rPr>
      </w:pPr>
      <w:bookmarkStart w:id="12" w:name="_Toc299209438"/>
      <w:r w:rsidRPr="008E6002">
        <w:rPr>
          <w:rFonts w:eastAsia="Calibri"/>
          <w:szCs w:val="24"/>
        </w:rPr>
        <w:t xml:space="preserve">En la industria petrolera, los desechos de las actividades de exploración y producción se han depositado en excavaciones adyacentes a los pozos petroleros, llamadas fosas de producción, donde se </w:t>
      </w:r>
      <w:r>
        <w:rPr>
          <w:rFonts w:eastAsia="Calibri"/>
          <w:szCs w:val="24"/>
        </w:rPr>
        <w:t>encuentran</w:t>
      </w:r>
      <w:r w:rsidRPr="008E6002">
        <w:rPr>
          <w:rFonts w:eastAsia="Calibri"/>
          <w:szCs w:val="24"/>
        </w:rPr>
        <w:t xml:space="preserve"> hidrocarburos, mezclados principalmente con agua y sólidos finos, formando una mezcla (emulsión-suspensión) de difícil separación, debido a la presencia de estabilizantes (sólidos, químicos sintéticos y/o naturales).</w:t>
      </w:r>
      <w:bookmarkEnd w:id="12"/>
      <w:r w:rsidRPr="008E6002">
        <w:rPr>
          <w:rFonts w:eastAsia="Calibri"/>
          <w:szCs w:val="24"/>
        </w:rPr>
        <w:t xml:space="preserve"> </w:t>
      </w:r>
    </w:p>
    <w:p w:rsidR="00E92FF1" w:rsidRPr="008E6002" w:rsidRDefault="00E626EF" w:rsidP="00E626EF">
      <w:pPr>
        <w:autoSpaceDE w:val="0"/>
        <w:autoSpaceDN w:val="0"/>
        <w:adjustRightInd w:val="0"/>
        <w:spacing w:line="360" w:lineRule="auto"/>
        <w:jc w:val="both"/>
        <w:rPr>
          <w:rFonts w:eastAsia="Calibri"/>
          <w:szCs w:val="24"/>
        </w:rPr>
      </w:pPr>
      <w:bookmarkStart w:id="13" w:name="_Toc299209439"/>
      <w:r>
        <w:rPr>
          <w:rStyle w:val="apple-style-span"/>
        </w:rPr>
        <w:tab/>
      </w:r>
      <w:r w:rsidR="00E92FF1" w:rsidRPr="008E6002">
        <w:rPr>
          <w:rStyle w:val="apple-style-span"/>
        </w:rPr>
        <w:t>Entre el oriente del país y el Estado Zulia hay más de 1</w:t>
      </w:r>
      <w:r w:rsidR="00E92FF1">
        <w:rPr>
          <w:rStyle w:val="apple-style-span"/>
        </w:rPr>
        <w:t>3</w:t>
      </w:r>
      <w:r w:rsidR="00E92FF1" w:rsidRPr="008E6002">
        <w:rPr>
          <w:rStyle w:val="apple-style-span"/>
        </w:rPr>
        <w:t xml:space="preserve"> mil fosas de residuos petroleros que no han recibido el tratamiento necesario para evitar mayores daños al ambiente y a la salud de los habitantes circunvecinos, constituyendo esto un pasivo ambiental para la industria petrolera y la nación</w:t>
      </w:r>
      <w:bookmarkEnd w:id="13"/>
      <w:r w:rsidR="00E92FF1" w:rsidRPr="00C26D59">
        <w:rPr>
          <w:rStyle w:val="apple-style-span"/>
        </w:rPr>
        <w:t xml:space="preserve"> </w:t>
      </w:r>
      <w:r w:rsidR="00E92FF1">
        <w:rPr>
          <w:rStyle w:val="apple-style-span"/>
        </w:rPr>
        <w:t>(MINCI, 2006).</w:t>
      </w:r>
    </w:p>
    <w:p w:rsidR="00E626EF" w:rsidRDefault="00D57AEC" w:rsidP="00D57AEC">
      <w:pPr>
        <w:autoSpaceDE w:val="0"/>
        <w:autoSpaceDN w:val="0"/>
        <w:adjustRightInd w:val="0"/>
        <w:spacing w:line="360" w:lineRule="auto"/>
        <w:ind w:firstLine="720"/>
        <w:jc w:val="both"/>
        <w:rPr>
          <w:rFonts w:eastAsia="Calibri"/>
          <w:szCs w:val="24"/>
        </w:rPr>
      </w:pPr>
      <w:r w:rsidRPr="008E6002">
        <w:rPr>
          <w:rFonts w:eastAsia="Calibri"/>
          <w:szCs w:val="24"/>
        </w:rPr>
        <w:t xml:space="preserve">En las fosas de producción, una parte del agua presente se encuentra íntimamente combinada con el </w:t>
      </w:r>
      <w:r>
        <w:rPr>
          <w:rFonts w:eastAsia="Calibri"/>
          <w:szCs w:val="24"/>
        </w:rPr>
        <w:t>hidrocarburo</w:t>
      </w:r>
      <w:r w:rsidRPr="008E6002">
        <w:rPr>
          <w:rFonts w:eastAsia="Calibri"/>
          <w:szCs w:val="24"/>
        </w:rPr>
        <w:t xml:space="preserve"> en forma de emulsión, lo que hace que la separación </w:t>
      </w:r>
      <w:r>
        <w:rPr>
          <w:rFonts w:eastAsia="Calibri"/>
          <w:szCs w:val="24"/>
        </w:rPr>
        <w:t xml:space="preserve">de </w:t>
      </w:r>
      <w:r w:rsidR="008D3A20">
        <w:rPr>
          <w:rFonts w:eastAsia="Calibri"/>
          <w:szCs w:val="24"/>
        </w:rPr>
        <w:t>fases</w:t>
      </w:r>
      <w:r>
        <w:rPr>
          <w:rFonts w:eastAsia="Calibri"/>
          <w:szCs w:val="24"/>
        </w:rPr>
        <w:t xml:space="preserve"> </w:t>
      </w:r>
      <w:r w:rsidRPr="008E6002">
        <w:rPr>
          <w:rFonts w:eastAsia="Calibri"/>
          <w:szCs w:val="24"/>
        </w:rPr>
        <w:t xml:space="preserve">sea </w:t>
      </w:r>
      <w:r>
        <w:rPr>
          <w:rFonts w:eastAsia="Calibri"/>
          <w:szCs w:val="24"/>
        </w:rPr>
        <w:t>complicada. E</w:t>
      </w:r>
      <w:r w:rsidRPr="008E6002">
        <w:rPr>
          <w:rFonts w:eastAsia="Calibri"/>
          <w:szCs w:val="24"/>
        </w:rPr>
        <w:t>sta separación constituye un reto mayor en comparación a la desestabilización-separación normal que realiza la industria petrolera</w:t>
      </w:r>
      <w:r>
        <w:rPr>
          <w:rFonts w:eastAsia="Calibri"/>
          <w:szCs w:val="24"/>
        </w:rPr>
        <w:t xml:space="preserve"> </w:t>
      </w:r>
      <w:r w:rsidR="008D3A20">
        <w:rPr>
          <w:rFonts w:eastAsia="Calibri"/>
          <w:szCs w:val="24"/>
        </w:rPr>
        <w:t>a boca de pozo</w:t>
      </w:r>
      <w:r w:rsidRPr="008E6002">
        <w:rPr>
          <w:rFonts w:eastAsia="Calibri"/>
          <w:szCs w:val="24"/>
        </w:rPr>
        <w:t xml:space="preserve"> debido</w:t>
      </w:r>
      <w:r w:rsidR="008D3A20">
        <w:rPr>
          <w:rFonts w:eastAsia="Calibri"/>
          <w:szCs w:val="24"/>
        </w:rPr>
        <w:t>,</w:t>
      </w:r>
      <w:r w:rsidRPr="008E6002">
        <w:rPr>
          <w:rFonts w:eastAsia="Calibri"/>
          <w:szCs w:val="24"/>
        </w:rPr>
        <w:t xml:space="preserve"> principalmente</w:t>
      </w:r>
      <w:r w:rsidR="008D3A20">
        <w:rPr>
          <w:rFonts w:eastAsia="Calibri"/>
          <w:szCs w:val="24"/>
        </w:rPr>
        <w:t>,</w:t>
      </w:r>
      <w:r w:rsidRPr="008E6002">
        <w:rPr>
          <w:rFonts w:eastAsia="Calibri"/>
          <w:szCs w:val="24"/>
        </w:rPr>
        <w:t xml:space="preserve"> a </w:t>
      </w:r>
      <w:r>
        <w:rPr>
          <w:rFonts w:eastAsia="Calibri"/>
          <w:szCs w:val="24"/>
        </w:rPr>
        <w:t xml:space="preserve">la </w:t>
      </w:r>
      <w:r w:rsidR="008D3A20">
        <w:rPr>
          <w:rFonts w:eastAsia="Calibri"/>
          <w:szCs w:val="24"/>
        </w:rPr>
        <w:t xml:space="preserve">alta </w:t>
      </w:r>
      <w:r w:rsidRPr="008E6002">
        <w:rPr>
          <w:rFonts w:eastAsia="Calibri"/>
          <w:szCs w:val="24"/>
        </w:rPr>
        <w:t>estabilidad de estas emulsiones.</w:t>
      </w:r>
      <w:bookmarkStart w:id="14" w:name="_Toc299209441"/>
      <w:bookmarkEnd w:id="9"/>
    </w:p>
    <w:p w:rsidR="00D57AEC" w:rsidRPr="00E626EF" w:rsidRDefault="00D57AEC" w:rsidP="00D57AEC">
      <w:pPr>
        <w:autoSpaceDE w:val="0"/>
        <w:autoSpaceDN w:val="0"/>
        <w:adjustRightInd w:val="0"/>
        <w:spacing w:line="360" w:lineRule="auto"/>
        <w:ind w:firstLine="720"/>
        <w:jc w:val="both"/>
        <w:rPr>
          <w:rFonts w:eastAsia="Calibri"/>
          <w:szCs w:val="24"/>
        </w:rPr>
      </w:pPr>
      <w:r w:rsidRPr="008E6002">
        <w:rPr>
          <w:rFonts w:eastAsia="Calibri"/>
          <w:szCs w:val="24"/>
        </w:rPr>
        <w:t>La separación electrostática es una técnica de desestabilización-separación de emulsiones que se emplea a nivel industrial</w:t>
      </w:r>
      <w:r>
        <w:rPr>
          <w:rFonts w:eastAsia="Calibri"/>
          <w:szCs w:val="24"/>
        </w:rPr>
        <w:t>,</w:t>
      </w:r>
      <w:r w:rsidRPr="008E6002">
        <w:rPr>
          <w:rFonts w:eastAsia="Calibri"/>
          <w:szCs w:val="24"/>
        </w:rPr>
        <w:t xml:space="preserve"> en procesos de deshidratación y desalación. Dentro de sus principales variables destacan: el voltaje aplicado, la frecuencia, la geometría y disposición espacial de los electrodos, el tipo y tiempo de aplicación de la corriente, las propiedades reológicas de la emu</w:t>
      </w:r>
      <w:r>
        <w:rPr>
          <w:rFonts w:eastAsia="Calibri"/>
          <w:szCs w:val="24"/>
        </w:rPr>
        <w:t>lsión, y la concentración de de</w:t>
      </w:r>
      <w:r w:rsidRPr="008E6002">
        <w:rPr>
          <w:rFonts w:eastAsia="Calibri"/>
          <w:szCs w:val="24"/>
        </w:rPr>
        <w:t>mulsificante. Esta técnica se basa en la aplicación de alto voltaje a la emulsión, a fin de que la fase dispersa (gotas de agua dispersas en el hidrocarburo) reaccionen frente a este campo según los diversos fenómenos posibles (atracción dipolo-dipolo, electroforésis, dieletroforésis) y ocurra la coalescencia.</w:t>
      </w:r>
      <w:bookmarkEnd w:id="14"/>
      <w:r w:rsidRPr="008E6002">
        <w:rPr>
          <w:rFonts w:eastAsia="Calibri"/>
          <w:szCs w:val="24"/>
        </w:rPr>
        <w:t xml:space="preserve"> </w:t>
      </w:r>
    </w:p>
    <w:p w:rsidR="00D57AEC" w:rsidRPr="008E6002" w:rsidRDefault="00D57AEC" w:rsidP="00D57AEC">
      <w:pPr>
        <w:autoSpaceDE w:val="0"/>
        <w:autoSpaceDN w:val="0"/>
        <w:adjustRightInd w:val="0"/>
        <w:spacing w:line="360" w:lineRule="auto"/>
        <w:ind w:firstLine="720"/>
        <w:jc w:val="both"/>
        <w:rPr>
          <w:szCs w:val="24"/>
        </w:rPr>
      </w:pPr>
      <w:bookmarkStart w:id="15" w:name="_Toc299209442"/>
      <w:r w:rsidRPr="008E6002">
        <w:rPr>
          <w:szCs w:val="24"/>
        </w:rPr>
        <w:lastRenderedPageBreak/>
        <w:t xml:space="preserve">El estudio del proceso de coalescencia es sumamente amplio y abarca numerosos tópicos. Hoy en día mucho de los fenómenos que intervienen en este proceso no están bien comprendidos pese a todos los avances científicos y tecnológicos </w:t>
      </w:r>
      <w:r w:rsidR="008D3A20">
        <w:rPr>
          <w:szCs w:val="24"/>
        </w:rPr>
        <w:t>logrados</w:t>
      </w:r>
      <w:r w:rsidRPr="008E6002">
        <w:rPr>
          <w:szCs w:val="24"/>
        </w:rPr>
        <w:t xml:space="preserve"> en los últimos 20 años.</w:t>
      </w:r>
      <w:bookmarkEnd w:id="15"/>
    </w:p>
    <w:p w:rsidR="00D57AEC" w:rsidRPr="008E6002" w:rsidRDefault="00D57AEC" w:rsidP="00D57AEC">
      <w:pPr>
        <w:autoSpaceDE w:val="0"/>
        <w:autoSpaceDN w:val="0"/>
        <w:adjustRightInd w:val="0"/>
        <w:spacing w:line="360" w:lineRule="auto"/>
        <w:ind w:firstLine="720"/>
        <w:jc w:val="both"/>
        <w:rPr>
          <w:szCs w:val="24"/>
        </w:rPr>
      </w:pPr>
      <w:bookmarkStart w:id="16" w:name="_Toc299209443"/>
      <w:r w:rsidRPr="008E6002">
        <w:rPr>
          <w:szCs w:val="24"/>
        </w:rPr>
        <w:t>En el L</w:t>
      </w:r>
      <w:r>
        <w:rPr>
          <w:szCs w:val="24"/>
        </w:rPr>
        <w:t xml:space="preserve">aboratorio de Separaciones </w:t>
      </w:r>
      <w:r w:rsidRPr="008E6002">
        <w:rPr>
          <w:szCs w:val="24"/>
        </w:rPr>
        <w:t>M</w:t>
      </w:r>
      <w:r>
        <w:rPr>
          <w:szCs w:val="24"/>
        </w:rPr>
        <w:t xml:space="preserve">ecánicas (LSM) de la </w:t>
      </w:r>
      <w:r w:rsidRPr="008E6002">
        <w:rPr>
          <w:szCs w:val="24"/>
        </w:rPr>
        <w:t>UCV</w:t>
      </w:r>
      <w:r>
        <w:rPr>
          <w:szCs w:val="24"/>
        </w:rPr>
        <w:t>,</w:t>
      </w:r>
      <w:r w:rsidRPr="008E6002">
        <w:rPr>
          <w:szCs w:val="24"/>
        </w:rPr>
        <w:t xml:space="preserve"> </w:t>
      </w:r>
      <w:r>
        <w:rPr>
          <w:szCs w:val="24"/>
        </w:rPr>
        <w:t>desde el año 2005,</w:t>
      </w:r>
      <w:r w:rsidRPr="008E6002">
        <w:rPr>
          <w:szCs w:val="24"/>
        </w:rPr>
        <w:t xml:space="preserve"> se</w:t>
      </w:r>
      <w:r>
        <w:rPr>
          <w:szCs w:val="24"/>
        </w:rPr>
        <w:t xml:space="preserve"> han</w:t>
      </w:r>
      <w:r w:rsidRPr="008E6002">
        <w:rPr>
          <w:szCs w:val="24"/>
        </w:rPr>
        <w:t xml:space="preserve"> realiza</w:t>
      </w:r>
      <w:r>
        <w:rPr>
          <w:szCs w:val="24"/>
        </w:rPr>
        <w:t>do</w:t>
      </w:r>
      <w:r w:rsidRPr="008E6002">
        <w:rPr>
          <w:szCs w:val="24"/>
        </w:rPr>
        <w:t xml:space="preserve"> estudios del comportamiento de emulsiones agua-crudo (W/O) provenientes de fosas de producción</w:t>
      </w:r>
      <w:r>
        <w:rPr>
          <w:szCs w:val="24"/>
        </w:rPr>
        <w:t>,</w:t>
      </w:r>
      <w:r w:rsidRPr="008E6002">
        <w:rPr>
          <w:szCs w:val="24"/>
        </w:rPr>
        <w:t xml:space="preserve"> ante la aplicación de un campo eléctrico de alto voltaje, </w:t>
      </w:r>
      <w:r>
        <w:rPr>
          <w:szCs w:val="24"/>
        </w:rPr>
        <w:t>caracterizándose por</w:t>
      </w:r>
      <w:r w:rsidR="008D3A20">
        <w:rPr>
          <w:szCs w:val="24"/>
        </w:rPr>
        <w:t xml:space="preserve"> la</w:t>
      </w:r>
      <w:r>
        <w:rPr>
          <w:szCs w:val="24"/>
        </w:rPr>
        <w:t xml:space="preserve"> no</w:t>
      </w:r>
      <w:r w:rsidRPr="008E6002">
        <w:rPr>
          <w:szCs w:val="24"/>
        </w:rPr>
        <w:t xml:space="preserve"> </w:t>
      </w:r>
      <w:r w:rsidR="008D3A20">
        <w:rPr>
          <w:szCs w:val="24"/>
        </w:rPr>
        <w:t>utilización de química deshidratante y el  empleo de</w:t>
      </w:r>
      <w:r w:rsidRPr="008E6002">
        <w:rPr>
          <w:szCs w:val="24"/>
        </w:rPr>
        <w:t xml:space="preserve"> técnicas de micr</w:t>
      </w:r>
      <w:r>
        <w:rPr>
          <w:szCs w:val="24"/>
        </w:rPr>
        <w:t xml:space="preserve">oscopía óptica para caracterización </w:t>
      </w:r>
      <w:r w:rsidR="008D3A20">
        <w:rPr>
          <w:szCs w:val="24"/>
        </w:rPr>
        <w:t xml:space="preserve">de las muestras </w:t>
      </w:r>
      <w:r>
        <w:rPr>
          <w:szCs w:val="24"/>
        </w:rPr>
        <w:t>y de centrifugación para</w:t>
      </w:r>
      <w:r w:rsidR="008D3A20">
        <w:rPr>
          <w:szCs w:val="24"/>
        </w:rPr>
        <w:t xml:space="preserve"> la</w:t>
      </w:r>
      <w:r>
        <w:rPr>
          <w:szCs w:val="24"/>
        </w:rPr>
        <w:t xml:space="preserve"> separación de fases</w:t>
      </w:r>
      <w:r w:rsidRPr="008E6002">
        <w:rPr>
          <w:szCs w:val="24"/>
        </w:rPr>
        <w:t>. La complejidad de estas investigaciones radic</w:t>
      </w:r>
      <w:r>
        <w:rPr>
          <w:szCs w:val="24"/>
        </w:rPr>
        <w:t>ó</w:t>
      </w:r>
      <w:r w:rsidRPr="008E6002">
        <w:rPr>
          <w:szCs w:val="24"/>
        </w:rPr>
        <w:t xml:space="preserve"> en que la bibliografía existente se ha avocado al estudio de la deshidratación de emulsiones sintéticas y/o naturales</w:t>
      </w:r>
      <w:r>
        <w:rPr>
          <w:szCs w:val="24"/>
        </w:rPr>
        <w:t>,</w:t>
      </w:r>
      <w:r w:rsidRPr="008E6002">
        <w:rPr>
          <w:szCs w:val="24"/>
        </w:rPr>
        <w:t xml:space="preserve"> </w:t>
      </w:r>
      <w:r>
        <w:rPr>
          <w:szCs w:val="24"/>
        </w:rPr>
        <w:t>adicionando de</w:t>
      </w:r>
      <w:r w:rsidRPr="008E6002">
        <w:rPr>
          <w:szCs w:val="24"/>
        </w:rPr>
        <w:t>mulsificantes para la d</w:t>
      </w:r>
      <w:r>
        <w:rPr>
          <w:szCs w:val="24"/>
        </w:rPr>
        <w:t>esestabilización de este tipo de sistemas</w:t>
      </w:r>
      <w:r w:rsidRPr="008E6002">
        <w:rPr>
          <w:szCs w:val="24"/>
        </w:rPr>
        <w:t>.</w:t>
      </w:r>
      <w:bookmarkEnd w:id="16"/>
      <w:r w:rsidRPr="008E6002">
        <w:rPr>
          <w:szCs w:val="24"/>
        </w:rPr>
        <w:t xml:space="preserve"> </w:t>
      </w:r>
    </w:p>
    <w:p w:rsidR="00D57AEC" w:rsidRPr="008E6002" w:rsidRDefault="00D57AEC" w:rsidP="00D57AEC">
      <w:pPr>
        <w:autoSpaceDE w:val="0"/>
        <w:autoSpaceDN w:val="0"/>
        <w:adjustRightInd w:val="0"/>
        <w:spacing w:line="360" w:lineRule="auto"/>
        <w:ind w:firstLine="720"/>
        <w:jc w:val="both"/>
        <w:rPr>
          <w:rFonts w:eastAsia="Calibri"/>
          <w:szCs w:val="24"/>
        </w:rPr>
      </w:pPr>
      <w:bookmarkStart w:id="17" w:name="_Toc299209444"/>
      <w:r w:rsidRPr="008E6002">
        <w:rPr>
          <w:rFonts w:eastAsia="Calibri"/>
          <w:szCs w:val="24"/>
        </w:rPr>
        <w:t xml:space="preserve">El estudio del proceso de coalescencia </w:t>
      </w:r>
      <w:r>
        <w:rPr>
          <w:rFonts w:eastAsia="Calibri"/>
          <w:szCs w:val="24"/>
        </w:rPr>
        <w:t>se ha concentrado en</w:t>
      </w:r>
      <w:r w:rsidRPr="008E6002">
        <w:rPr>
          <w:rFonts w:eastAsia="Calibri"/>
          <w:szCs w:val="24"/>
        </w:rPr>
        <w:t xml:space="preserve"> inc</w:t>
      </w:r>
      <w:r w:rsidR="008D3A20">
        <w:rPr>
          <w:rFonts w:eastAsia="Calibri"/>
          <w:szCs w:val="24"/>
        </w:rPr>
        <w:t>luir un material hidrofóbico</w:t>
      </w:r>
      <w:r w:rsidRPr="008E6002">
        <w:rPr>
          <w:rFonts w:eastAsia="Calibri"/>
          <w:szCs w:val="24"/>
        </w:rPr>
        <w:t xml:space="preserve"> para mejorar el proceso de coalescencia. En estos estudios se ha encontrado que las características relativas a la mojabilidad de la superficie presente, pueden favorecer la coalescencia de las gotas de la fase dispersa. </w:t>
      </w:r>
      <w:r w:rsidRPr="0035185F">
        <w:rPr>
          <w:rFonts w:eastAsia="Calibri"/>
          <w:szCs w:val="24"/>
        </w:rPr>
        <w:t>A pesar de ello, hoy en día, no existe un mecanismo de separación que incluya un material coalescedor en el proceso normal de deshidratación de la industria petrolera nacional</w:t>
      </w:r>
      <w:bookmarkEnd w:id="17"/>
      <w:r w:rsidRPr="0035185F">
        <w:rPr>
          <w:rFonts w:eastAsia="Calibri"/>
          <w:szCs w:val="24"/>
        </w:rPr>
        <w:t>.</w:t>
      </w:r>
    </w:p>
    <w:p w:rsidR="00D57AEC" w:rsidRPr="008E6002" w:rsidRDefault="00D57AEC" w:rsidP="00D57AEC">
      <w:pPr>
        <w:autoSpaceDE w:val="0"/>
        <w:autoSpaceDN w:val="0"/>
        <w:adjustRightInd w:val="0"/>
        <w:spacing w:line="360" w:lineRule="auto"/>
        <w:ind w:firstLine="720"/>
        <w:jc w:val="both"/>
        <w:rPr>
          <w:rFonts w:eastAsia="Calibri"/>
          <w:szCs w:val="24"/>
        </w:rPr>
      </w:pPr>
      <w:bookmarkStart w:id="18" w:name="_Toc299209445"/>
      <w:r w:rsidRPr="008E6002">
        <w:rPr>
          <w:rFonts w:eastAsia="Calibri"/>
          <w:szCs w:val="24"/>
        </w:rPr>
        <w:t>En los trabajos desarrollados por el</w:t>
      </w:r>
      <w:r>
        <w:rPr>
          <w:rFonts w:eastAsia="Calibri"/>
          <w:szCs w:val="24"/>
        </w:rPr>
        <w:t xml:space="preserve"> </w:t>
      </w:r>
      <w:r w:rsidRPr="008E6002">
        <w:rPr>
          <w:rFonts w:eastAsia="Calibri"/>
          <w:szCs w:val="24"/>
        </w:rPr>
        <w:t xml:space="preserve">LSM-UCV se evidenció que es aparentemente posible la separación de fases </w:t>
      </w:r>
      <w:r>
        <w:rPr>
          <w:rFonts w:eastAsia="Calibri"/>
          <w:szCs w:val="24"/>
        </w:rPr>
        <w:t>empleando un campo eléctrico uniforme y sin la adición de de</w:t>
      </w:r>
      <w:r w:rsidRPr="008E6002">
        <w:rPr>
          <w:rFonts w:eastAsia="Calibri"/>
          <w:szCs w:val="24"/>
        </w:rPr>
        <w:t>mulsificante, lo cual pretende ser el aporte general de este proyecto en su conjunto. Sin embargo, al tratar de escalar este proceso a sistemas de tratamiento de mayor volumen y que operen en forma continua, los resultados obtenidos no han sido los esperados.</w:t>
      </w:r>
      <w:bookmarkEnd w:id="18"/>
    </w:p>
    <w:p w:rsidR="00D57AEC" w:rsidRDefault="00D57AEC" w:rsidP="00AC2536">
      <w:pPr>
        <w:autoSpaceDE w:val="0"/>
        <w:autoSpaceDN w:val="0"/>
        <w:adjustRightInd w:val="0"/>
        <w:spacing w:after="240" w:line="360" w:lineRule="auto"/>
        <w:jc w:val="both"/>
        <w:rPr>
          <w:szCs w:val="24"/>
        </w:rPr>
      </w:pPr>
      <w:r w:rsidRPr="008E6002">
        <w:rPr>
          <w:szCs w:val="24"/>
        </w:rPr>
        <w:tab/>
      </w:r>
      <w:bookmarkStart w:id="19" w:name="_Toc299209446"/>
      <w:r>
        <w:rPr>
          <w:szCs w:val="24"/>
        </w:rPr>
        <w:t xml:space="preserve">Dando </w:t>
      </w:r>
      <w:r w:rsidRPr="008E6002">
        <w:rPr>
          <w:szCs w:val="24"/>
        </w:rPr>
        <w:t>continu</w:t>
      </w:r>
      <w:r>
        <w:rPr>
          <w:szCs w:val="24"/>
        </w:rPr>
        <w:t>idad a esta</w:t>
      </w:r>
      <w:r w:rsidRPr="008E6002">
        <w:rPr>
          <w:szCs w:val="24"/>
        </w:rPr>
        <w:t xml:space="preserve"> </w:t>
      </w:r>
      <w:r>
        <w:rPr>
          <w:szCs w:val="24"/>
        </w:rPr>
        <w:t>L</w:t>
      </w:r>
      <w:r w:rsidRPr="008E6002">
        <w:rPr>
          <w:szCs w:val="24"/>
        </w:rPr>
        <w:t xml:space="preserve">ínea </w:t>
      </w:r>
      <w:r>
        <w:rPr>
          <w:szCs w:val="24"/>
        </w:rPr>
        <w:t>de Investigación, en el presente T</w:t>
      </w:r>
      <w:r w:rsidRPr="008E6002">
        <w:rPr>
          <w:szCs w:val="24"/>
        </w:rPr>
        <w:t xml:space="preserve">rabajo </w:t>
      </w:r>
      <w:r>
        <w:rPr>
          <w:szCs w:val="24"/>
        </w:rPr>
        <w:t>E</w:t>
      </w:r>
      <w:r w:rsidRPr="008E6002">
        <w:rPr>
          <w:szCs w:val="24"/>
        </w:rPr>
        <w:t xml:space="preserve">special de </w:t>
      </w:r>
      <w:r>
        <w:rPr>
          <w:szCs w:val="24"/>
        </w:rPr>
        <w:t>G</w:t>
      </w:r>
      <w:r w:rsidRPr="008E6002">
        <w:rPr>
          <w:szCs w:val="24"/>
        </w:rPr>
        <w:t xml:space="preserve">rado, se evaluará la separación de las fases (agua-hidrocarburo) al incluir un medio coalescedor (hidrofílico </w:t>
      </w:r>
      <w:r>
        <w:rPr>
          <w:szCs w:val="24"/>
        </w:rPr>
        <w:t>ó</w:t>
      </w:r>
      <w:r w:rsidRPr="008E6002">
        <w:rPr>
          <w:szCs w:val="24"/>
        </w:rPr>
        <w:t xml:space="preserve"> hidrofóbico) utilizando para ello </w:t>
      </w:r>
      <w:r>
        <w:rPr>
          <w:szCs w:val="24"/>
        </w:rPr>
        <w:t>una</w:t>
      </w:r>
      <w:r w:rsidRPr="008E6002">
        <w:rPr>
          <w:szCs w:val="24"/>
        </w:rPr>
        <w:t xml:space="preserve"> “celda de trabajo” </w:t>
      </w:r>
      <w:r>
        <w:rPr>
          <w:szCs w:val="24"/>
        </w:rPr>
        <w:t>(Rodríguez</w:t>
      </w:r>
      <w:r w:rsidR="003D497D">
        <w:rPr>
          <w:szCs w:val="24"/>
        </w:rPr>
        <w:t>,</w:t>
      </w:r>
      <w:r>
        <w:rPr>
          <w:szCs w:val="24"/>
        </w:rPr>
        <w:t xml:space="preserve"> en ejecución)</w:t>
      </w:r>
      <w:r w:rsidRPr="008E6002">
        <w:rPr>
          <w:szCs w:val="24"/>
        </w:rPr>
        <w:t xml:space="preserve">, aplicando campo eléctrico de alto voltaje </w:t>
      </w:r>
      <w:r>
        <w:rPr>
          <w:szCs w:val="24"/>
        </w:rPr>
        <w:t>con</w:t>
      </w:r>
      <w:r w:rsidRPr="008E6002">
        <w:rPr>
          <w:szCs w:val="24"/>
        </w:rPr>
        <w:t xml:space="preserve"> corriente directa</w:t>
      </w:r>
      <w:r>
        <w:rPr>
          <w:szCs w:val="24"/>
        </w:rPr>
        <w:t xml:space="preserve"> (DC)</w:t>
      </w:r>
      <w:r w:rsidRPr="008E6002">
        <w:rPr>
          <w:szCs w:val="24"/>
        </w:rPr>
        <w:t xml:space="preserve"> </w:t>
      </w:r>
      <w:r>
        <w:rPr>
          <w:szCs w:val="24"/>
        </w:rPr>
        <w:t>y con</w:t>
      </w:r>
      <w:r w:rsidRPr="008E6002">
        <w:rPr>
          <w:szCs w:val="24"/>
        </w:rPr>
        <w:t xml:space="preserve"> corriente alterna</w:t>
      </w:r>
      <w:r>
        <w:rPr>
          <w:szCs w:val="24"/>
        </w:rPr>
        <w:t xml:space="preserve"> (AC)</w:t>
      </w:r>
      <w:r w:rsidRPr="008E6002">
        <w:rPr>
          <w:szCs w:val="24"/>
        </w:rPr>
        <w:t xml:space="preserve">.  Esto propone </w:t>
      </w:r>
      <w:r w:rsidRPr="008E6002">
        <w:rPr>
          <w:szCs w:val="24"/>
        </w:rPr>
        <w:lastRenderedPageBreak/>
        <w:t xml:space="preserve">analizar un proceso híbrido de separación de emulsiones, donde se emplee la separación electrostática como desestabilizante de las emulsiones de agua en hidrocarburo y se incorpore un medio coalescedor, el cual favorezca la coalescencia de la fase dispersa, todo esto con el fin de </w:t>
      </w:r>
      <w:r>
        <w:rPr>
          <w:szCs w:val="24"/>
        </w:rPr>
        <w:t>evitar</w:t>
      </w:r>
      <w:r w:rsidRPr="008E6002">
        <w:rPr>
          <w:szCs w:val="24"/>
        </w:rPr>
        <w:t xml:space="preserve"> el uso de agentes químicos. </w:t>
      </w:r>
      <w:bookmarkEnd w:id="19"/>
    </w:p>
    <w:p w:rsidR="005B5CC8" w:rsidRPr="0029369B" w:rsidRDefault="005B5CC8" w:rsidP="003B0AD3">
      <w:pPr>
        <w:pStyle w:val="Ttulo2"/>
        <w:spacing w:line="360" w:lineRule="auto"/>
        <w:jc w:val="both"/>
        <w:rPr>
          <w:rFonts w:ascii="Times New Roman" w:hAnsi="Times New Roman" w:cs="Times New Roman"/>
          <w:color w:val="000000" w:themeColor="text1"/>
          <w:sz w:val="24"/>
          <w:szCs w:val="24"/>
        </w:rPr>
      </w:pPr>
      <w:bookmarkStart w:id="20" w:name="_Toc327478003"/>
      <w:r w:rsidRPr="0029369B">
        <w:rPr>
          <w:rFonts w:ascii="Times New Roman" w:hAnsi="Times New Roman" w:cs="Times New Roman"/>
          <w:color w:val="000000" w:themeColor="text1"/>
          <w:sz w:val="24"/>
          <w:szCs w:val="24"/>
        </w:rPr>
        <w:t>1.2 OBJETIVOS</w:t>
      </w:r>
      <w:bookmarkEnd w:id="20"/>
    </w:p>
    <w:p w:rsidR="005B5CC8" w:rsidRPr="003B0AD3" w:rsidRDefault="005B5CC8" w:rsidP="003B0AD3">
      <w:pPr>
        <w:pStyle w:val="Ttulo3"/>
        <w:spacing w:line="360" w:lineRule="auto"/>
        <w:rPr>
          <w:rFonts w:ascii="Times New Roman" w:hAnsi="Times New Roman" w:cs="Times New Roman"/>
          <w:color w:val="auto"/>
          <w:szCs w:val="24"/>
        </w:rPr>
      </w:pPr>
      <w:bookmarkStart w:id="21" w:name="_Toc327478004"/>
      <w:r w:rsidRPr="003B0AD3">
        <w:rPr>
          <w:rFonts w:ascii="Times New Roman" w:hAnsi="Times New Roman" w:cs="Times New Roman"/>
          <w:color w:val="auto"/>
          <w:szCs w:val="24"/>
        </w:rPr>
        <w:t>1.2.1 OBJETIVO GENERAL</w:t>
      </w:r>
      <w:bookmarkEnd w:id="21"/>
    </w:p>
    <w:p w:rsidR="005B5CC8" w:rsidRPr="00AC2536" w:rsidRDefault="005B5CC8" w:rsidP="005B5CC8">
      <w:pPr>
        <w:spacing w:line="360" w:lineRule="auto"/>
        <w:jc w:val="both"/>
        <w:rPr>
          <w:szCs w:val="24"/>
          <w:lang w:val="es-VE"/>
        </w:rPr>
      </w:pPr>
      <w:r w:rsidRPr="00AC2536">
        <w:rPr>
          <w:szCs w:val="24"/>
        </w:rPr>
        <w:tab/>
        <w:t>Evaluar el efecto de incluir un medio coalescedor de distinta naturaleza, en la separación electrostática de material de fosas con diferentes tipos de corriente.</w:t>
      </w:r>
      <w:r w:rsidRPr="00AC2536">
        <w:rPr>
          <w:szCs w:val="24"/>
          <w:lang w:val="es-VE"/>
        </w:rPr>
        <w:t xml:space="preserve"> </w:t>
      </w:r>
    </w:p>
    <w:p w:rsidR="005B5CC8" w:rsidRPr="003B0AD3" w:rsidRDefault="005B5CC8" w:rsidP="003B0AD3">
      <w:pPr>
        <w:pStyle w:val="Ttulo3"/>
        <w:spacing w:line="360" w:lineRule="auto"/>
        <w:jc w:val="both"/>
        <w:rPr>
          <w:rFonts w:ascii="Times New Roman" w:hAnsi="Times New Roman" w:cs="Times New Roman"/>
          <w:color w:val="auto"/>
          <w:szCs w:val="24"/>
          <w:lang w:val="es-VE"/>
        </w:rPr>
      </w:pPr>
      <w:bookmarkStart w:id="22" w:name="_Toc327478005"/>
      <w:r w:rsidRPr="003B0AD3">
        <w:rPr>
          <w:rFonts w:ascii="Times New Roman" w:hAnsi="Times New Roman" w:cs="Times New Roman"/>
          <w:color w:val="auto"/>
          <w:szCs w:val="24"/>
          <w:lang w:val="es-VE"/>
        </w:rPr>
        <w:t>1.2.2 OBJETIVOS ESPECÍFICOS</w:t>
      </w:r>
      <w:bookmarkEnd w:id="22"/>
    </w:p>
    <w:p w:rsidR="0069256F" w:rsidRDefault="005B5CC8" w:rsidP="0069256F">
      <w:pPr>
        <w:spacing w:after="240" w:line="360" w:lineRule="auto"/>
        <w:jc w:val="both"/>
        <w:rPr>
          <w:iCs/>
          <w:szCs w:val="24"/>
        </w:rPr>
      </w:pPr>
      <w:r w:rsidRPr="00AC2536">
        <w:rPr>
          <w:szCs w:val="24"/>
          <w:lang w:val="es-VE"/>
        </w:rPr>
        <w:tab/>
        <w:t>1.</w:t>
      </w:r>
      <w:r w:rsidRPr="00AC2536">
        <w:rPr>
          <w:b/>
          <w:szCs w:val="24"/>
          <w:lang w:val="es-VE"/>
        </w:rPr>
        <w:t xml:space="preserve">- </w:t>
      </w:r>
      <w:r w:rsidRPr="00AC2536">
        <w:rPr>
          <w:iCs/>
          <w:szCs w:val="24"/>
        </w:rPr>
        <w:t>Evaluar diseños de sistemas de tratamiento continuo que incluyan un medio coalescedor en la celda de aplicación del campo eléctrico y/o de forma externa a esta.</w:t>
      </w:r>
    </w:p>
    <w:p w:rsidR="005B5CC8" w:rsidRPr="00AC2536" w:rsidRDefault="005B5CC8" w:rsidP="0069256F">
      <w:pPr>
        <w:spacing w:after="240" w:line="360" w:lineRule="auto"/>
        <w:jc w:val="both"/>
        <w:rPr>
          <w:iCs/>
          <w:szCs w:val="24"/>
        </w:rPr>
      </w:pPr>
      <w:r w:rsidRPr="00AC2536">
        <w:rPr>
          <w:iCs/>
          <w:szCs w:val="24"/>
        </w:rPr>
        <w:tab/>
        <w:t xml:space="preserve">2.-Cuantificar y </w:t>
      </w:r>
      <w:r w:rsidR="0069256F">
        <w:rPr>
          <w:iCs/>
          <w:szCs w:val="24"/>
        </w:rPr>
        <w:t>evaluar</w:t>
      </w:r>
      <w:r w:rsidRPr="00AC2536">
        <w:rPr>
          <w:iCs/>
          <w:szCs w:val="24"/>
        </w:rPr>
        <w:t xml:space="preserve"> el grado de separación de la emulsión </w:t>
      </w:r>
      <w:r>
        <w:rPr>
          <w:iCs/>
          <w:szCs w:val="24"/>
        </w:rPr>
        <w:t>Acema-100</w:t>
      </w:r>
      <w:r w:rsidRPr="00AC2536">
        <w:rPr>
          <w:iCs/>
          <w:szCs w:val="24"/>
        </w:rPr>
        <w:t xml:space="preserve">, </w:t>
      </w:r>
      <w:r>
        <w:rPr>
          <w:iCs/>
          <w:szCs w:val="24"/>
        </w:rPr>
        <w:t>Merey-31</w:t>
      </w:r>
      <w:r w:rsidRPr="00AC2536">
        <w:rPr>
          <w:iCs/>
          <w:szCs w:val="24"/>
        </w:rPr>
        <w:t xml:space="preserve"> y </w:t>
      </w:r>
      <w:r>
        <w:rPr>
          <w:iCs/>
          <w:szCs w:val="24"/>
        </w:rPr>
        <w:t>Guara-2</w:t>
      </w:r>
      <w:r w:rsidRPr="00AC2536">
        <w:rPr>
          <w:iCs/>
          <w:szCs w:val="24"/>
        </w:rPr>
        <w:t xml:space="preserve"> (fosas de producción) utilizando medios coalescedores de distinta naturaleza y mojabilidad y sin la utilización de medio coalescedor.</w:t>
      </w:r>
    </w:p>
    <w:p w:rsidR="005B5CC8" w:rsidRPr="00AC2536" w:rsidRDefault="005B5CC8" w:rsidP="005B5CC8">
      <w:pPr>
        <w:spacing w:line="360" w:lineRule="auto"/>
        <w:jc w:val="both"/>
        <w:rPr>
          <w:iCs/>
          <w:szCs w:val="24"/>
        </w:rPr>
      </w:pPr>
      <w:r w:rsidRPr="00AC2536">
        <w:rPr>
          <w:iCs/>
          <w:szCs w:val="24"/>
        </w:rPr>
        <w:tab/>
      </w:r>
      <w:r w:rsidRPr="00AC2536">
        <w:rPr>
          <w:szCs w:val="24"/>
        </w:rPr>
        <w:t xml:space="preserve">3.- </w:t>
      </w:r>
      <w:r w:rsidRPr="00AC2536">
        <w:rPr>
          <w:iCs/>
          <w:szCs w:val="24"/>
        </w:rPr>
        <w:t>Identificar las limitaciones en cuanto a la celda de trabajo utilizada y proponer mejoras para un eventual rediseño del sistema de tratamiento, específicamente de la celda de aplicación de campo eléctrico y la disposición del medio en el sistema que permitan incrementar la eficiencia de la separación.</w:t>
      </w:r>
    </w:p>
    <w:p w:rsidR="00AC2536" w:rsidRPr="002C10C0" w:rsidRDefault="00B375C6" w:rsidP="002C10C0">
      <w:pPr>
        <w:pStyle w:val="Ttulo2"/>
        <w:spacing w:line="360" w:lineRule="auto"/>
        <w:jc w:val="both"/>
        <w:rPr>
          <w:rFonts w:ascii="Times New Roman" w:hAnsi="Times New Roman" w:cs="Times New Roman"/>
          <w:color w:val="auto"/>
          <w:sz w:val="24"/>
          <w:szCs w:val="24"/>
        </w:rPr>
      </w:pPr>
      <w:bookmarkStart w:id="23" w:name="_Toc327478006"/>
      <w:r>
        <w:rPr>
          <w:rFonts w:ascii="Times New Roman" w:hAnsi="Times New Roman" w:cs="Times New Roman"/>
          <w:color w:val="auto"/>
          <w:sz w:val="24"/>
          <w:szCs w:val="24"/>
        </w:rPr>
        <w:t>1.</w:t>
      </w:r>
      <w:r w:rsidR="005B5CC8">
        <w:rPr>
          <w:rFonts w:ascii="Times New Roman" w:hAnsi="Times New Roman" w:cs="Times New Roman"/>
          <w:color w:val="auto"/>
          <w:sz w:val="24"/>
          <w:szCs w:val="24"/>
        </w:rPr>
        <w:t>3</w:t>
      </w:r>
      <w:r>
        <w:rPr>
          <w:rFonts w:ascii="Times New Roman" w:hAnsi="Times New Roman" w:cs="Times New Roman"/>
          <w:color w:val="auto"/>
          <w:sz w:val="24"/>
          <w:szCs w:val="24"/>
        </w:rPr>
        <w:t xml:space="preserve"> </w:t>
      </w:r>
      <w:r w:rsidR="00AC2536" w:rsidRPr="002C10C0">
        <w:rPr>
          <w:rFonts w:ascii="Times New Roman" w:hAnsi="Times New Roman" w:cs="Times New Roman"/>
          <w:color w:val="auto"/>
          <w:sz w:val="24"/>
          <w:szCs w:val="24"/>
        </w:rPr>
        <w:t>ANTECEDENTES</w:t>
      </w:r>
      <w:bookmarkEnd w:id="23"/>
    </w:p>
    <w:p w:rsidR="00AC2536" w:rsidRPr="00AC2536" w:rsidRDefault="00AC2536" w:rsidP="00AC2536">
      <w:pPr>
        <w:pStyle w:val="Encabezado"/>
        <w:spacing w:line="360" w:lineRule="auto"/>
        <w:ind w:firstLine="720"/>
        <w:jc w:val="both"/>
        <w:rPr>
          <w:rFonts w:ascii="Times New Roman" w:hAnsi="Times New Roman"/>
          <w:sz w:val="24"/>
          <w:szCs w:val="24"/>
        </w:rPr>
      </w:pPr>
      <w:r w:rsidRPr="00E71E1F">
        <w:rPr>
          <w:rFonts w:ascii="Times New Roman" w:hAnsi="Times New Roman"/>
          <w:sz w:val="24"/>
          <w:szCs w:val="24"/>
        </w:rPr>
        <w:t xml:space="preserve">Padrón A. y Zúñiga P. (2005), caracterizaron 3 materiales de fosas de producción: </w:t>
      </w:r>
      <w:r w:rsidR="00355A67">
        <w:rPr>
          <w:rFonts w:ascii="Times New Roman" w:hAnsi="Times New Roman"/>
          <w:sz w:val="24"/>
          <w:szCs w:val="24"/>
        </w:rPr>
        <w:t>Acema-100</w:t>
      </w:r>
      <w:r w:rsidRPr="00E71E1F">
        <w:rPr>
          <w:rFonts w:ascii="Times New Roman" w:hAnsi="Times New Roman"/>
          <w:sz w:val="24"/>
          <w:szCs w:val="24"/>
        </w:rPr>
        <w:t xml:space="preserve">, </w:t>
      </w:r>
      <w:r w:rsidR="00355A67">
        <w:rPr>
          <w:rFonts w:ascii="Times New Roman" w:hAnsi="Times New Roman"/>
          <w:sz w:val="24"/>
          <w:szCs w:val="24"/>
        </w:rPr>
        <w:t>Merey-31</w:t>
      </w:r>
      <w:r w:rsidRPr="00E71E1F">
        <w:rPr>
          <w:rFonts w:ascii="Times New Roman" w:hAnsi="Times New Roman"/>
          <w:sz w:val="24"/>
          <w:szCs w:val="24"/>
        </w:rPr>
        <w:t xml:space="preserve"> y </w:t>
      </w:r>
      <w:r w:rsidR="00355A67">
        <w:rPr>
          <w:rFonts w:ascii="Times New Roman" w:hAnsi="Times New Roman"/>
          <w:sz w:val="24"/>
          <w:szCs w:val="24"/>
        </w:rPr>
        <w:t>Guara-2</w:t>
      </w:r>
      <w:r w:rsidRPr="00E71E1F">
        <w:rPr>
          <w:rFonts w:ascii="Times New Roman" w:hAnsi="Times New Roman"/>
          <w:sz w:val="24"/>
          <w:szCs w:val="24"/>
        </w:rPr>
        <w:t>, ubicadas en el Distrito San Tomé del Municipio Monagas, Estado Anzoátegui. Esta caracterización</w:t>
      </w:r>
      <w:r w:rsidRPr="00AC2536">
        <w:rPr>
          <w:rFonts w:ascii="Times New Roman" w:hAnsi="Times New Roman"/>
          <w:sz w:val="24"/>
          <w:szCs w:val="24"/>
        </w:rPr>
        <w:t xml:space="preserve"> constituyó el trabajo inicial del grupo de investigación del LSM, en miras de desarrollar mecanismos de desestabilización que permitiesen separar el agua emulsionada de este material con fines de recuperar la fracción de hidrocarburos, presentando paralelamente soluciones que permitan disminuir el pasivo ambiental originado por estas fosas de producción.</w:t>
      </w:r>
    </w:p>
    <w:p w:rsidR="00AC2536" w:rsidRPr="00AC2536" w:rsidRDefault="00AC2536" w:rsidP="00AC2536">
      <w:pPr>
        <w:pStyle w:val="Encabezado"/>
        <w:spacing w:after="240" w:line="360" w:lineRule="auto"/>
        <w:ind w:firstLine="720"/>
        <w:jc w:val="both"/>
        <w:rPr>
          <w:rFonts w:ascii="Times New Roman" w:hAnsi="Times New Roman"/>
          <w:sz w:val="24"/>
          <w:szCs w:val="24"/>
        </w:rPr>
      </w:pPr>
      <w:r w:rsidRPr="00AC2536">
        <w:rPr>
          <w:rFonts w:ascii="Times New Roman" w:hAnsi="Times New Roman"/>
          <w:sz w:val="24"/>
          <w:szCs w:val="24"/>
        </w:rPr>
        <w:lastRenderedPageBreak/>
        <w:t>La caracterización consistió en determinar el contenido de agua y sólidos del material de fosa. Esta caracterización se realizó a través del software de análisis digital de imágenes Image Pro Plus, empleando un microscopio Nikon ME-600 al cuál se le incorporó una cámara CCD  para la captura de imágenes. De igual forma se emplearon técnicas ASTM D-4006-81 para medir la cantidad de agua presente en el material de fosas. Los resultados obtenidos se presentan en la Tabla Nº1.</w:t>
      </w:r>
    </w:p>
    <w:p w:rsidR="00AC2536" w:rsidRPr="00392E70" w:rsidRDefault="0005538D" w:rsidP="0005538D">
      <w:pPr>
        <w:pStyle w:val="Epgrafe"/>
        <w:spacing w:line="360" w:lineRule="auto"/>
      </w:pPr>
      <w:bookmarkStart w:id="24" w:name="_Toc325636315"/>
      <w:r w:rsidRPr="00392E70">
        <w:t xml:space="preserve">Tabla N° </w:t>
      </w:r>
      <w:fldSimple w:instr=" SEQ Tabla_N° \* ARABIC ">
        <w:r w:rsidR="004A5F6F">
          <w:rPr>
            <w:noProof/>
          </w:rPr>
          <w:t>1</w:t>
        </w:r>
      </w:fldSimple>
      <w:r w:rsidR="00C308AE" w:rsidRPr="00392E70">
        <w:t xml:space="preserve">: </w:t>
      </w:r>
      <w:r w:rsidR="00AC2536" w:rsidRPr="00392E70">
        <w:t>Contenido de agua de las fosas según norma ASTM D-4006-81. Padrón y Zúñiga (2005).</w:t>
      </w:r>
      <w:bookmarkEnd w:id="24"/>
    </w:p>
    <w:tbl>
      <w:tblPr>
        <w:tblStyle w:val="Tablaconcuadrcula"/>
        <w:tblW w:w="0" w:type="auto"/>
        <w:tblInd w:w="738" w:type="dxa"/>
        <w:tblLook w:val="04A0"/>
      </w:tblPr>
      <w:tblGrid>
        <w:gridCol w:w="2970"/>
        <w:gridCol w:w="1447"/>
        <w:gridCol w:w="1530"/>
        <w:gridCol w:w="1620"/>
      </w:tblGrid>
      <w:tr w:rsidR="00AC2536" w:rsidRPr="00AC2536" w:rsidTr="00C754D3">
        <w:tc>
          <w:tcPr>
            <w:tcW w:w="2970" w:type="dxa"/>
          </w:tcPr>
          <w:p w:rsidR="00AC2536" w:rsidRPr="00AC2536" w:rsidRDefault="00AC2536" w:rsidP="007E1012">
            <w:pPr>
              <w:pStyle w:val="Encabezado"/>
              <w:spacing w:after="240"/>
              <w:jc w:val="center"/>
              <w:rPr>
                <w:rFonts w:ascii="Times New Roman" w:hAnsi="Times New Roman"/>
                <w:b/>
                <w:sz w:val="24"/>
                <w:szCs w:val="24"/>
              </w:rPr>
            </w:pPr>
            <w:r w:rsidRPr="00AC2536">
              <w:rPr>
                <w:rFonts w:ascii="Times New Roman" w:hAnsi="Times New Roman"/>
                <w:b/>
                <w:sz w:val="24"/>
                <w:szCs w:val="24"/>
              </w:rPr>
              <w:t>Fosa</w:t>
            </w:r>
          </w:p>
        </w:tc>
        <w:tc>
          <w:tcPr>
            <w:tcW w:w="1447" w:type="dxa"/>
          </w:tcPr>
          <w:p w:rsidR="00AC2536" w:rsidRPr="00AC2536" w:rsidRDefault="00355A67" w:rsidP="007E1012">
            <w:pPr>
              <w:pStyle w:val="Encabezado"/>
              <w:jc w:val="center"/>
              <w:rPr>
                <w:rFonts w:ascii="Times New Roman" w:hAnsi="Times New Roman"/>
                <w:b/>
                <w:sz w:val="24"/>
                <w:szCs w:val="24"/>
              </w:rPr>
            </w:pPr>
            <w:r>
              <w:rPr>
                <w:rFonts w:ascii="Times New Roman" w:hAnsi="Times New Roman"/>
                <w:b/>
                <w:sz w:val="24"/>
                <w:szCs w:val="24"/>
              </w:rPr>
              <w:t>Acema-100</w:t>
            </w:r>
          </w:p>
        </w:tc>
        <w:tc>
          <w:tcPr>
            <w:tcW w:w="1530" w:type="dxa"/>
          </w:tcPr>
          <w:p w:rsidR="00AC2536" w:rsidRPr="00AC2536" w:rsidRDefault="00355A67" w:rsidP="007E1012">
            <w:pPr>
              <w:pStyle w:val="Encabezado"/>
              <w:jc w:val="center"/>
              <w:rPr>
                <w:rFonts w:ascii="Times New Roman" w:hAnsi="Times New Roman"/>
                <w:b/>
                <w:sz w:val="24"/>
                <w:szCs w:val="24"/>
              </w:rPr>
            </w:pPr>
            <w:r>
              <w:rPr>
                <w:rFonts w:ascii="Times New Roman" w:hAnsi="Times New Roman"/>
                <w:b/>
                <w:sz w:val="24"/>
                <w:szCs w:val="24"/>
              </w:rPr>
              <w:t>Guara-2</w:t>
            </w:r>
          </w:p>
        </w:tc>
        <w:tc>
          <w:tcPr>
            <w:tcW w:w="1620" w:type="dxa"/>
          </w:tcPr>
          <w:p w:rsidR="00AC2536" w:rsidRPr="00AC2536" w:rsidRDefault="00355A67" w:rsidP="007E1012">
            <w:pPr>
              <w:pStyle w:val="Encabezado"/>
              <w:jc w:val="center"/>
              <w:rPr>
                <w:rFonts w:ascii="Times New Roman" w:hAnsi="Times New Roman"/>
                <w:b/>
                <w:sz w:val="24"/>
                <w:szCs w:val="24"/>
              </w:rPr>
            </w:pPr>
            <w:r>
              <w:rPr>
                <w:rFonts w:ascii="Times New Roman" w:hAnsi="Times New Roman"/>
                <w:b/>
                <w:sz w:val="24"/>
                <w:szCs w:val="24"/>
              </w:rPr>
              <w:t>Merey-31</w:t>
            </w:r>
          </w:p>
        </w:tc>
      </w:tr>
      <w:tr w:rsidR="00AC2536" w:rsidRPr="00AC2536" w:rsidTr="00C754D3">
        <w:trPr>
          <w:trHeight w:val="422"/>
        </w:trPr>
        <w:tc>
          <w:tcPr>
            <w:tcW w:w="2970" w:type="dxa"/>
          </w:tcPr>
          <w:p w:rsidR="00AC2536" w:rsidRPr="00AC2536" w:rsidRDefault="00AC2536" w:rsidP="007E1012">
            <w:pPr>
              <w:pStyle w:val="Encabezado"/>
              <w:jc w:val="center"/>
              <w:rPr>
                <w:rFonts w:ascii="Times New Roman" w:hAnsi="Times New Roman"/>
                <w:sz w:val="24"/>
                <w:szCs w:val="24"/>
              </w:rPr>
            </w:pPr>
            <w:r w:rsidRPr="00AC2536">
              <w:rPr>
                <w:rFonts w:ascii="Times New Roman" w:hAnsi="Times New Roman"/>
                <w:sz w:val="24"/>
                <w:szCs w:val="24"/>
              </w:rPr>
              <w:t>Porcentaje de agua (%</w:t>
            </w:r>
            <w:r w:rsidR="00C754D3">
              <w:rPr>
                <w:rFonts w:ascii="Times New Roman" w:hAnsi="Times New Roman"/>
                <w:sz w:val="24"/>
                <w:szCs w:val="24"/>
              </w:rPr>
              <w:t xml:space="preserve"> v/v</w:t>
            </w:r>
            <w:r w:rsidRPr="00AC2536">
              <w:rPr>
                <w:rFonts w:ascii="Times New Roman" w:hAnsi="Times New Roman"/>
                <w:sz w:val="24"/>
                <w:szCs w:val="24"/>
              </w:rPr>
              <w:t>)</w:t>
            </w:r>
          </w:p>
        </w:tc>
        <w:tc>
          <w:tcPr>
            <w:tcW w:w="1447" w:type="dxa"/>
          </w:tcPr>
          <w:p w:rsidR="00AC2536" w:rsidRPr="00AC2536" w:rsidRDefault="00AC2536" w:rsidP="007E1012">
            <w:pPr>
              <w:pStyle w:val="Encabezado"/>
              <w:jc w:val="center"/>
              <w:rPr>
                <w:rFonts w:ascii="Times New Roman" w:hAnsi="Times New Roman"/>
                <w:sz w:val="24"/>
                <w:szCs w:val="24"/>
              </w:rPr>
            </w:pPr>
            <w:r w:rsidRPr="00AC2536">
              <w:rPr>
                <w:rFonts w:ascii="Times New Roman" w:hAnsi="Times New Roman"/>
                <w:sz w:val="24"/>
                <w:szCs w:val="24"/>
              </w:rPr>
              <w:t>47,1</w:t>
            </w:r>
          </w:p>
        </w:tc>
        <w:tc>
          <w:tcPr>
            <w:tcW w:w="1530" w:type="dxa"/>
          </w:tcPr>
          <w:p w:rsidR="00AC2536" w:rsidRPr="00AC2536" w:rsidRDefault="00AC2536" w:rsidP="007E1012">
            <w:pPr>
              <w:pStyle w:val="Encabezado"/>
              <w:jc w:val="center"/>
              <w:rPr>
                <w:rFonts w:ascii="Times New Roman" w:hAnsi="Times New Roman"/>
                <w:sz w:val="24"/>
                <w:szCs w:val="24"/>
              </w:rPr>
            </w:pPr>
            <w:r w:rsidRPr="00AC2536">
              <w:rPr>
                <w:rFonts w:ascii="Times New Roman" w:hAnsi="Times New Roman"/>
                <w:sz w:val="24"/>
                <w:szCs w:val="24"/>
              </w:rPr>
              <w:t>40,0</w:t>
            </w:r>
          </w:p>
        </w:tc>
        <w:tc>
          <w:tcPr>
            <w:tcW w:w="1620" w:type="dxa"/>
          </w:tcPr>
          <w:p w:rsidR="00AC2536" w:rsidRPr="00AC2536" w:rsidRDefault="00AC2536" w:rsidP="007E1012">
            <w:pPr>
              <w:pStyle w:val="Encabezado"/>
              <w:jc w:val="center"/>
              <w:rPr>
                <w:rFonts w:ascii="Times New Roman" w:hAnsi="Times New Roman"/>
                <w:sz w:val="24"/>
                <w:szCs w:val="24"/>
              </w:rPr>
            </w:pPr>
            <w:r w:rsidRPr="00AC2536">
              <w:rPr>
                <w:rFonts w:ascii="Times New Roman" w:hAnsi="Times New Roman"/>
                <w:sz w:val="24"/>
                <w:szCs w:val="24"/>
              </w:rPr>
              <w:t>22,1</w:t>
            </w:r>
          </w:p>
        </w:tc>
      </w:tr>
    </w:tbl>
    <w:p w:rsidR="00AC2536" w:rsidRPr="00AC2536" w:rsidRDefault="00AC2536" w:rsidP="00AC2536">
      <w:pPr>
        <w:pStyle w:val="Encabezado"/>
        <w:spacing w:line="360" w:lineRule="auto"/>
        <w:ind w:firstLine="720"/>
        <w:jc w:val="center"/>
        <w:rPr>
          <w:rFonts w:ascii="Times New Roman" w:hAnsi="Times New Roman"/>
          <w:sz w:val="24"/>
          <w:szCs w:val="24"/>
        </w:rPr>
      </w:pPr>
    </w:p>
    <w:p w:rsidR="00AC2536" w:rsidRPr="00AC2536" w:rsidRDefault="00AC2536" w:rsidP="00AC2536">
      <w:pPr>
        <w:autoSpaceDE w:val="0"/>
        <w:autoSpaceDN w:val="0"/>
        <w:adjustRightInd w:val="0"/>
        <w:spacing w:line="360" w:lineRule="auto"/>
        <w:ind w:firstLine="720"/>
        <w:jc w:val="both"/>
        <w:rPr>
          <w:szCs w:val="24"/>
          <w:lang w:val="es-VE"/>
        </w:rPr>
      </w:pPr>
      <w:bookmarkStart w:id="25" w:name="_Toc299209457"/>
      <w:r w:rsidRPr="00AC2536">
        <w:rPr>
          <w:rFonts w:eastAsiaTheme="minorHAnsi"/>
          <w:szCs w:val="24"/>
          <w:lang w:val="es-VE" w:eastAsia="en-US"/>
        </w:rPr>
        <w:t>Realizaron observaciones referidas al comportamiento de la muestra ante el contacto con el vidrio o el metal durante su manipulación, en la preparación para su observación microscópica. Ahí se evidenció una migración del agua contenida en la muestras. Estas observaciones propusieron que la migración podía deberse al calor emanado por la luz del microscopio o como consecuencia de la afinidad del agua al vidrio del portaobjeto, más no se realizaron más pruebas al respecto.</w:t>
      </w:r>
      <w:bookmarkEnd w:id="25"/>
    </w:p>
    <w:p w:rsidR="00AC2536" w:rsidRPr="00AC2536" w:rsidRDefault="00AC2536" w:rsidP="00AC2536">
      <w:pPr>
        <w:pStyle w:val="Encabezado"/>
        <w:spacing w:line="360" w:lineRule="auto"/>
        <w:ind w:firstLine="720"/>
        <w:jc w:val="both"/>
        <w:rPr>
          <w:rFonts w:ascii="Times New Roman" w:hAnsi="Times New Roman"/>
          <w:sz w:val="24"/>
          <w:szCs w:val="24"/>
        </w:rPr>
      </w:pPr>
      <w:r w:rsidRPr="00AC2536">
        <w:rPr>
          <w:rFonts w:ascii="Times New Roman" w:hAnsi="Times New Roman"/>
          <w:sz w:val="24"/>
          <w:szCs w:val="24"/>
        </w:rPr>
        <w:t>La importancia de este trabajo radica en la necesidad primordial que representa la caracterización de estos materiales de fosa para que se iniciaran en el LSM los primeros estudios para el desarrollo de mecanismos que permitiesen la desestabilización y separación de las fases de estas emulsiones en particular.</w:t>
      </w:r>
    </w:p>
    <w:p w:rsidR="00AC2536" w:rsidRPr="00AC2536" w:rsidRDefault="00AC2536" w:rsidP="00AC2536">
      <w:pPr>
        <w:spacing w:line="360" w:lineRule="auto"/>
        <w:ind w:firstLine="720"/>
        <w:jc w:val="both"/>
        <w:rPr>
          <w:szCs w:val="24"/>
        </w:rPr>
      </w:pPr>
      <w:bookmarkStart w:id="26" w:name="_Toc299209458"/>
      <w:r w:rsidRPr="00AC2536">
        <w:rPr>
          <w:szCs w:val="24"/>
        </w:rPr>
        <w:t>La Sociedad de Petróleo de Canadá junto con la Universidad de Regina, ha venido desarrollando a lo largo de los últimos 30 años mecanismos de desestabilización de emulsiones estables agua-crudo (W/O).</w:t>
      </w:r>
      <w:bookmarkEnd w:id="26"/>
      <w:r w:rsidRPr="00AC2536">
        <w:rPr>
          <w:szCs w:val="24"/>
        </w:rPr>
        <w:t xml:space="preserve"> </w:t>
      </w:r>
      <w:r w:rsidR="00C754D3">
        <w:rPr>
          <w:szCs w:val="24"/>
        </w:rPr>
        <w:t xml:space="preserve"> </w:t>
      </w:r>
      <w:bookmarkStart w:id="27" w:name="_Toc299209459"/>
      <w:r w:rsidRPr="00AC2536">
        <w:rPr>
          <w:szCs w:val="24"/>
        </w:rPr>
        <w:t xml:space="preserve">Los representantes de la Sociedad de </w:t>
      </w:r>
      <w:r w:rsidRPr="00EF20B7">
        <w:rPr>
          <w:szCs w:val="24"/>
        </w:rPr>
        <w:t xml:space="preserve">Petróleo de Canadá, Renouf, </w:t>
      </w:r>
      <w:r w:rsidR="00825669" w:rsidRPr="00EF20B7">
        <w:rPr>
          <w:szCs w:val="24"/>
        </w:rPr>
        <w:t>G.,</w:t>
      </w:r>
      <w:r w:rsidRPr="00EF20B7">
        <w:rPr>
          <w:szCs w:val="24"/>
        </w:rPr>
        <w:t xml:space="preserve"> Kurucz y Soveran</w:t>
      </w:r>
      <w:r w:rsidR="00825669" w:rsidRPr="00EF20B7">
        <w:rPr>
          <w:szCs w:val="24"/>
        </w:rPr>
        <w:t>, D.</w:t>
      </w:r>
      <w:r w:rsidRPr="00EF20B7">
        <w:rPr>
          <w:szCs w:val="24"/>
        </w:rPr>
        <w:t xml:space="preserve"> (2006), propusieron un procedimiento de</w:t>
      </w:r>
      <w:r w:rsidRPr="00AC2536">
        <w:rPr>
          <w:szCs w:val="24"/>
        </w:rPr>
        <w:t xml:space="preserve"> desestabilización para este tipo de emulsiones. El sistema a emplear consistió en una columna coalescedora en la cual se dispuso un material coalescedor para promover y mejorar la coalescencia una vez tratada la emulsión en un deshidratador electrostático. El objetivo principal de la investigación era emplear un material coalescedor para promover la coalescencia del agua y </w:t>
      </w:r>
      <w:r w:rsidRPr="00AC2536">
        <w:rPr>
          <w:szCs w:val="24"/>
        </w:rPr>
        <w:lastRenderedPageBreak/>
        <w:t>disminuir la concentración de demulsificante en el crudo alcanzando las mismas eficiencias de recuperación que en el tratamiento normal de la emulsión. La gravedad API del crudo rondaba los 12° y fue recolectado de dos unidades de tratamiento de la región de Lloydminster, Canadá. La selección del material se realizó en base al trabajo de 1988 de Stocker, R, Behie, L.A. y Svrcek, W., (1988), en el cual se evaluó el efecto distintos materiales que sirviesen de promotores de la coalescencia como vidrio, fibras de polietileno, cáscaras de maní, rocas rojas (red rocks), entre otros. En la Figura Nº</w:t>
      </w:r>
      <w:r w:rsidR="00C754D3">
        <w:rPr>
          <w:szCs w:val="24"/>
        </w:rPr>
        <w:t xml:space="preserve"> 1</w:t>
      </w:r>
      <w:r w:rsidRPr="00AC2536">
        <w:rPr>
          <w:szCs w:val="24"/>
        </w:rPr>
        <w:t xml:space="preserve"> se muestra la columna coalescedora empleada en este estudio.</w:t>
      </w:r>
      <w:bookmarkEnd w:id="27"/>
    </w:p>
    <w:p w:rsidR="00AC2536" w:rsidRPr="00AC2536" w:rsidRDefault="00AC2536" w:rsidP="00AC2536">
      <w:pPr>
        <w:spacing w:line="360" w:lineRule="auto"/>
        <w:ind w:firstLine="720"/>
        <w:jc w:val="center"/>
        <w:rPr>
          <w:szCs w:val="24"/>
        </w:rPr>
      </w:pPr>
      <w:bookmarkStart w:id="28" w:name="_Toc299209461"/>
      <w:r w:rsidRPr="00AC2536">
        <w:rPr>
          <w:noProof/>
          <w:szCs w:val="24"/>
          <w:lang w:val="en-US" w:eastAsia="en-US"/>
        </w:rPr>
        <w:drawing>
          <wp:inline distT="0" distB="0" distL="0" distR="0">
            <wp:extent cx="2506041" cy="1980000"/>
            <wp:effectExtent l="19050" t="19050" r="8559" b="20250"/>
            <wp:docPr id="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871" t="7876" r="12995" b="3236"/>
                    <a:stretch>
                      <a:fillRect/>
                    </a:stretch>
                  </pic:blipFill>
                  <pic:spPr bwMode="auto">
                    <a:xfrm>
                      <a:off x="0" y="0"/>
                      <a:ext cx="2505459" cy="1981451"/>
                    </a:xfrm>
                    <a:prstGeom prst="rect">
                      <a:avLst/>
                    </a:prstGeom>
                    <a:noFill/>
                    <a:ln w="12700">
                      <a:solidFill>
                        <a:schemeClr val="tx1"/>
                      </a:solidFill>
                      <a:miter lim="800000"/>
                      <a:headEnd/>
                      <a:tailEnd/>
                    </a:ln>
                  </pic:spPr>
                </pic:pic>
              </a:graphicData>
            </a:graphic>
          </wp:inline>
        </w:drawing>
      </w:r>
    </w:p>
    <w:p w:rsidR="00AC2536" w:rsidRPr="00712D89" w:rsidRDefault="00AA0DF5" w:rsidP="00AA0DF5">
      <w:pPr>
        <w:pStyle w:val="Epgrafe"/>
      </w:pPr>
      <w:bookmarkStart w:id="29" w:name="_Toc299209460"/>
      <w:bookmarkStart w:id="30" w:name="_Toc327481413"/>
      <w:r>
        <w:t xml:space="preserve">Figura N° </w:t>
      </w:r>
      <w:fldSimple w:instr=" SEQ Figura_N° \* ARABIC ">
        <w:r w:rsidR="004A5F6F">
          <w:rPr>
            <w:noProof/>
          </w:rPr>
          <w:t>1</w:t>
        </w:r>
      </w:fldSimple>
      <w:r w:rsidR="00AC2536" w:rsidRPr="00712D89">
        <w:t>: Columna coalescedora empacada con rocas rojas</w:t>
      </w:r>
      <w:bookmarkEnd w:id="29"/>
      <w:r w:rsidR="00AC2536" w:rsidRPr="00712D89">
        <w:t xml:space="preserve"> </w:t>
      </w:r>
      <w:r w:rsidR="00356CD8">
        <w:t>(</w:t>
      </w:r>
      <w:r w:rsidR="00AC2536" w:rsidRPr="00712D89">
        <w:t xml:space="preserve">Renouf </w:t>
      </w:r>
      <w:r w:rsidR="00356CD8">
        <w:t xml:space="preserve">y otros, </w:t>
      </w:r>
      <w:r w:rsidR="00AC2536" w:rsidRPr="00712D89">
        <w:t>2006).</w:t>
      </w:r>
      <w:bookmarkEnd w:id="30"/>
    </w:p>
    <w:p w:rsidR="00AC2536" w:rsidRPr="00AC2536" w:rsidRDefault="00AC2536" w:rsidP="00712D89">
      <w:pPr>
        <w:spacing w:line="360" w:lineRule="auto"/>
        <w:ind w:firstLine="720"/>
        <w:jc w:val="both"/>
        <w:rPr>
          <w:szCs w:val="24"/>
        </w:rPr>
      </w:pPr>
      <w:r w:rsidRPr="00AC2536">
        <w:rPr>
          <w:szCs w:val="24"/>
        </w:rPr>
        <w:t>Entre todos los materiales probados, las rocas rojas promovieron mejor coalescencia.</w:t>
      </w:r>
    </w:p>
    <w:p w:rsidR="00AC2536" w:rsidRDefault="00AC2536" w:rsidP="00712D89">
      <w:pPr>
        <w:spacing w:line="360" w:lineRule="auto"/>
        <w:ind w:firstLine="720"/>
        <w:jc w:val="both"/>
        <w:rPr>
          <w:szCs w:val="24"/>
        </w:rPr>
      </w:pPr>
      <w:r w:rsidRPr="00AC2536">
        <w:rPr>
          <w:szCs w:val="24"/>
        </w:rPr>
        <w:t>A continuación, en la Figura Nº</w:t>
      </w:r>
      <w:r w:rsidR="000B51EB">
        <w:rPr>
          <w:szCs w:val="24"/>
        </w:rPr>
        <w:t xml:space="preserve"> 2</w:t>
      </w:r>
      <w:r w:rsidRPr="00AC2536">
        <w:rPr>
          <w:szCs w:val="24"/>
        </w:rPr>
        <w:t>, se muestra el diagrama de flujo del sistema dispuesto para el tratamiento de la emulsión</w:t>
      </w:r>
      <w:bookmarkEnd w:id="28"/>
      <w:r w:rsidRPr="00AC2536">
        <w:rPr>
          <w:szCs w:val="24"/>
        </w:rPr>
        <w:t>.</w:t>
      </w:r>
    </w:p>
    <w:p w:rsidR="00555CE1" w:rsidRDefault="00555CE1" w:rsidP="00712D89">
      <w:pPr>
        <w:spacing w:line="360" w:lineRule="auto"/>
        <w:ind w:firstLine="720"/>
        <w:jc w:val="both"/>
        <w:rPr>
          <w:szCs w:val="24"/>
        </w:rPr>
      </w:pPr>
    </w:p>
    <w:p w:rsidR="00555CE1" w:rsidRPr="00AC2536" w:rsidRDefault="00555CE1" w:rsidP="00712D89">
      <w:pPr>
        <w:spacing w:line="360" w:lineRule="auto"/>
        <w:ind w:firstLine="720"/>
        <w:jc w:val="both"/>
        <w:rPr>
          <w:szCs w:val="24"/>
        </w:rPr>
      </w:pPr>
    </w:p>
    <w:p w:rsidR="00AC2536" w:rsidRPr="00AC2536" w:rsidRDefault="00AC2536" w:rsidP="00AC2536">
      <w:pPr>
        <w:spacing w:line="360" w:lineRule="auto"/>
        <w:jc w:val="center"/>
        <w:rPr>
          <w:szCs w:val="24"/>
        </w:rPr>
      </w:pPr>
      <w:r w:rsidRPr="00AC2536">
        <w:rPr>
          <w:noProof/>
          <w:szCs w:val="24"/>
          <w:lang w:val="en-US" w:eastAsia="en-US"/>
        </w:rPr>
        <w:lastRenderedPageBreak/>
        <w:drawing>
          <wp:inline distT="0" distB="0" distL="0" distR="0">
            <wp:extent cx="4361815" cy="2080895"/>
            <wp:effectExtent l="19050" t="0" r="635" b="0"/>
            <wp:docPr id="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361815" cy="2080895"/>
                    </a:xfrm>
                    <a:prstGeom prst="rect">
                      <a:avLst/>
                    </a:prstGeom>
                    <a:noFill/>
                    <a:ln w="9525">
                      <a:noFill/>
                      <a:miter lim="800000"/>
                      <a:headEnd/>
                      <a:tailEnd/>
                    </a:ln>
                  </pic:spPr>
                </pic:pic>
              </a:graphicData>
            </a:graphic>
          </wp:inline>
        </w:drawing>
      </w:r>
    </w:p>
    <w:p w:rsidR="00AC2536" w:rsidRPr="000E0C20" w:rsidRDefault="000E0C20" w:rsidP="000E0C20">
      <w:pPr>
        <w:pStyle w:val="Epgrafe"/>
      </w:pPr>
      <w:bookmarkStart w:id="31" w:name="_Toc299209462"/>
      <w:bookmarkStart w:id="32" w:name="_Toc327481414"/>
      <w:r>
        <w:t xml:space="preserve">Figura N° </w:t>
      </w:r>
      <w:fldSimple w:instr=" SEQ Figura_N° \* ARABIC ">
        <w:r w:rsidR="004A5F6F">
          <w:rPr>
            <w:noProof/>
          </w:rPr>
          <w:t>2</w:t>
        </w:r>
      </w:fldSimple>
      <w:r w:rsidR="00AC2536" w:rsidRPr="000E0C20">
        <w:t xml:space="preserve">: </w:t>
      </w:r>
      <w:bookmarkEnd w:id="31"/>
      <w:r w:rsidR="00356CD8">
        <w:t>Esquema general del montaje experimental con columna colaescedora</w:t>
      </w:r>
      <w:bookmarkEnd w:id="32"/>
    </w:p>
    <w:p w:rsidR="00AC2536" w:rsidRPr="000E0C20" w:rsidRDefault="00AC2536" w:rsidP="00AC2536">
      <w:pPr>
        <w:spacing w:line="360" w:lineRule="auto"/>
        <w:jc w:val="center"/>
        <w:rPr>
          <w:sz w:val="20"/>
        </w:rPr>
      </w:pPr>
      <w:r w:rsidRPr="000E0C20">
        <w:rPr>
          <w:sz w:val="20"/>
        </w:rPr>
        <w:t xml:space="preserve">(Renouf </w:t>
      </w:r>
      <w:r w:rsidR="00356CD8">
        <w:rPr>
          <w:sz w:val="20"/>
        </w:rPr>
        <w:t>y otros</w:t>
      </w:r>
      <w:r w:rsidRPr="000E0C20">
        <w:rPr>
          <w:sz w:val="20"/>
        </w:rPr>
        <w:t>, 2006).</w:t>
      </w:r>
    </w:p>
    <w:p w:rsidR="00AC2536" w:rsidRPr="00AC2536" w:rsidRDefault="00AC2536" w:rsidP="00AC2536">
      <w:pPr>
        <w:spacing w:line="360" w:lineRule="auto"/>
        <w:ind w:firstLine="720"/>
        <w:jc w:val="both"/>
        <w:rPr>
          <w:szCs w:val="24"/>
        </w:rPr>
      </w:pPr>
      <w:bookmarkStart w:id="33" w:name="_Toc299209463"/>
      <w:r w:rsidRPr="00AC2536">
        <w:rPr>
          <w:szCs w:val="24"/>
        </w:rPr>
        <w:t>Los experimentos realizados permitieron disminuir la concentración de demulsificante de 0,25 l/m</w:t>
      </w:r>
      <w:r w:rsidRPr="00AC2536">
        <w:rPr>
          <w:szCs w:val="24"/>
          <w:vertAlign w:val="superscript"/>
        </w:rPr>
        <w:t>3</w:t>
      </w:r>
      <w:r w:rsidRPr="00AC2536">
        <w:rPr>
          <w:szCs w:val="24"/>
        </w:rPr>
        <w:t xml:space="preserve"> a 0,07 l/m</w:t>
      </w:r>
      <w:r w:rsidRPr="00AC2536">
        <w:rPr>
          <w:szCs w:val="24"/>
          <w:vertAlign w:val="superscript"/>
        </w:rPr>
        <w:t>3</w:t>
      </w:r>
      <w:r w:rsidRPr="00AC2536">
        <w:rPr>
          <w:szCs w:val="24"/>
        </w:rPr>
        <w:t>, lo cual se traduce en un ahorro anual para la industria de 320.000 a 1.100.00 dólares por batería. La columna además promovió un tratamiento mucho más rápido que los tratamientos convencionales.</w:t>
      </w:r>
      <w:bookmarkEnd w:id="33"/>
      <w:r w:rsidRPr="00AC2536">
        <w:rPr>
          <w:szCs w:val="24"/>
        </w:rPr>
        <w:t xml:space="preserve"> </w:t>
      </w:r>
    </w:p>
    <w:p w:rsidR="00AC2536" w:rsidRPr="00AC2536" w:rsidRDefault="00AC2536" w:rsidP="00AC2536">
      <w:pPr>
        <w:spacing w:line="360" w:lineRule="auto"/>
        <w:ind w:firstLine="720"/>
        <w:jc w:val="both"/>
        <w:rPr>
          <w:szCs w:val="24"/>
        </w:rPr>
      </w:pPr>
      <w:bookmarkStart w:id="34" w:name="_Toc299209464"/>
      <w:r w:rsidRPr="00AC2536">
        <w:rPr>
          <w:szCs w:val="24"/>
        </w:rPr>
        <w:t>Este trabajo estudió de manera muy particular la influencia de cada una de las variables que rigen el proceso de coalescencia como la distribución de tamaño de gotas, el tiempo de residencia de la emulsión en el medio coalescedor, la tasa de flujo, la distribución de tamaño de partículas y la temperatura de la emulsión. En particular el estudio de la influencia del tamaño de partícula en el proceso de coalescencia determinó que rocas de 2,0 a 4,0 mm de diámetro mejoraron la separación en un 52% en comparación a rocas de 4,0 a 5,6 mm para las cuales la separación mejoró en un 48%., es decir que, a menor tamaño de partícula mejor será la separación.</w:t>
      </w:r>
      <w:bookmarkEnd w:id="34"/>
      <w:r w:rsidRPr="00AC2536">
        <w:rPr>
          <w:szCs w:val="24"/>
        </w:rPr>
        <w:t xml:space="preserve"> </w:t>
      </w:r>
    </w:p>
    <w:p w:rsidR="00AC2536" w:rsidRPr="00AC2536" w:rsidRDefault="00AC2536" w:rsidP="00AC2536">
      <w:pPr>
        <w:spacing w:line="360" w:lineRule="auto"/>
        <w:ind w:firstLine="720"/>
        <w:jc w:val="both"/>
        <w:rPr>
          <w:szCs w:val="24"/>
        </w:rPr>
      </w:pPr>
      <w:bookmarkStart w:id="35" w:name="_Toc299209465"/>
      <w:r w:rsidRPr="00AC2536">
        <w:rPr>
          <w:szCs w:val="24"/>
        </w:rPr>
        <w:t>Se realizaron además experimentos a temperatura y sin la adición de demulsificante y a temperaturas. Sin la adición de demulsificante y a una temperatura de 60°C se logró recuperar el 43% del agua emulsionada, más este porcentaje se incrementó al aumentar la temperatura de la emulsión, es decir, a 80°C el porcentaje de agua recuperada fue del 71%.</w:t>
      </w:r>
      <w:bookmarkEnd w:id="35"/>
    </w:p>
    <w:p w:rsidR="00AC2536" w:rsidRPr="00AC2536" w:rsidRDefault="00AC2536" w:rsidP="00AC2536">
      <w:pPr>
        <w:spacing w:line="360" w:lineRule="auto"/>
        <w:ind w:firstLine="720"/>
        <w:jc w:val="both"/>
        <w:rPr>
          <w:szCs w:val="24"/>
        </w:rPr>
      </w:pPr>
      <w:bookmarkStart w:id="36" w:name="_Toc299209466"/>
      <w:r w:rsidRPr="00AC2536">
        <w:rPr>
          <w:szCs w:val="24"/>
        </w:rPr>
        <w:t xml:space="preserve">Se realizaron más de 100 pruebas con la columna coalescedora. Para cada una de las experiencias se logró mejorar la separación. La incorporación de esta columna </w:t>
      </w:r>
      <w:r w:rsidRPr="00AC2536">
        <w:rPr>
          <w:szCs w:val="24"/>
        </w:rPr>
        <w:lastRenderedPageBreak/>
        <w:t>a un sistema de tratamiento de crudo tendría la potencialidad de disminuir el tiempo de tratamiento y la concentración de demulsificante</w:t>
      </w:r>
      <w:bookmarkEnd w:id="36"/>
      <w:r w:rsidRPr="00AC2536">
        <w:rPr>
          <w:szCs w:val="24"/>
        </w:rPr>
        <w:t>.</w:t>
      </w:r>
    </w:p>
    <w:p w:rsidR="00AC2536" w:rsidRPr="00AC2536" w:rsidRDefault="00AC2536" w:rsidP="00AC2536">
      <w:pPr>
        <w:spacing w:line="360" w:lineRule="auto"/>
        <w:ind w:firstLine="720"/>
        <w:jc w:val="both"/>
        <w:rPr>
          <w:szCs w:val="24"/>
        </w:rPr>
      </w:pPr>
      <w:bookmarkStart w:id="37" w:name="_Toc299209467"/>
      <w:r w:rsidRPr="00AC2536">
        <w:rPr>
          <w:szCs w:val="24"/>
        </w:rPr>
        <w:t xml:space="preserve">En el año 2009 </w:t>
      </w:r>
      <w:r w:rsidRPr="00AC2536">
        <w:rPr>
          <w:b/>
          <w:szCs w:val="24"/>
        </w:rPr>
        <w:t xml:space="preserve">Carlos Morales </w:t>
      </w:r>
      <w:r w:rsidRPr="00AC2536">
        <w:rPr>
          <w:szCs w:val="24"/>
        </w:rPr>
        <w:t>(2009), estudió fenómenos de desestabilización de emulsiones W/O que incluyeron materiales coalescedores y campo eléctrico para promover la coalescencia de las gotas de agua emulsionadas. El estudio se realizó a partir de emulsiones sintéticas y naturales (agua-hidrocarburo), éstas últimas provenientes de fosas petroleras de distintas regiones de Venezuela.</w:t>
      </w:r>
      <w:bookmarkEnd w:id="37"/>
    </w:p>
    <w:p w:rsidR="00AC2536" w:rsidRPr="00AC2536" w:rsidRDefault="00AC2536" w:rsidP="00AC2536">
      <w:pPr>
        <w:spacing w:line="360" w:lineRule="auto"/>
        <w:ind w:firstLine="720"/>
        <w:jc w:val="both"/>
        <w:rPr>
          <w:szCs w:val="24"/>
        </w:rPr>
      </w:pPr>
      <w:bookmarkStart w:id="38" w:name="_Toc299209468"/>
      <w:r w:rsidRPr="00AC2536">
        <w:rPr>
          <w:szCs w:val="24"/>
        </w:rPr>
        <w:t>Uno de los objetivos principales de este trabajo se centró en evaluar la implementación de un medio coalescedor cómo coadyuvante en el proceso de coalescencia, restringido a emulsiones sintéticas. Las experiencias destinadas a emulsiones naturales se refirieron únicamente a la desestabilización ante la aplicación de un campo eléctrico con DC, más ninguna de las pruebas realizadas incorporó el uso de demulsificantes.</w:t>
      </w:r>
      <w:bookmarkEnd w:id="38"/>
    </w:p>
    <w:p w:rsidR="00AC2536" w:rsidRPr="00AC2536" w:rsidRDefault="00AC2536" w:rsidP="00AC2536">
      <w:pPr>
        <w:spacing w:line="360" w:lineRule="auto"/>
        <w:ind w:firstLine="720"/>
        <w:jc w:val="both"/>
        <w:rPr>
          <w:szCs w:val="24"/>
        </w:rPr>
      </w:pPr>
      <w:bookmarkStart w:id="39" w:name="_Toc299209469"/>
      <w:r w:rsidRPr="00AC2536">
        <w:rPr>
          <w:szCs w:val="24"/>
        </w:rPr>
        <w:t>El estudio del efecto de un material coalescedor en la desestabilización de la emulsión se basó fundamentalmente en la influencia de la mojabilidad, el tamaño de partícula y el tiempo de contacto del material con la emulsión, sobre la recuperación de la fases continua (parafina) y discreta (agua) de emulsiones W/O y aceite-agua (O/W) en diferentes concentraciones, formuladas a partir de parafina, agua y Span 80 como estabilizador.</w:t>
      </w:r>
      <w:bookmarkEnd w:id="39"/>
      <w:r w:rsidRPr="00AC2536">
        <w:rPr>
          <w:szCs w:val="24"/>
        </w:rPr>
        <w:t xml:space="preserve"> </w:t>
      </w:r>
    </w:p>
    <w:p w:rsidR="00AC2536" w:rsidRPr="00AC2536" w:rsidRDefault="00AC2536" w:rsidP="00AC2536">
      <w:pPr>
        <w:spacing w:line="360" w:lineRule="auto"/>
        <w:ind w:firstLine="720"/>
        <w:jc w:val="both"/>
        <w:rPr>
          <w:szCs w:val="24"/>
        </w:rPr>
      </w:pPr>
      <w:bookmarkStart w:id="40" w:name="_Toc299209470"/>
      <w:r w:rsidRPr="00AC2536">
        <w:rPr>
          <w:szCs w:val="24"/>
        </w:rPr>
        <w:t>Entre los materiales utilizados como medios coalescedores empleó: vidrio, polipropileno, polivinilcloruro, metal, madera de cedro, madera de samán y cáscaras de maní. Esta preselección se realizó en base al trabajo de Litkalina Zarvace (2006</w:t>
      </w:r>
      <w:bookmarkStart w:id="41" w:name="_Toc299209471"/>
      <w:bookmarkEnd w:id="40"/>
      <w:r w:rsidRPr="00AC2536">
        <w:rPr>
          <w:szCs w:val="24"/>
        </w:rPr>
        <w:t>).</w:t>
      </w:r>
    </w:p>
    <w:p w:rsidR="00AC2536" w:rsidRPr="00AC2536" w:rsidRDefault="00AC2536" w:rsidP="00AC2536">
      <w:pPr>
        <w:spacing w:line="360" w:lineRule="auto"/>
        <w:ind w:firstLine="720"/>
        <w:jc w:val="both"/>
        <w:rPr>
          <w:szCs w:val="24"/>
        </w:rPr>
      </w:pPr>
      <w:r w:rsidRPr="00AC2536">
        <w:rPr>
          <w:szCs w:val="24"/>
        </w:rPr>
        <w:t>El proceso de desestabilización que se empleo para promover la coalescencia del agua y la clarificación de la parafina fue la centrifugación. En todas las pruebas realizadas las muestras, junto con el material coalescedor, fueron centrifugadas a 2600 rpm por lapsos de tiempo variables que van desde los 30 a los 120 min.</w:t>
      </w:r>
      <w:bookmarkEnd w:id="41"/>
    </w:p>
    <w:p w:rsidR="00AC2536" w:rsidRPr="00AC2536" w:rsidRDefault="00AC2536" w:rsidP="00AC2536">
      <w:pPr>
        <w:spacing w:line="360" w:lineRule="auto"/>
        <w:ind w:firstLine="720"/>
        <w:jc w:val="both"/>
        <w:rPr>
          <w:szCs w:val="24"/>
        </w:rPr>
      </w:pPr>
      <w:bookmarkStart w:id="42" w:name="_Toc299209472"/>
      <w:r w:rsidRPr="00AC2536">
        <w:rPr>
          <w:szCs w:val="24"/>
        </w:rPr>
        <w:t xml:space="preserve">Respecto a la mojabilidad del material, materiales hidrofóbicos, proporcionan una mayor eficiencia respecto al porcentaje de agua recuperada (Madia et al, 1976). Esto se corroboró utilizando cáscaras de maní (hidrofóbico), alcanzando el mayor porcentaje de recuperación de agua, mayor al 80% para 120 min de centrifugación, </w:t>
      </w:r>
      <w:r w:rsidRPr="00AC2536">
        <w:rPr>
          <w:szCs w:val="24"/>
        </w:rPr>
        <w:lastRenderedPageBreak/>
        <w:t>mientras que el empleo de vidrio (hidrofílico) solo se alcanzó porcentajes de recuperación menores al 20 %. No se observó separación de fases en ausencia de material coalescedor.</w:t>
      </w:r>
      <w:bookmarkEnd w:id="42"/>
    </w:p>
    <w:p w:rsidR="00AC2536" w:rsidRPr="00AC2536" w:rsidRDefault="00AC2536" w:rsidP="00AC2536">
      <w:pPr>
        <w:spacing w:line="360" w:lineRule="auto"/>
        <w:ind w:firstLine="720"/>
        <w:jc w:val="both"/>
        <w:rPr>
          <w:szCs w:val="24"/>
        </w:rPr>
      </w:pPr>
      <w:bookmarkStart w:id="43" w:name="_Toc299209473"/>
      <w:r w:rsidRPr="00AC2536">
        <w:rPr>
          <w:szCs w:val="24"/>
        </w:rPr>
        <w:t>De igual forma, se evaluó la influencia del tamaño de partícula del material en la recuperación del agua emulsionada. Para esto se dispuso de cáscaras de maní de diferentes tamaños y se sometieron a centrifugación a 2600 rpm durante 30 min. Se encontró que conforme disminuye el tamaño de la partícula, mejor es la recuperación. Para partículas menores a 0,89 mm de diámetro se alcanzaron porcentajes de recuperación mayores al 70 % a tiempos de centrifugación más cortos cercanos a los 30 min.</w:t>
      </w:r>
      <w:bookmarkEnd w:id="43"/>
    </w:p>
    <w:p w:rsidR="00AC2536" w:rsidRPr="00AC2536" w:rsidRDefault="00AC2536" w:rsidP="00AC2536">
      <w:pPr>
        <w:spacing w:line="360" w:lineRule="auto"/>
        <w:ind w:firstLine="720"/>
        <w:jc w:val="both"/>
        <w:rPr>
          <w:szCs w:val="24"/>
        </w:rPr>
      </w:pPr>
      <w:bookmarkStart w:id="44" w:name="_Toc299209474"/>
      <w:r w:rsidRPr="00AC2536">
        <w:rPr>
          <w:szCs w:val="24"/>
        </w:rPr>
        <w:t>Para evaluar el efecto del tiempo de contacto entre la emulsión y el material, se compararon los porcentajes de recuperación de agua obtenidos al centrifugar las muestras durante 20 min inmediatamente después de su preparación y 24 hrs después de preparadas. Los resultados demostraron que la separación se hace más eficiente conforme aumenten el tiempo de contacto entre el material coalescedor y la emulsión.</w:t>
      </w:r>
      <w:bookmarkEnd w:id="44"/>
    </w:p>
    <w:p w:rsidR="00AC2536" w:rsidRPr="00AC2536" w:rsidRDefault="00AC2536" w:rsidP="00AC2536">
      <w:pPr>
        <w:spacing w:line="360" w:lineRule="auto"/>
        <w:ind w:firstLine="720"/>
        <w:jc w:val="both"/>
        <w:rPr>
          <w:szCs w:val="24"/>
        </w:rPr>
      </w:pPr>
      <w:bookmarkStart w:id="45" w:name="_Toc299209475"/>
      <w:r w:rsidRPr="00AC2536">
        <w:rPr>
          <w:szCs w:val="24"/>
        </w:rPr>
        <w:t xml:space="preserve">Uno de los objetivos principales de este trabajo consistió en integrar los dos procesos de desestabilización estudiados, material coalescedor y campo eléctrico con DC. Para ello se empleo una celda con electrodos de cobre planos y paralelos de 0,2 cm de ancho y 8,0 cm de largo a una distancia de separación de 1,0 cm. Se realizaron 4 pruebas distintas alternando el orden de aplicación de ambos procesos. Se aplicó un campo eléctrico DC a 4,0 kV por 5 min utilizando combinaciones de vidrio y cáscaras de maní como materiales coalescedores y tiempos de centrifugación de 20 min. Los resultados reportados se presentan en la </w:t>
      </w:r>
      <w:r w:rsidR="003E7EDD">
        <w:rPr>
          <w:szCs w:val="24"/>
        </w:rPr>
        <w:t>f</w:t>
      </w:r>
      <w:r w:rsidRPr="00AC2536">
        <w:rPr>
          <w:szCs w:val="24"/>
        </w:rPr>
        <w:t>igura Nº 3</w:t>
      </w:r>
      <w:bookmarkEnd w:id="45"/>
      <w:r w:rsidRPr="00AC2536">
        <w:rPr>
          <w:szCs w:val="24"/>
        </w:rPr>
        <w:t>. Como puede observar en esta figura, al integrar los dos procesos de desestabilización se obtienen eficiencias de separación mayores en comparación a las obtenidas cuando se aplican estos mecanismos de forma aislada.</w:t>
      </w:r>
    </w:p>
    <w:p w:rsidR="00AC2536" w:rsidRPr="00AC2536" w:rsidRDefault="00A73CD2" w:rsidP="00AC2536">
      <w:pPr>
        <w:spacing w:line="360" w:lineRule="auto"/>
        <w:jc w:val="center"/>
        <w:rPr>
          <w:szCs w:val="24"/>
        </w:rPr>
      </w:pPr>
      <w:r w:rsidRPr="00A73CD2">
        <w:rPr>
          <w:noProof/>
          <w:lang w:val="en-US" w:eastAsia="en-US"/>
        </w:rPr>
        <w:lastRenderedPageBreak/>
        <w:pict>
          <v:shapetype id="_x0000_t202" coordsize="21600,21600" o:spt="202" path="m,l,21600r21600,l21600,xe">
            <v:stroke joinstyle="miter"/>
            <v:path gradientshapeok="t" o:connecttype="rect"/>
          </v:shapetype>
          <v:shape id="_x0000_s1660" type="#_x0000_t202" style="position:absolute;left:0;text-align:left;margin-left:158.5pt;margin-top:137.8pt;width:260.25pt;height:18.7pt;z-index:251878912;mso-height-percent:200;mso-height-percent:200;mso-width-relative:margin;mso-height-relative:margin" stroked="f">
            <v:textbox style="mso-next-textbox:#_x0000_s1660;mso-fit-shape-to-text:t">
              <w:txbxContent>
                <w:p w:rsidR="004134A0" w:rsidRPr="00E02E42" w:rsidRDefault="004134A0" w:rsidP="00C754D3">
                  <w:pPr>
                    <w:jc w:val="center"/>
                    <w:rPr>
                      <w:sz w:val="20"/>
                      <w:lang w:val="en-US"/>
                    </w:rPr>
                  </w:pPr>
                  <w:r>
                    <w:rPr>
                      <w:sz w:val="20"/>
                    </w:rPr>
                    <w:t xml:space="preserve">           0   10  20  30  40  50  60  70  80  90  100</w:t>
                  </w:r>
                </w:p>
              </w:txbxContent>
            </v:textbox>
          </v:shape>
        </w:pict>
      </w:r>
      <w:r>
        <w:rPr>
          <w:noProof/>
          <w:szCs w:val="24"/>
          <w:lang w:val="en-US" w:eastAsia="en-US"/>
        </w:rPr>
        <w:pict>
          <v:shape id="_x0000_s1437" type="#_x0000_t202" style="position:absolute;left:0;text-align:left;margin-left:1.65pt;margin-top:112.65pt;width:218.05pt;height:18.7pt;z-index:251792896;mso-height-percent:200;mso-height-percent:200;mso-width-relative:margin;mso-height-relative:margin" stroked="f">
            <v:textbox style="mso-next-textbox:#_x0000_s1437;mso-fit-shape-to-text:t">
              <w:txbxContent>
                <w:p w:rsidR="004134A0" w:rsidRPr="00E02E42" w:rsidRDefault="004134A0" w:rsidP="00AC2536">
                  <w:pPr>
                    <w:jc w:val="right"/>
                    <w:rPr>
                      <w:sz w:val="20"/>
                      <w:lang w:val="en-US"/>
                    </w:rPr>
                  </w:pPr>
                  <w:r>
                    <w:rPr>
                      <w:sz w:val="20"/>
                    </w:rPr>
                    <w:t>Material  + Campo eléctrico +  Centrifugación</w:t>
                  </w:r>
                </w:p>
              </w:txbxContent>
            </v:textbox>
          </v:shape>
        </w:pict>
      </w:r>
      <w:r>
        <w:rPr>
          <w:noProof/>
          <w:szCs w:val="24"/>
          <w:lang w:val="en-US" w:eastAsia="en-US"/>
        </w:rPr>
        <w:pict>
          <v:shape id="_x0000_s1436" type="#_x0000_t202" style="position:absolute;left:0;text-align:left;margin-left:1.65pt;margin-top:88.65pt;width:218.05pt;height:18.7pt;z-index:251791872;mso-height-percent:200;mso-height-percent:200;mso-width-relative:margin;mso-height-relative:margin" stroked="f">
            <v:textbox style="mso-next-textbox:#_x0000_s1436;mso-fit-shape-to-text:t">
              <w:txbxContent>
                <w:p w:rsidR="004134A0" w:rsidRPr="00E02E42" w:rsidRDefault="004134A0" w:rsidP="00AC2536">
                  <w:pPr>
                    <w:jc w:val="right"/>
                    <w:rPr>
                      <w:sz w:val="20"/>
                      <w:lang w:val="en-US"/>
                    </w:rPr>
                  </w:pPr>
                  <w:r>
                    <w:rPr>
                      <w:sz w:val="20"/>
                    </w:rPr>
                    <w:t>Campo eléctrico +  Material + Centrifugación</w:t>
                  </w:r>
                </w:p>
              </w:txbxContent>
            </v:textbox>
          </v:shape>
        </w:pict>
      </w:r>
      <w:r>
        <w:rPr>
          <w:noProof/>
          <w:szCs w:val="24"/>
          <w:lang w:val="en-US" w:eastAsia="en-US"/>
        </w:rPr>
        <w:pict>
          <v:shape id="_x0000_s1435" type="#_x0000_t202" style="position:absolute;left:0;text-align:left;margin-left:30.6pt;margin-top:62pt;width:189.1pt;height:18.7pt;z-index:251790848;mso-height-percent:200;mso-height-percent:200;mso-width-relative:margin;mso-height-relative:margin" stroked="f">
            <v:textbox style="mso-next-textbox:#_x0000_s1435;mso-fit-shape-to-text:t">
              <w:txbxContent>
                <w:p w:rsidR="004134A0" w:rsidRPr="00E02E42" w:rsidRDefault="004134A0" w:rsidP="00AC2536">
                  <w:pPr>
                    <w:jc w:val="right"/>
                    <w:rPr>
                      <w:sz w:val="20"/>
                      <w:lang w:val="en-US"/>
                    </w:rPr>
                  </w:pPr>
                  <w:r>
                    <w:rPr>
                      <w:sz w:val="20"/>
                    </w:rPr>
                    <w:t>Campo eléctrico + Centrifugación</w:t>
                  </w:r>
                </w:p>
              </w:txbxContent>
            </v:textbox>
          </v:shape>
        </w:pict>
      </w:r>
      <w:r>
        <w:rPr>
          <w:noProof/>
          <w:szCs w:val="24"/>
          <w:lang w:val="en-US" w:eastAsia="en-US"/>
        </w:rPr>
        <w:pict>
          <v:shape id="_x0000_s1434" type="#_x0000_t202" style="position:absolute;left:0;text-align:left;margin-left:30.6pt;margin-top:34.95pt;width:189.1pt;height:30.2pt;z-index:251789824;mso-height-percent:200;mso-height-percent:200;mso-width-relative:margin;mso-height-relative:margin" stroked="f">
            <v:textbox style="mso-next-textbox:#_x0000_s1434;mso-fit-shape-to-text:t">
              <w:txbxContent>
                <w:p w:rsidR="004134A0" w:rsidRPr="00E02E42" w:rsidRDefault="004134A0" w:rsidP="00AC2536">
                  <w:pPr>
                    <w:jc w:val="right"/>
                    <w:rPr>
                      <w:sz w:val="20"/>
                      <w:lang w:val="en-US"/>
                    </w:rPr>
                  </w:pPr>
                  <w:r>
                    <w:rPr>
                      <w:sz w:val="20"/>
                    </w:rPr>
                    <w:t>Medio coalescedor + Centrifugación</w:t>
                  </w:r>
                </w:p>
              </w:txbxContent>
            </v:textbox>
          </v:shape>
        </w:pict>
      </w:r>
      <w:r>
        <w:rPr>
          <w:noProof/>
          <w:szCs w:val="24"/>
          <w:lang w:val="en-US" w:eastAsia="en-US"/>
        </w:rPr>
        <w:pict>
          <v:shape id="_x0000_s1433" type="#_x0000_t202" style="position:absolute;left:0;text-align:left;margin-left:81pt;margin-top:4.25pt;width:138.7pt;height:18.7pt;z-index:251788800;mso-height-percent:200;mso-height-percent:200;mso-width-relative:margin;mso-height-relative:margin" stroked="f">
            <v:textbox style="mso-next-textbox:#_x0000_s1433;mso-fit-shape-to-text:t">
              <w:txbxContent>
                <w:p w:rsidR="004134A0" w:rsidRPr="00E02E42" w:rsidRDefault="004134A0" w:rsidP="00AC2536">
                  <w:pPr>
                    <w:jc w:val="right"/>
                    <w:rPr>
                      <w:sz w:val="20"/>
                      <w:lang w:val="en-US"/>
                    </w:rPr>
                  </w:pPr>
                  <w:r>
                    <w:rPr>
                      <w:sz w:val="20"/>
                    </w:rPr>
                    <w:t>Centrifugación</w:t>
                  </w:r>
                </w:p>
              </w:txbxContent>
            </v:textbox>
          </v:shape>
        </w:pict>
      </w:r>
      <w:r w:rsidRPr="00A73CD2">
        <w:rPr>
          <w:noProof/>
          <w:szCs w:val="24"/>
          <w:lang w:eastAsia="zh-TW"/>
        </w:rPr>
        <w:pict>
          <v:shape id="_x0000_s1432" type="#_x0000_t202" style="position:absolute;left:0;text-align:left;margin-left:230.9pt;margin-top:156.5pt;width:138.7pt;height:18.7pt;z-index:251787776;mso-height-percent:200;mso-height-percent:200;mso-width-relative:margin;mso-height-relative:margin" stroked="f">
            <v:textbox style="mso-next-textbox:#_x0000_s1432;mso-fit-shape-to-text:t">
              <w:txbxContent>
                <w:p w:rsidR="004134A0" w:rsidRPr="00E02E42" w:rsidRDefault="004134A0" w:rsidP="00AC2536">
                  <w:pPr>
                    <w:jc w:val="center"/>
                    <w:rPr>
                      <w:sz w:val="20"/>
                      <w:lang w:val="en-US"/>
                    </w:rPr>
                  </w:pPr>
                  <w:r w:rsidRPr="00E02E42">
                    <w:rPr>
                      <w:sz w:val="20"/>
                    </w:rPr>
                    <w:t>Fases recuperadas (%)</w:t>
                  </w:r>
                </w:p>
              </w:txbxContent>
            </v:textbox>
          </v:shape>
        </w:pict>
      </w:r>
      <w:r w:rsidR="00AC2536" w:rsidRPr="00AC2536">
        <w:rPr>
          <w:noProof/>
          <w:szCs w:val="24"/>
          <w:lang w:val="en-US" w:eastAsia="en-US"/>
        </w:rPr>
        <w:drawing>
          <wp:inline distT="0" distB="0" distL="0" distR="0">
            <wp:extent cx="4761230" cy="2186305"/>
            <wp:effectExtent l="19050" t="0" r="1270"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61230" cy="2186305"/>
                    </a:xfrm>
                    <a:prstGeom prst="rect">
                      <a:avLst/>
                    </a:prstGeom>
                    <a:noFill/>
                    <a:ln w="9525">
                      <a:noFill/>
                      <a:miter lim="800000"/>
                      <a:headEnd/>
                      <a:tailEnd/>
                    </a:ln>
                  </pic:spPr>
                </pic:pic>
              </a:graphicData>
            </a:graphic>
          </wp:inline>
        </w:drawing>
      </w:r>
    </w:p>
    <w:p w:rsidR="00AC2536" w:rsidRPr="00AC2536" w:rsidRDefault="000E0C20" w:rsidP="000E0C20">
      <w:pPr>
        <w:pStyle w:val="Epgrafe"/>
        <w:rPr>
          <w:szCs w:val="24"/>
        </w:rPr>
      </w:pPr>
      <w:bookmarkStart w:id="46" w:name="_Toc299209476"/>
      <w:bookmarkStart w:id="47" w:name="_Toc327481415"/>
      <w:r>
        <w:t xml:space="preserve">Figura N° </w:t>
      </w:r>
      <w:fldSimple w:instr=" SEQ Figura_N° \* ARABIC ">
        <w:r w:rsidR="004A5F6F">
          <w:rPr>
            <w:noProof/>
          </w:rPr>
          <w:t>3</w:t>
        </w:r>
      </w:fldSimple>
      <w:r w:rsidR="00AC2536" w:rsidRPr="00AC2536">
        <w:rPr>
          <w:szCs w:val="24"/>
        </w:rPr>
        <w:t>: Integración de las técnicas de desestabilización sobre porcentaje recuperado de las fa</w:t>
      </w:r>
      <w:r w:rsidR="00356CD8">
        <w:rPr>
          <w:szCs w:val="24"/>
        </w:rPr>
        <w:t>ses,</w:t>
      </w:r>
      <w:r w:rsidR="00AC2536" w:rsidRPr="00AC2536">
        <w:rPr>
          <w:szCs w:val="24"/>
        </w:rPr>
        <w:t xml:space="preserve"> </w:t>
      </w:r>
      <w:r w:rsidR="00AC2536" w:rsidRPr="00AC2536">
        <w:rPr>
          <w:noProof/>
          <w:szCs w:val="24"/>
          <w:lang w:val="en-US" w:eastAsia="en-US"/>
        </w:rPr>
        <w:drawing>
          <wp:inline distT="0" distB="0" distL="0" distR="0">
            <wp:extent cx="166196" cy="166196"/>
            <wp:effectExtent l="19050" t="0" r="5254" b="0"/>
            <wp:docPr id="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64839" cy="164839"/>
                    </a:xfrm>
                    <a:prstGeom prst="rect">
                      <a:avLst/>
                    </a:prstGeom>
                    <a:noFill/>
                    <a:ln w="9525">
                      <a:noFill/>
                      <a:miter lim="800000"/>
                      <a:headEnd/>
                      <a:tailEnd/>
                    </a:ln>
                  </pic:spPr>
                </pic:pic>
              </a:graphicData>
            </a:graphic>
          </wp:inline>
        </w:drawing>
      </w:r>
      <w:r w:rsidR="00AC2536" w:rsidRPr="00AC2536">
        <w:rPr>
          <w:szCs w:val="24"/>
        </w:rPr>
        <w:t xml:space="preserve"> Agua </w:t>
      </w:r>
      <w:r w:rsidR="00AC2536" w:rsidRPr="00AC2536">
        <w:rPr>
          <w:noProof/>
          <w:szCs w:val="24"/>
          <w:lang w:val="en-US" w:eastAsia="en-US"/>
        </w:rPr>
        <w:drawing>
          <wp:inline distT="0" distB="0" distL="0" distR="0">
            <wp:extent cx="160663" cy="168166"/>
            <wp:effectExtent l="19050" t="0" r="0" b="0"/>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60794" cy="168303"/>
                    </a:xfrm>
                    <a:prstGeom prst="rect">
                      <a:avLst/>
                    </a:prstGeom>
                    <a:noFill/>
                    <a:ln w="9525">
                      <a:noFill/>
                      <a:miter lim="800000"/>
                      <a:headEnd/>
                      <a:tailEnd/>
                    </a:ln>
                  </pic:spPr>
                </pic:pic>
              </a:graphicData>
            </a:graphic>
          </wp:inline>
        </w:drawing>
      </w:r>
      <w:r w:rsidR="00AC2536" w:rsidRPr="00AC2536">
        <w:rPr>
          <w:szCs w:val="24"/>
        </w:rPr>
        <w:t xml:space="preserve"> Parafina</w:t>
      </w:r>
      <w:bookmarkEnd w:id="46"/>
      <w:r w:rsidR="00AC2536" w:rsidRPr="00AC2536">
        <w:rPr>
          <w:szCs w:val="24"/>
        </w:rPr>
        <w:t xml:space="preserve"> (Morales, 2009).</w:t>
      </w:r>
      <w:bookmarkEnd w:id="47"/>
    </w:p>
    <w:p w:rsidR="00AC2536" w:rsidRPr="00AC2536" w:rsidRDefault="00AC2536" w:rsidP="00AC2536">
      <w:pPr>
        <w:spacing w:line="360" w:lineRule="auto"/>
        <w:ind w:firstLine="720"/>
        <w:jc w:val="both"/>
        <w:rPr>
          <w:szCs w:val="24"/>
        </w:rPr>
      </w:pPr>
      <w:bookmarkStart w:id="48" w:name="_Toc299209477"/>
      <w:r w:rsidRPr="00AC2536">
        <w:rPr>
          <w:szCs w:val="24"/>
        </w:rPr>
        <w:t>Los resultados presentados por Morales, a pesar de que representan un avance importante en la fundamentación de los procesos de desestabilización de emulsiones W/O con materiales coalescedores y campo eléctrico, el tratamiento de emulsiones W/O altamente estables constituyen un reto mayor para los investigadores y la industria dado que la separación resulta mucho más difícil.</w:t>
      </w:r>
      <w:bookmarkEnd w:id="48"/>
    </w:p>
    <w:p w:rsidR="00AC2536" w:rsidRPr="00AC2536" w:rsidRDefault="00AC2536" w:rsidP="00AC2536">
      <w:pPr>
        <w:spacing w:line="360" w:lineRule="auto"/>
        <w:jc w:val="both"/>
        <w:rPr>
          <w:szCs w:val="24"/>
        </w:rPr>
      </w:pPr>
      <w:r w:rsidRPr="00AC2536">
        <w:rPr>
          <w:szCs w:val="24"/>
        </w:rPr>
        <w:tab/>
      </w:r>
      <w:bookmarkStart w:id="49" w:name="_Toc299209484"/>
      <w:r w:rsidRPr="00AC2536">
        <w:rPr>
          <w:szCs w:val="24"/>
        </w:rPr>
        <w:t xml:space="preserve">Actualmente </w:t>
      </w:r>
      <w:r w:rsidRPr="00AC2536">
        <w:rPr>
          <w:b/>
          <w:szCs w:val="24"/>
        </w:rPr>
        <w:t>Fung. S, Edward J. (</w:t>
      </w:r>
      <w:r w:rsidRPr="00AC2536">
        <w:rPr>
          <w:szCs w:val="24"/>
        </w:rPr>
        <w:t>en ejecución</w:t>
      </w:r>
      <w:r w:rsidRPr="00AC2536">
        <w:rPr>
          <w:b/>
          <w:szCs w:val="24"/>
        </w:rPr>
        <w:t>)</w:t>
      </w:r>
      <w:r w:rsidRPr="00AC2536">
        <w:rPr>
          <w:szCs w:val="24"/>
        </w:rPr>
        <w:t>, está estudiando el tratamiento con un campo eléctrico DC, de material de fosas diluidas con solventes parafínicos y aromáticos, a fin de optimizar las variables de operación asociadas al tratamiento de este material de fosas diluido que permita la mayor recuperación posible de agua emulsionada.</w:t>
      </w:r>
      <w:bookmarkEnd w:id="49"/>
      <w:r w:rsidRPr="00AC2536">
        <w:rPr>
          <w:szCs w:val="24"/>
        </w:rPr>
        <w:t xml:space="preserve"> </w:t>
      </w:r>
    </w:p>
    <w:p w:rsidR="0047500E" w:rsidRDefault="00AC2536" w:rsidP="00AC2536">
      <w:pPr>
        <w:spacing w:line="360" w:lineRule="auto"/>
        <w:jc w:val="both"/>
        <w:rPr>
          <w:szCs w:val="24"/>
        </w:rPr>
      </w:pPr>
      <w:r w:rsidRPr="00AC2536">
        <w:rPr>
          <w:szCs w:val="24"/>
        </w:rPr>
        <w:tab/>
      </w:r>
      <w:bookmarkStart w:id="50" w:name="_Toc299209485"/>
      <w:r w:rsidRPr="00AC2536">
        <w:rPr>
          <w:szCs w:val="24"/>
        </w:rPr>
        <w:t xml:space="preserve">Las pruebas se </w:t>
      </w:r>
      <w:r w:rsidR="005429E4">
        <w:rPr>
          <w:szCs w:val="24"/>
        </w:rPr>
        <w:t>realizaron</w:t>
      </w:r>
      <w:r w:rsidRPr="00AC2536">
        <w:rPr>
          <w:szCs w:val="24"/>
        </w:rPr>
        <w:t xml:space="preserve"> en una celda de trabajo </w:t>
      </w:r>
      <w:r w:rsidR="00D41AD1">
        <w:rPr>
          <w:szCs w:val="24"/>
        </w:rPr>
        <w:t>de operación batch. El diseño y construcción de esta celda se realizó en conjunto con Edward Fung y el equipo del LSM por lo que constituye parte esencial</w:t>
      </w:r>
      <w:r w:rsidR="0047500E">
        <w:rPr>
          <w:szCs w:val="24"/>
        </w:rPr>
        <w:t xml:space="preserve"> de este trabajo</w:t>
      </w:r>
      <w:r w:rsidRPr="00AC2536">
        <w:rPr>
          <w:szCs w:val="24"/>
        </w:rPr>
        <w:t xml:space="preserve">. </w:t>
      </w:r>
    </w:p>
    <w:p w:rsidR="00AC2536" w:rsidRDefault="0047500E" w:rsidP="00AC2536">
      <w:pPr>
        <w:spacing w:line="360" w:lineRule="auto"/>
        <w:jc w:val="both"/>
        <w:rPr>
          <w:szCs w:val="24"/>
        </w:rPr>
      </w:pPr>
      <w:r>
        <w:rPr>
          <w:szCs w:val="24"/>
        </w:rPr>
        <w:t>Empleando la técnica de</w:t>
      </w:r>
      <w:r w:rsidR="00AC2536" w:rsidRPr="00AC2536">
        <w:rPr>
          <w:szCs w:val="24"/>
        </w:rPr>
        <w:t xml:space="preserve"> microscopía óptica</w:t>
      </w:r>
      <w:r>
        <w:rPr>
          <w:szCs w:val="24"/>
        </w:rPr>
        <w:t>, Fung</w:t>
      </w:r>
      <w:r w:rsidR="00AC2536" w:rsidRPr="00AC2536">
        <w:rPr>
          <w:szCs w:val="24"/>
        </w:rPr>
        <w:t xml:space="preserve"> determin</w:t>
      </w:r>
      <w:r>
        <w:rPr>
          <w:szCs w:val="24"/>
        </w:rPr>
        <w:t>ó</w:t>
      </w:r>
      <w:r w:rsidR="00AC2536" w:rsidRPr="00AC2536">
        <w:rPr>
          <w:szCs w:val="24"/>
        </w:rPr>
        <w:t xml:space="preserve"> la distribución de tamaño de gotas en una muestra y posteriormente su contenido de agua</w:t>
      </w:r>
      <w:r>
        <w:rPr>
          <w:szCs w:val="24"/>
        </w:rPr>
        <w:t xml:space="preserve"> mediante el desarrollo de una hoja de cálculo Excel.</w:t>
      </w:r>
      <w:r w:rsidR="00AC2536" w:rsidRPr="00AC2536">
        <w:rPr>
          <w:szCs w:val="24"/>
        </w:rPr>
        <w:t xml:space="preserve"> </w:t>
      </w:r>
      <w:bookmarkEnd w:id="50"/>
      <w:r w:rsidR="005429E4">
        <w:rPr>
          <w:szCs w:val="24"/>
        </w:rPr>
        <w:t>Los resultados de Edward Fung permitieron sentar las bases para la construcción de un sistema de tratamiento de fosas de producción de operación en continuo</w:t>
      </w:r>
      <w:r>
        <w:rPr>
          <w:szCs w:val="24"/>
        </w:rPr>
        <w:t>. A continuación se mencionan brevemente los más destacados:</w:t>
      </w:r>
      <w:r w:rsidR="005429E4">
        <w:rPr>
          <w:szCs w:val="24"/>
        </w:rPr>
        <w:t xml:space="preserve"> </w:t>
      </w:r>
    </w:p>
    <w:p w:rsidR="005429E4" w:rsidRPr="00F4506C" w:rsidRDefault="005429E4" w:rsidP="005429E4">
      <w:pPr>
        <w:pStyle w:val="Prrafodelista"/>
        <w:numPr>
          <w:ilvl w:val="1"/>
          <w:numId w:val="2"/>
        </w:numPr>
        <w:spacing w:line="360" w:lineRule="auto"/>
        <w:ind w:left="540" w:firstLine="0"/>
        <w:jc w:val="both"/>
        <w:rPr>
          <w:color w:val="000000" w:themeColor="text1"/>
          <w:szCs w:val="24"/>
        </w:rPr>
      </w:pPr>
      <w:r w:rsidRPr="00F4506C">
        <w:rPr>
          <w:color w:val="000000" w:themeColor="text1"/>
          <w:szCs w:val="24"/>
        </w:rPr>
        <w:lastRenderedPageBreak/>
        <w:t>Desaparición de grandes gotas del campo visual del microscopio, quizá debido a interacciones con el material del portaobjetos.</w:t>
      </w:r>
    </w:p>
    <w:p w:rsidR="005429E4" w:rsidRPr="00F4506C" w:rsidRDefault="005429E4" w:rsidP="005429E4">
      <w:pPr>
        <w:pStyle w:val="Prrafodelista"/>
        <w:numPr>
          <w:ilvl w:val="1"/>
          <w:numId w:val="2"/>
        </w:numPr>
        <w:spacing w:line="360" w:lineRule="auto"/>
        <w:ind w:left="540" w:firstLine="0"/>
        <w:jc w:val="both"/>
        <w:rPr>
          <w:color w:val="000000" w:themeColor="text1"/>
          <w:szCs w:val="24"/>
        </w:rPr>
      </w:pPr>
      <w:r w:rsidRPr="00F4506C">
        <w:rPr>
          <w:color w:val="000000" w:themeColor="text1"/>
          <w:szCs w:val="24"/>
        </w:rPr>
        <w:t>Tanto en la “celda de observación” como en la “celda de trabajo”, la coalescencia de gotas de agua mediante la aplicación de corriente directa ocurre en su mayoría en la vecindad de los electrodos, con mayor tendencia en la cercanía al electrodo negativo.</w:t>
      </w:r>
    </w:p>
    <w:p w:rsidR="005429E4" w:rsidRPr="00F4506C" w:rsidRDefault="005429E4" w:rsidP="005429E4">
      <w:pPr>
        <w:pStyle w:val="Prrafodelista"/>
        <w:spacing w:line="360" w:lineRule="auto"/>
        <w:ind w:left="0"/>
        <w:jc w:val="both"/>
        <w:rPr>
          <w:color w:val="000000" w:themeColor="text1"/>
          <w:szCs w:val="24"/>
        </w:rPr>
      </w:pPr>
      <w:r>
        <w:rPr>
          <w:color w:val="000000" w:themeColor="text1"/>
          <w:szCs w:val="24"/>
        </w:rPr>
        <w:tab/>
      </w:r>
      <w:r w:rsidRPr="00F4506C">
        <w:rPr>
          <w:color w:val="000000" w:themeColor="text1"/>
          <w:szCs w:val="24"/>
        </w:rPr>
        <w:t>De estos resultados se concluye que:</w:t>
      </w:r>
    </w:p>
    <w:p w:rsidR="005429E4" w:rsidRPr="00F4506C" w:rsidRDefault="005429E4" w:rsidP="005429E4">
      <w:pPr>
        <w:pStyle w:val="Prrafodelista"/>
        <w:spacing w:line="360" w:lineRule="auto"/>
        <w:ind w:left="540"/>
        <w:jc w:val="both"/>
        <w:rPr>
          <w:color w:val="000000" w:themeColor="text1"/>
          <w:szCs w:val="24"/>
        </w:rPr>
      </w:pPr>
      <w:r w:rsidRPr="00F4506C">
        <w:rPr>
          <w:color w:val="000000" w:themeColor="text1"/>
          <w:szCs w:val="24"/>
        </w:rPr>
        <w:t>- La desaparición de una gota grande de campo visual del microscopio puede deberse a efectos interactivos de la gota con el material de la celda (vidrio): La desaparición es debida a que la gota, una vez que ha alcanzado cierto tamaño, escurre a lo largo de la superficie del vidrio (hidrofílico).</w:t>
      </w:r>
    </w:p>
    <w:p w:rsidR="005429E4" w:rsidRDefault="005429E4" w:rsidP="005429E4">
      <w:pPr>
        <w:pStyle w:val="Prrafodelista"/>
        <w:spacing w:line="360" w:lineRule="auto"/>
        <w:ind w:left="540"/>
        <w:jc w:val="both"/>
        <w:rPr>
          <w:color w:val="000000" w:themeColor="text1"/>
          <w:szCs w:val="24"/>
        </w:rPr>
      </w:pPr>
      <w:r w:rsidRPr="00F4506C">
        <w:rPr>
          <w:color w:val="000000" w:themeColor="text1"/>
          <w:szCs w:val="24"/>
        </w:rPr>
        <w:t>- Una gran parte de las gotas coalescen muy cerca de los electrodos, con una tendencia marcada hacia el electrodo negativo: Las líneas de flujo de campo en la vecindad de los electrodos son mucho menos uniformes en la cercanía al electrodo que lejos de él. La coalescencia mejora cuando se presenta un campo eléctrico no uniforme.</w:t>
      </w:r>
    </w:p>
    <w:p w:rsidR="0047500E" w:rsidRPr="00F4506C" w:rsidRDefault="00DE63EB" w:rsidP="00DE63EB">
      <w:pPr>
        <w:pStyle w:val="Prrafodelista"/>
        <w:spacing w:line="360" w:lineRule="auto"/>
        <w:ind w:left="0"/>
        <w:jc w:val="both"/>
        <w:rPr>
          <w:color w:val="000000" w:themeColor="text1"/>
          <w:szCs w:val="24"/>
        </w:rPr>
      </w:pPr>
      <w:r>
        <w:rPr>
          <w:color w:val="000000" w:themeColor="text1"/>
          <w:szCs w:val="24"/>
        </w:rPr>
        <w:tab/>
      </w:r>
      <w:r w:rsidR="0047500E">
        <w:rPr>
          <w:color w:val="000000" w:themeColor="text1"/>
          <w:szCs w:val="24"/>
        </w:rPr>
        <w:t xml:space="preserve">Sin embargo, para la realización de este trabajo, Fung, </w:t>
      </w:r>
      <w:r>
        <w:rPr>
          <w:color w:val="000000" w:themeColor="text1"/>
          <w:szCs w:val="24"/>
        </w:rPr>
        <w:t xml:space="preserve">consideró </w:t>
      </w:r>
      <w:r w:rsidR="0047500E">
        <w:rPr>
          <w:color w:val="000000" w:themeColor="text1"/>
          <w:szCs w:val="24"/>
        </w:rPr>
        <w:t>dilu</w:t>
      </w:r>
      <w:r>
        <w:rPr>
          <w:color w:val="000000" w:themeColor="text1"/>
          <w:szCs w:val="24"/>
        </w:rPr>
        <w:t>ir</w:t>
      </w:r>
      <w:r w:rsidR="0047500E">
        <w:rPr>
          <w:color w:val="000000" w:themeColor="text1"/>
          <w:szCs w:val="24"/>
        </w:rPr>
        <w:t xml:space="preserve"> las muestras con tolueno a fin de disminuir </w:t>
      </w:r>
      <w:r>
        <w:rPr>
          <w:color w:val="000000" w:themeColor="text1"/>
          <w:szCs w:val="24"/>
        </w:rPr>
        <w:t>la</w:t>
      </w:r>
      <w:r w:rsidR="0047500E">
        <w:rPr>
          <w:color w:val="000000" w:themeColor="text1"/>
          <w:szCs w:val="24"/>
        </w:rPr>
        <w:t xml:space="preserve"> viscosidad </w:t>
      </w:r>
      <w:r>
        <w:rPr>
          <w:color w:val="000000" w:themeColor="text1"/>
          <w:szCs w:val="24"/>
        </w:rPr>
        <w:t xml:space="preserve">de la emulsión </w:t>
      </w:r>
      <w:r w:rsidR="0047500E">
        <w:rPr>
          <w:color w:val="000000" w:themeColor="text1"/>
          <w:szCs w:val="24"/>
        </w:rPr>
        <w:t xml:space="preserve">lo cual constituyó una ventaja para la identificación de cada uno de los fenómenos asociados al proceso de desestabilización electrostática mencionados anteriormente. </w:t>
      </w:r>
    </w:p>
    <w:p w:rsidR="00D57AEC" w:rsidRPr="00AC2536" w:rsidRDefault="002C10C0" w:rsidP="005B5CC8">
      <w:pPr>
        <w:tabs>
          <w:tab w:val="left" w:pos="0"/>
        </w:tabs>
        <w:spacing w:line="360" w:lineRule="auto"/>
        <w:jc w:val="both"/>
        <w:rPr>
          <w:b/>
          <w:szCs w:val="24"/>
        </w:rPr>
      </w:pPr>
      <w:bookmarkStart w:id="51" w:name="_Toc299209488"/>
      <w:r>
        <w:rPr>
          <w:szCs w:val="24"/>
        </w:rPr>
        <w:tab/>
      </w:r>
      <w:bookmarkStart w:id="52" w:name="_Toc299209489"/>
      <w:bookmarkEnd w:id="51"/>
      <w:r w:rsidR="00AC2536" w:rsidRPr="00AC2536">
        <w:rPr>
          <w:szCs w:val="24"/>
        </w:rPr>
        <w:t>Estos trabajos sentar</w:t>
      </w:r>
      <w:r w:rsidR="00DE63EB">
        <w:rPr>
          <w:szCs w:val="24"/>
        </w:rPr>
        <w:t>on</w:t>
      </w:r>
      <w:r w:rsidR="00AC2536" w:rsidRPr="00AC2536">
        <w:rPr>
          <w:szCs w:val="24"/>
        </w:rPr>
        <w:t xml:space="preserve"> las bases para el desarrollo de </w:t>
      </w:r>
      <w:r w:rsidR="00DE63EB">
        <w:rPr>
          <w:szCs w:val="24"/>
        </w:rPr>
        <w:t>una nueva celda</w:t>
      </w:r>
      <w:r w:rsidR="00AC2536" w:rsidRPr="00AC2536">
        <w:rPr>
          <w:szCs w:val="24"/>
        </w:rPr>
        <w:t xml:space="preserve"> de tratamiento en continuo </w:t>
      </w:r>
      <w:r w:rsidR="00DE63EB">
        <w:rPr>
          <w:szCs w:val="24"/>
        </w:rPr>
        <w:t>con la inclusión de</w:t>
      </w:r>
      <w:r w:rsidR="00AC2536" w:rsidRPr="00AC2536">
        <w:rPr>
          <w:szCs w:val="24"/>
        </w:rPr>
        <w:t xml:space="preserve"> un medio coalescedor</w:t>
      </w:r>
      <w:bookmarkEnd w:id="52"/>
      <w:r w:rsidR="00DE63EB">
        <w:rPr>
          <w:szCs w:val="24"/>
        </w:rPr>
        <w:t>.</w:t>
      </w:r>
    </w:p>
    <w:p w:rsidR="00D80C60" w:rsidRPr="00AC2536" w:rsidRDefault="00D80C60" w:rsidP="003A6929">
      <w:pPr>
        <w:shd w:val="clear" w:color="auto" w:fill="FFFFFF"/>
        <w:spacing w:line="360" w:lineRule="auto"/>
        <w:jc w:val="center"/>
        <w:rPr>
          <w:b/>
          <w:szCs w:val="24"/>
        </w:rPr>
      </w:pPr>
    </w:p>
    <w:p w:rsidR="00665C33" w:rsidRDefault="00665C33" w:rsidP="003A6929">
      <w:pPr>
        <w:shd w:val="clear" w:color="auto" w:fill="FFFFFF"/>
        <w:spacing w:line="360" w:lineRule="auto"/>
        <w:jc w:val="center"/>
        <w:rPr>
          <w:b/>
          <w:szCs w:val="24"/>
        </w:rPr>
        <w:sectPr w:rsidR="00665C33" w:rsidSect="00820F87">
          <w:pgSz w:w="12240" w:h="15840"/>
          <w:pgMar w:top="1699" w:right="1699" w:bottom="1699" w:left="2275" w:header="720" w:footer="720" w:gutter="0"/>
          <w:cols w:space="720"/>
          <w:docGrid w:linePitch="360"/>
        </w:sectPr>
      </w:pPr>
    </w:p>
    <w:p w:rsidR="003A6929" w:rsidRPr="001D15EA" w:rsidRDefault="00665C33" w:rsidP="005B74B4">
      <w:pPr>
        <w:pStyle w:val="Ttulo1"/>
      </w:pPr>
      <w:bookmarkStart w:id="53" w:name="_Toc327478007"/>
      <w:r>
        <w:lastRenderedPageBreak/>
        <w:t>C</w:t>
      </w:r>
      <w:r w:rsidR="003A6929" w:rsidRPr="001D15EA">
        <w:t xml:space="preserve">APÍTULO </w:t>
      </w:r>
      <w:r>
        <w:t>II</w:t>
      </w:r>
      <w:bookmarkEnd w:id="53"/>
    </w:p>
    <w:p w:rsidR="003A6929" w:rsidRPr="00AC75D6" w:rsidRDefault="003A6929" w:rsidP="005B5CC8">
      <w:pPr>
        <w:pStyle w:val="Ttulo2"/>
        <w:spacing w:line="360" w:lineRule="auto"/>
        <w:jc w:val="center"/>
        <w:rPr>
          <w:rFonts w:ascii="Times New Roman" w:hAnsi="Times New Roman" w:cs="Times New Roman"/>
          <w:color w:val="auto"/>
          <w:sz w:val="24"/>
          <w:szCs w:val="24"/>
        </w:rPr>
      </w:pPr>
      <w:bookmarkStart w:id="54" w:name="_Toc327478008"/>
      <w:r w:rsidRPr="00AC75D6">
        <w:rPr>
          <w:rFonts w:ascii="Times New Roman" w:hAnsi="Times New Roman" w:cs="Times New Roman"/>
          <w:color w:val="auto"/>
          <w:sz w:val="24"/>
          <w:szCs w:val="24"/>
        </w:rPr>
        <w:t>MARCO TEÓRICO</w:t>
      </w:r>
      <w:bookmarkEnd w:id="54"/>
    </w:p>
    <w:p w:rsidR="003A6929" w:rsidRDefault="003A6929" w:rsidP="00AC75D6">
      <w:pPr>
        <w:shd w:val="clear" w:color="auto" w:fill="FFFFFF"/>
        <w:spacing w:after="240" w:line="360" w:lineRule="auto"/>
        <w:jc w:val="both"/>
        <w:rPr>
          <w:szCs w:val="24"/>
        </w:rPr>
      </w:pPr>
      <w:r>
        <w:rPr>
          <w:b/>
          <w:i/>
          <w:szCs w:val="24"/>
        </w:rPr>
        <w:tab/>
      </w:r>
      <w:r w:rsidRPr="00AA00B8">
        <w:rPr>
          <w:szCs w:val="24"/>
        </w:rPr>
        <w:t>A continuación se presentan los conceptos asociados al desarrollo del Trabajo Especial de Grado.</w:t>
      </w:r>
    </w:p>
    <w:p w:rsidR="003A6929" w:rsidRPr="00665C33" w:rsidRDefault="005B5CC8" w:rsidP="00665C33">
      <w:pPr>
        <w:pStyle w:val="Ttulo3"/>
        <w:spacing w:line="360" w:lineRule="auto"/>
        <w:rPr>
          <w:rFonts w:ascii="Times New Roman" w:hAnsi="Times New Roman" w:cs="Times New Roman"/>
          <w:color w:val="auto"/>
        </w:rPr>
      </w:pPr>
      <w:bookmarkStart w:id="55" w:name="_Toc327478009"/>
      <w:r>
        <w:rPr>
          <w:rFonts w:ascii="Times New Roman" w:hAnsi="Times New Roman" w:cs="Times New Roman"/>
          <w:color w:val="auto"/>
        </w:rPr>
        <w:t xml:space="preserve">2.1 </w:t>
      </w:r>
      <w:r w:rsidR="003A6929" w:rsidRPr="00665C33">
        <w:rPr>
          <w:rFonts w:ascii="Times New Roman" w:hAnsi="Times New Roman" w:cs="Times New Roman"/>
          <w:color w:val="auto"/>
        </w:rPr>
        <w:t>Fosas de Producción</w:t>
      </w:r>
      <w:bookmarkEnd w:id="55"/>
      <w:r w:rsidR="003A6929" w:rsidRPr="00665C33">
        <w:rPr>
          <w:rFonts w:ascii="Times New Roman" w:hAnsi="Times New Roman" w:cs="Times New Roman"/>
          <w:color w:val="auto"/>
        </w:rPr>
        <w:t xml:space="preserve"> </w:t>
      </w:r>
    </w:p>
    <w:p w:rsidR="003A6929" w:rsidRDefault="003A6929" w:rsidP="00665C33">
      <w:pPr>
        <w:shd w:val="clear" w:color="auto" w:fill="FFFFFF"/>
        <w:spacing w:line="360" w:lineRule="auto"/>
        <w:jc w:val="both"/>
        <w:rPr>
          <w:szCs w:val="24"/>
        </w:rPr>
      </w:pPr>
      <w:r>
        <w:rPr>
          <w:szCs w:val="24"/>
        </w:rPr>
        <w:tab/>
      </w:r>
      <w:r w:rsidRPr="002C6B75">
        <w:rPr>
          <w:szCs w:val="24"/>
        </w:rPr>
        <w:t>Las fosas</w:t>
      </w:r>
      <w:r>
        <w:rPr>
          <w:szCs w:val="24"/>
        </w:rPr>
        <w:t xml:space="preserve"> de producción</w:t>
      </w:r>
      <w:r w:rsidRPr="002C6B75">
        <w:rPr>
          <w:szCs w:val="24"/>
        </w:rPr>
        <w:t xml:space="preserve"> son todas aquellas excavaciones</w:t>
      </w:r>
      <w:r>
        <w:rPr>
          <w:szCs w:val="24"/>
        </w:rPr>
        <w:t xml:space="preserve"> en las cuales se almacenan ‘‘temporalmente’’</w:t>
      </w:r>
      <w:r w:rsidR="00106DDC">
        <w:rPr>
          <w:szCs w:val="24"/>
        </w:rPr>
        <w:t xml:space="preserve"> </w:t>
      </w:r>
      <w:r>
        <w:rPr>
          <w:szCs w:val="24"/>
        </w:rPr>
        <w:t xml:space="preserve">todos los residuos asociados a las operaciones de perforación y extracción de crudo. </w:t>
      </w:r>
      <w:r w:rsidR="008D3A20">
        <w:rPr>
          <w:szCs w:val="24"/>
        </w:rPr>
        <w:t>Estas</w:t>
      </w:r>
      <w:r>
        <w:rPr>
          <w:szCs w:val="24"/>
        </w:rPr>
        <w:t xml:space="preserve"> fosas</w:t>
      </w:r>
      <w:r w:rsidR="008D3A20">
        <w:rPr>
          <w:szCs w:val="24"/>
        </w:rPr>
        <w:t xml:space="preserve"> (</w:t>
      </w:r>
      <w:r w:rsidR="003E7EDD">
        <w:rPr>
          <w:szCs w:val="24"/>
        </w:rPr>
        <w:t>f</w:t>
      </w:r>
      <w:r w:rsidR="008D3A20">
        <w:rPr>
          <w:szCs w:val="24"/>
        </w:rPr>
        <w:t>igura N°</w:t>
      </w:r>
      <w:r w:rsidR="000E0C20">
        <w:rPr>
          <w:szCs w:val="24"/>
        </w:rPr>
        <w:t xml:space="preserve"> 4</w:t>
      </w:r>
      <w:r w:rsidR="008D3A20">
        <w:rPr>
          <w:szCs w:val="24"/>
        </w:rPr>
        <w:t>)</w:t>
      </w:r>
      <w:r w:rsidR="00106DDC">
        <w:rPr>
          <w:szCs w:val="24"/>
        </w:rPr>
        <w:t xml:space="preserve"> </w:t>
      </w:r>
      <w:r>
        <w:rPr>
          <w:szCs w:val="24"/>
        </w:rPr>
        <w:t xml:space="preserve">contienen por lo general crudo emulsionado, sedimentos y agua </w:t>
      </w:r>
      <w:r w:rsidR="008D3A20">
        <w:rPr>
          <w:szCs w:val="24"/>
        </w:rPr>
        <w:t>(salmuera)</w:t>
      </w:r>
      <w:r>
        <w:rPr>
          <w:szCs w:val="24"/>
        </w:rPr>
        <w:t xml:space="preserve"> provenientes de los procesos de deshidratación de crudo a boca de pozo (separadores API, deshidratadores, etc.), lodos petrolizados (lodos de perforación), residuo de fondo de tanques de almacenamiento de crudo, etc. </w:t>
      </w:r>
    </w:p>
    <w:p w:rsidR="003A6929" w:rsidRDefault="003A6929" w:rsidP="00EA784B">
      <w:pPr>
        <w:pStyle w:val="Encabezado"/>
        <w:spacing w:line="360" w:lineRule="auto"/>
        <w:jc w:val="both"/>
        <w:rPr>
          <w:rFonts w:ascii="Times New Roman" w:hAnsi="Times New Roman"/>
          <w:sz w:val="24"/>
          <w:szCs w:val="24"/>
          <w:lang w:val="es-ES"/>
        </w:rPr>
      </w:pPr>
    </w:p>
    <w:p w:rsidR="003A6929" w:rsidRPr="002C6B75" w:rsidRDefault="003A6929" w:rsidP="003A6929">
      <w:pPr>
        <w:shd w:val="clear" w:color="auto" w:fill="FFFFFF"/>
        <w:spacing w:line="360" w:lineRule="auto"/>
        <w:jc w:val="center"/>
        <w:rPr>
          <w:szCs w:val="24"/>
        </w:rPr>
      </w:pPr>
      <w:r>
        <w:rPr>
          <w:noProof/>
          <w:szCs w:val="24"/>
          <w:lang w:val="en-US" w:eastAsia="en-US"/>
        </w:rPr>
        <w:drawing>
          <wp:inline distT="0" distB="0" distL="0" distR="0">
            <wp:extent cx="3506887" cy="1721547"/>
            <wp:effectExtent l="57150" t="19050" r="112613" b="69153"/>
            <wp:docPr id="1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506887" cy="17215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6929" w:rsidRPr="0081336F" w:rsidRDefault="000E0C20" w:rsidP="000E0C20">
      <w:pPr>
        <w:pStyle w:val="Epgrafe"/>
        <w:rPr>
          <w:bCs w:val="0"/>
        </w:rPr>
      </w:pPr>
      <w:bookmarkStart w:id="56" w:name="_Toc306490666"/>
      <w:bookmarkStart w:id="57" w:name="_Toc327481416"/>
      <w:r>
        <w:t xml:space="preserve">Figura N° </w:t>
      </w:r>
      <w:fldSimple w:instr=" SEQ Figura_N° \* ARABIC ">
        <w:r w:rsidR="004A5F6F">
          <w:rPr>
            <w:noProof/>
          </w:rPr>
          <w:t>4</w:t>
        </w:r>
      </w:fldSimple>
      <w:r w:rsidR="003A6929" w:rsidRPr="0081336F">
        <w:rPr>
          <w:bCs w:val="0"/>
        </w:rPr>
        <w:t xml:space="preserve">: </w:t>
      </w:r>
      <w:r w:rsidR="003A6929">
        <w:rPr>
          <w:bCs w:val="0"/>
        </w:rPr>
        <w:t xml:space="preserve">Fosa de Producción. </w:t>
      </w:r>
      <w:r w:rsidR="003A6929" w:rsidRPr="0081336F">
        <w:rPr>
          <w:bCs w:val="0"/>
        </w:rPr>
        <w:t>Estado Monagas</w:t>
      </w:r>
      <w:r w:rsidR="00DE662B">
        <w:rPr>
          <w:bCs w:val="0"/>
        </w:rPr>
        <w:t>. Venezuela</w:t>
      </w:r>
      <w:r w:rsidR="003A6929" w:rsidRPr="0081336F">
        <w:rPr>
          <w:bCs w:val="0"/>
        </w:rPr>
        <w:t xml:space="preserve"> (Morfes, 2004).</w:t>
      </w:r>
      <w:bookmarkEnd w:id="56"/>
      <w:bookmarkEnd w:id="57"/>
    </w:p>
    <w:p w:rsidR="003A6929" w:rsidRPr="002C6B75" w:rsidRDefault="00106DDC" w:rsidP="00EA784B">
      <w:pPr>
        <w:shd w:val="clear" w:color="auto" w:fill="FFFFFF"/>
        <w:spacing w:after="240" w:line="360" w:lineRule="auto"/>
        <w:jc w:val="both"/>
        <w:rPr>
          <w:szCs w:val="24"/>
        </w:rPr>
      </w:pPr>
      <w:r>
        <w:rPr>
          <w:szCs w:val="24"/>
        </w:rPr>
        <w:tab/>
      </w:r>
      <w:r w:rsidR="003A6929" w:rsidRPr="002C6B75">
        <w:rPr>
          <w:szCs w:val="24"/>
        </w:rPr>
        <w:t>Algunas</w:t>
      </w:r>
      <w:r w:rsidR="003A6929">
        <w:rPr>
          <w:szCs w:val="24"/>
        </w:rPr>
        <w:t xml:space="preserve"> de estas fosas pueden alcanzar una extensión aproximada de </w:t>
      </w:r>
      <w:r w:rsidR="003A6929" w:rsidRPr="002C6B75">
        <w:rPr>
          <w:szCs w:val="24"/>
        </w:rPr>
        <w:t>55.000 m</w:t>
      </w:r>
      <w:r w:rsidR="003A6929" w:rsidRPr="002C6B75">
        <w:rPr>
          <w:szCs w:val="24"/>
          <w:vertAlign w:val="superscript"/>
        </w:rPr>
        <w:t>2</w:t>
      </w:r>
      <w:r w:rsidR="003A6929" w:rsidRPr="002C6B75">
        <w:rPr>
          <w:szCs w:val="24"/>
        </w:rPr>
        <w:t xml:space="preserve"> </w:t>
      </w:r>
      <w:r w:rsidR="003A6929">
        <w:rPr>
          <w:szCs w:val="24"/>
        </w:rPr>
        <w:t>de superficie. Estas fosas de gran tamaño suelen denominarse por lo general macrofosas</w:t>
      </w:r>
      <w:r>
        <w:rPr>
          <w:szCs w:val="24"/>
        </w:rPr>
        <w:t xml:space="preserve"> (</w:t>
      </w:r>
      <w:r w:rsidR="003E7EDD">
        <w:rPr>
          <w:szCs w:val="24"/>
        </w:rPr>
        <w:t>f</w:t>
      </w:r>
      <w:r>
        <w:rPr>
          <w:szCs w:val="24"/>
        </w:rPr>
        <w:t>igura N°</w:t>
      </w:r>
      <w:r w:rsidR="000E0C20">
        <w:rPr>
          <w:szCs w:val="24"/>
        </w:rPr>
        <w:t xml:space="preserve"> 5</w:t>
      </w:r>
      <w:r>
        <w:rPr>
          <w:szCs w:val="24"/>
        </w:rPr>
        <w:t>)</w:t>
      </w:r>
      <w:r w:rsidR="003A6929">
        <w:rPr>
          <w:szCs w:val="24"/>
        </w:rPr>
        <w:t>.</w:t>
      </w:r>
    </w:p>
    <w:p w:rsidR="003A6929" w:rsidRPr="002C6B75" w:rsidRDefault="003A6929" w:rsidP="00EA784B">
      <w:pPr>
        <w:shd w:val="clear" w:color="auto" w:fill="FFFFFF"/>
        <w:spacing w:after="240" w:line="360" w:lineRule="auto"/>
        <w:jc w:val="center"/>
        <w:rPr>
          <w:szCs w:val="24"/>
        </w:rPr>
      </w:pPr>
      <w:r>
        <w:rPr>
          <w:noProof/>
          <w:szCs w:val="24"/>
          <w:lang w:val="en-US" w:eastAsia="en-US"/>
        </w:rPr>
        <w:lastRenderedPageBreak/>
        <w:drawing>
          <wp:inline distT="0" distB="0" distL="0" distR="0">
            <wp:extent cx="3514348" cy="1730008"/>
            <wp:effectExtent l="57150" t="19050" r="105152" b="79742"/>
            <wp:docPr id="42"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514348" cy="17300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6929" w:rsidRPr="0081336F" w:rsidRDefault="000E0C20" w:rsidP="000E0C20">
      <w:pPr>
        <w:pStyle w:val="Epgrafe"/>
        <w:rPr>
          <w:bCs w:val="0"/>
        </w:rPr>
      </w:pPr>
      <w:bookmarkStart w:id="58" w:name="_Toc306490667"/>
      <w:bookmarkStart w:id="59" w:name="_Toc327481417"/>
      <w:r>
        <w:t xml:space="preserve">Figura N° </w:t>
      </w:r>
      <w:fldSimple w:instr=" SEQ Figura_N° \* ARABIC ">
        <w:r w:rsidR="004A5F6F">
          <w:rPr>
            <w:noProof/>
          </w:rPr>
          <w:t>5</w:t>
        </w:r>
      </w:fldSimple>
      <w:r w:rsidR="003A6929" w:rsidRPr="0081336F">
        <w:rPr>
          <w:bCs w:val="0"/>
        </w:rPr>
        <w:t>: Macrofosa ubicada en Morichal, Estado Monagas (Morfes, 2004).</w:t>
      </w:r>
      <w:bookmarkEnd w:id="58"/>
      <w:bookmarkEnd w:id="59"/>
    </w:p>
    <w:p w:rsidR="003A6929" w:rsidRDefault="003A6929" w:rsidP="00EA784B">
      <w:pPr>
        <w:shd w:val="clear" w:color="auto" w:fill="FFFFFF"/>
        <w:spacing w:after="240" w:line="360" w:lineRule="auto"/>
        <w:jc w:val="both"/>
        <w:rPr>
          <w:szCs w:val="24"/>
        </w:rPr>
      </w:pPr>
      <w:r>
        <w:rPr>
          <w:szCs w:val="24"/>
        </w:rPr>
        <w:tab/>
        <w:t>Por lo general, la construcción de una fosa de producción debe regirse por leyes de protección y conservación del medio ambiente. Estas leyes prevén que las fosas construidas contengan un revestimiento que impida la lixiviación del residuo de fosa a través de los suelos, tal y como se observa en la figura siguiente:</w:t>
      </w:r>
    </w:p>
    <w:p w:rsidR="003A6929" w:rsidRPr="002C6B75" w:rsidRDefault="003A6929" w:rsidP="003A6929">
      <w:pPr>
        <w:shd w:val="clear" w:color="auto" w:fill="FFFFFF"/>
        <w:spacing w:line="360" w:lineRule="auto"/>
        <w:jc w:val="center"/>
        <w:rPr>
          <w:szCs w:val="24"/>
        </w:rPr>
      </w:pPr>
      <w:r>
        <w:rPr>
          <w:noProof/>
          <w:szCs w:val="24"/>
          <w:lang w:val="en-US" w:eastAsia="en-US"/>
        </w:rPr>
        <w:drawing>
          <wp:inline distT="0" distB="0" distL="0" distR="0">
            <wp:extent cx="3508912" cy="1731432"/>
            <wp:effectExtent l="57150" t="19050" r="110588" b="78318"/>
            <wp:docPr id="13"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508912" cy="17314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6929" w:rsidRPr="00DA00AB" w:rsidRDefault="00FB5089" w:rsidP="00FB5089">
      <w:pPr>
        <w:pStyle w:val="Epgrafe"/>
        <w:rPr>
          <w:bCs w:val="0"/>
        </w:rPr>
      </w:pPr>
      <w:bookmarkStart w:id="60" w:name="_Toc306490668"/>
      <w:bookmarkStart w:id="61" w:name="_Toc327481418"/>
      <w:r>
        <w:t xml:space="preserve">Figura N° </w:t>
      </w:r>
      <w:fldSimple w:instr=" SEQ Figura_N° \* ARABIC ">
        <w:r w:rsidR="004A5F6F">
          <w:rPr>
            <w:noProof/>
          </w:rPr>
          <w:t>6</w:t>
        </w:r>
      </w:fldSimple>
      <w:r w:rsidR="003A6929" w:rsidRPr="00DA00AB">
        <w:rPr>
          <w:bCs w:val="0"/>
        </w:rPr>
        <w:t>: Fosas de produ</w:t>
      </w:r>
      <w:r w:rsidR="00DE662B">
        <w:rPr>
          <w:bCs w:val="0"/>
        </w:rPr>
        <w:t>cción con revestimiento interno</w:t>
      </w:r>
      <w:r w:rsidR="003A6929" w:rsidRPr="00DA00AB">
        <w:rPr>
          <w:bCs w:val="0"/>
        </w:rPr>
        <w:t xml:space="preserve"> (Morfes, 2004).</w:t>
      </w:r>
      <w:bookmarkEnd w:id="60"/>
      <w:bookmarkEnd w:id="61"/>
    </w:p>
    <w:p w:rsidR="003A6929" w:rsidRDefault="00106DDC" w:rsidP="00EA784B">
      <w:pPr>
        <w:shd w:val="clear" w:color="auto" w:fill="FFFFFF"/>
        <w:spacing w:after="240" w:line="360" w:lineRule="auto"/>
        <w:jc w:val="both"/>
        <w:rPr>
          <w:szCs w:val="24"/>
        </w:rPr>
      </w:pPr>
      <w:r>
        <w:rPr>
          <w:szCs w:val="24"/>
        </w:rPr>
        <w:tab/>
      </w:r>
      <w:r w:rsidR="003A6929" w:rsidRPr="002C6B75">
        <w:rPr>
          <w:szCs w:val="24"/>
        </w:rPr>
        <w:t xml:space="preserve">Debido al </w:t>
      </w:r>
      <w:r w:rsidR="003A6929">
        <w:rPr>
          <w:szCs w:val="24"/>
        </w:rPr>
        <w:t xml:space="preserve">gran </w:t>
      </w:r>
      <w:r w:rsidR="003A6929" w:rsidRPr="002C6B75">
        <w:rPr>
          <w:szCs w:val="24"/>
        </w:rPr>
        <w:t xml:space="preserve">número </w:t>
      </w:r>
      <w:r w:rsidR="003A6929">
        <w:rPr>
          <w:szCs w:val="24"/>
        </w:rPr>
        <w:t>fosas existentes en el país,</w:t>
      </w:r>
      <w:r w:rsidR="003A6929" w:rsidRPr="002C6B75">
        <w:rPr>
          <w:szCs w:val="24"/>
        </w:rPr>
        <w:t xml:space="preserve"> PDVSA en convenio con otros Institutos de Investigación y Universidades</w:t>
      </w:r>
      <w:r w:rsidR="003A6929">
        <w:rPr>
          <w:szCs w:val="24"/>
        </w:rPr>
        <w:t>,</w:t>
      </w:r>
      <w:r w:rsidR="003A6929" w:rsidRPr="002C6B75">
        <w:rPr>
          <w:szCs w:val="24"/>
        </w:rPr>
        <w:t xml:space="preserve"> ha venido </w:t>
      </w:r>
      <w:r w:rsidR="003A6929">
        <w:rPr>
          <w:szCs w:val="24"/>
        </w:rPr>
        <w:t>desarrollando</w:t>
      </w:r>
      <w:r w:rsidR="003A6929" w:rsidRPr="002C6B75">
        <w:rPr>
          <w:szCs w:val="24"/>
        </w:rPr>
        <w:t xml:space="preserve"> una serie de estrategias para el saneamiento y cegado de </w:t>
      </w:r>
      <w:r w:rsidR="003A6929">
        <w:rPr>
          <w:szCs w:val="24"/>
        </w:rPr>
        <w:t>estas fosas, alguna de las cuales se presentan a continuación:</w:t>
      </w:r>
    </w:p>
    <w:p w:rsidR="003A6929" w:rsidRDefault="003A6929" w:rsidP="00EA784B">
      <w:pPr>
        <w:numPr>
          <w:ilvl w:val="0"/>
          <w:numId w:val="7"/>
        </w:numPr>
        <w:shd w:val="clear" w:color="auto" w:fill="FFFFFF"/>
        <w:spacing w:after="240" w:line="360" w:lineRule="auto"/>
        <w:jc w:val="both"/>
        <w:rPr>
          <w:szCs w:val="24"/>
        </w:rPr>
      </w:pPr>
      <w:r w:rsidRPr="00072228">
        <w:rPr>
          <w:szCs w:val="24"/>
        </w:rPr>
        <w:t xml:space="preserve">Recolección y/o recuperación desde el lugar de origen hasta el sitio de tratamiento; extracción por vía mecánica y transporte </w:t>
      </w:r>
    </w:p>
    <w:p w:rsidR="003A6929" w:rsidRDefault="003A6929" w:rsidP="003A6929">
      <w:pPr>
        <w:numPr>
          <w:ilvl w:val="0"/>
          <w:numId w:val="7"/>
        </w:numPr>
        <w:shd w:val="clear" w:color="auto" w:fill="FFFFFF"/>
        <w:spacing w:line="360" w:lineRule="auto"/>
        <w:jc w:val="both"/>
        <w:rPr>
          <w:szCs w:val="24"/>
        </w:rPr>
      </w:pPr>
      <w:r w:rsidRPr="00072228">
        <w:rPr>
          <w:szCs w:val="24"/>
        </w:rPr>
        <w:lastRenderedPageBreak/>
        <w:t>Reducción de</w:t>
      </w:r>
      <w:r>
        <w:rPr>
          <w:szCs w:val="24"/>
        </w:rPr>
        <w:t xml:space="preserve"> la viscosidad del desecho; facilitar el transporte de material a la zona de tratamiento de residuos.</w:t>
      </w:r>
    </w:p>
    <w:p w:rsidR="003A6929" w:rsidRPr="00072228" w:rsidRDefault="003A6929" w:rsidP="003A6929">
      <w:pPr>
        <w:numPr>
          <w:ilvl w:val="0"/>
          <w:numId w:val="7"/>
        </w:numPr>
        <w:shd w:val="clear" w:color="auto" w:fill="FFFFFF"/>
        <w:spacing w:line="360" w:lineRule="auto"/>
        <w:jc w:val="both"/>
        <w:rPr>
          <w:szCs w:val="24"/>
        </w:rPr>
      </w:pPr>
      <w:r>
        <w:rPr>
          <w:szCs w:val="24"/>
        </w:rPr>
        <w:t>Lavado: Implica recolección en la fase acuosa de</w:t>
      </w:r>
      <w:r w:rsidRPr="002C6B75">
        <w:rPr>
          <w:szCs w:val="24"/>
        </w:rPr>
        <w:t xml:space="preserve"> gran parte de los contaminantes</w:t>
      </w:r>
      <w:r>
        <w:rPr>
          <w:szCs w:val="24"/>
        </w:rPr>
        <w:t xml:space="preserve"> presentes</w:t>
      </w:r>
      <w:r w:rsidRPr="002C6B75">
        <w:rPr>
          <w:szCs w:val="24"/>
        </w:rPr>
        <w:t xml:space="preserve"> </w:t>
      </w:r>
      <w:r>
        <w:rPr>
          <w:szCs w:val="24"/>
        </w:rPr>
        <w:t>empleando</w:t>
      </w:r>
      <w:r w:rsidRPr="002C6B75">
        <w:rPr>
          <w:szCs w:val="24"/>
        </w:rPr>
        <w:t xml:space="preserve"> aditivos tales como: </w:t>
      </w:r>
      <w:r>
        <w:rPr>
          <w:szCs w:val="24"/>
        </w:rPr>
        <w:t>C</w:t>
      </w:r>
      <w:r w:rsidRPr="002C6B75">
        <w:rPr>
          <w:szCs w:val="24"/>
        </w:rPr>
        <w:t xml:space="preserve">ontroladores de pH, floculantes, densificantes, </w:t>
      </w:r>
      <w:r>
        <w:rPr>
          <w:szCs w:val="24"/>
        </w:rPr>
        <w:t>etc.</w:t>
      </w:r>
    </w:p>
    <w:p w:rsidR="003A6929" w:rsidRDefault="003A6929" w:rsidP="003A6929">
      <w:pPr>
        <w:numPr>
          <w:ilvl w:val="0"/>
          <w:numId w:val="7"/>
        </w:numPr>
        <w:shd w:val="clear" w:color="auto" w:fill="FFFFFF"/>
        <w:spacing w:line="360" w:lineRule="auto"/>
        <w:jc w:val="both"/>
        <w:rPr>
          <w:szCs w:val="24"/>
        </w:rPr>
      </w:pPr>
      <w:r w:rsidRPr="00D8127A">
        <w:rPr>
          <w:szCs w:val="24"/>
        </w:rPr>
        <w:t>Tratamiento con química deshidratante (desemulsificante). Posterior a la operación de lavado</w:t>
      </w:r>
    </w:p>
    <w:p w:rsidR="003A6929" w:rsidRDefault="003A6929" w:rsidP="003A6929">
      <w:pPr>
        <w:numPr>
          <w:ilvl w:val="0"/>
          <w:numId w:val="7"/>
        </w:numPr>
        <w:shd w:val="clear" w:color="auto" w:fill="FFFFFF"/>
        <w:spacing w:line="360" w:lineRule="auto"/>
        <w:jc w:val="both"/>
        <w:rPr>
          <w:szCs w:val="24"/>
        </w:rPr>
      </w:pPr>
      <w:r w:rsidRPr="001D15EA">
        <w:rPr>
          <w:szCs w:val="24"/>
        </w:rPr>
        <w:t xml:space="preserve">Separación de fases: </w:t>
      </w:r>
      <w:r>
        <w:rPr>
          <w:szCs w:val="24"/>
        </w:rPr>
        <w:t>E</w:t>
      </w:r>
      <w:r w:rsidRPr="001D15EA">
        <w:rPr>
          <w:szCs w:val="24"/>
        </w:rPr>
        <w:t>sta se fundamenta en separación centríf</w:t>
      </w:r>
      <w:r>
        <w:rPr>
          <w:szCs w:val="24"/>
        </w:rPr>
        <w:t>uga o gravitacional en tanques y/o deshidratación electrostática.</w:t>
      </w:r>
    </w:p>
    <w:p w:rsidR="003A6929" w:rsidRDefault="003A6929" w:rsidP="0013027C">
      <w:pPr>
        <w:shd w:val="clear" w:color="auto" w:fill="FFFFFF"/>
        <w:spacing w:after="240" w:line="360" w:lineRule="auto"/>
        <w:jc w:val="both"/>
        <w:rPr>
          <w:szCs w:val="24"/>
        </w:rPr>
      </w:pPr>
      <w:r>
        <w:rPr>
          <w:szCs w:val="24"/>
        </w:rPr>
        <w:tab/>
        <w:t>E</w:t>
      </w:r>
      <w:r w:rsidRPr="001D15EA">
        <w:rPr>
          <w:szCs w:val="24"/>
        </w:rPr>
        <w:t xml:space="preserve">l éxito de la recuperación </w:t>
      </w:r>
      <w:r>
        <w:rPr>
          <w:szCs w:val="24"/>
        </w:rPr>
        <w:t xml:space="preserve">se fundamentará en </w:t>
      </w:r>
      <w:r w:rsidR="00106DDC">
        <w:rPr>
          <w:szCs w:val="24"/>
        </w:rPr>
        <w:t>el grado de separación-recuperación</w:t>
      </w:r>
      <w:r>
        <w:rPr>
          <w:szCs w:val="24"/>
        </w:rPr>
        <w:t xml:space="preserve"> de fases después de aplicado el tratamiento correspondiente. </w:t>
      </w:r>
      <w:r w:rsidRPr="002C6B75">
        <w:rPr>
          <w:szCs w:val="24"/>
        </w:rPr>
        <w:t>(Morfes, 2004).</w:t>
      </w:r>
      <w:r>
        <w:rPr>
          <w:szCs w:val="24"/>
        </w:rPr>
        <w:t xml:space="preserve"> </w:t>
      </w:r>
    </w:p>
    <w:p w:rsidR="003A6929" w:rsidRPr="00665C33" w:rsidRDefault="005B5CC8" w:rsidP="00665C33">
      <w:pPr>
        <w:pStyle w:val="Ttulo3"/>
        <w:spacing w:line="360" w:lineRule="auto"/>
        <w:rPr>
          <w:rFonts w:ascii="Times New Roman" w:hAnsi="Times New Roman" w:cs="Times New Roman"/>
          <w:color w:val="auto"/>
        </w:rPr>
      </w:pPr>
      <w:bookmarkStart w:id="62" w:name="_Toc327478010"/>
      <w:r>
        <w:rPr>
          <w:rFonts w:ascii="Times New Roman" w:hAnsi="Times New Roman" w:cs="Times New Roman"/>
          <w:color w:val="auto"/>
        </w:rPr>
        <w:t xml:space="preserve">2.2 </w:t>
      </w:r>
      <w:r w:rsidR="003A6929" w:rsidRPr="00665C33">
        <w:rPr>
          <w:rFonts w:ascii="Times New Roman" w:hAnsi="Times New Roman" w:cs="Times New Roman"/>
          <w:color w:val="auto"/>
        </w:rPr>
        <w:t>Emulsiones</w:t>
      </w:r>
      <w:bookmarkEnd w:id="62"/>
      <w:r w:rsidR="003A6929" w:rsidRPr="00665C33">
        <w:rPr>
          <w:rFonts w:ascii="Times New Roman" w:hAnsi="Times New Roman" w:cs="Times New Roman"/>
          <w:color w:val="auto"/>
        </w:rPr>
        <w:t xml:space="preserve"> </w:t>
      </w:r>
    </w:p>
    <w:p w:rsidR="003A6929" w:rsidRPr="00492BF8" w:rsidRDefault="003A6929" w:rsidP="0013027C">
      <w:pPr>
        <w:autoSpaceDE w:val="0"/>
        <w:autoSpaceDN w:val="0"/>
        <w:adjustRightInd w:val="0"/>
        <w:spacing w:line="360" w:lineRule="auto"/>
        <w:ind w:firstLine="720"/>
        <w:jc w:val="both"/>
        <w:rPr>
          <w:sz w:val="20"/>
        </w:rPr>
      </w:pPr>
      <w:r w:rsidRPr="00A94D0B">
        <w:rPr>
          <w:szCs w:val="24"/>
        </w:rPr>
        <w:t xml:space="preserve">Una emulsión puede ser definida como un sistema opaco heterogéneo en la cual están presentes dos fases líquidas inmiscibles o parcialmente miscibles, en donde una de las fases está dispersa en forma de gotas y es por lo general un sistema termodinámicamente inestable. La mayoría de las emulsiones contienen agua como una de las fases y un fluido orgánico como la otra fase. La fase orgánica es referida generalmente como fase aceite, más esta concepción no es literal en el sentido estricto de la palabra aceite. Aunque se traten de dispersiones termodinámicamente inestables, las emulsiones pueden pasar a ser estables </w:t>
      </w:r>
      <w:r w:rsidR="0013027C">
        <w:rPr>
          <w:szCs w:val="24"/>
        </w:rPr>
        <w:t>debido</w:t>
      </w:r>
      <w:r w:rsidRPr="00A94D0B">
        <w:rPr>
          <w:szCs w:val="24"/>
        </w:rPr>
        <w:t xml:space="preserve"> a la presencia de agentes tensoactivos</w:t>
      </w:r>
      <w:r w:rsidR="0013027C">
        <w:rPr>
          <w:szCs w:val="24"/>
        </w:rPr>
        <w:t xml:space="preserve"> (surfactantes)</w:t>
      </w:r>
      <w:r w:rsidRPr="00A94D0B">
        <w:rPr>
          <w:szCs w:val="24"/>
        </w:rPr>
        <w:t xml:space="preserve"> absorbidos en las superficies de las gotas. Las emulsiones con aceite como fase dispersa se conocen como emulsiones de aceite en agua (</w:t>
      </w:r>
      <w:r w:rsidRPr="00A94D0B">
        <w:rPr>
          <w:iCs/>
          <w:szCs w:val="24"/>
        </w:rPr>
        <w:t xml:space="preserve">oil-in-water, </w:t>
      </w:r>
      <w:r>
        <w:rPr>
          <w:szCs w:val="24"/>
        </w:rPr>
        <w:t>O</w:t>
      </w:r>
      <w:r w:rsidRPr="00A94D0B">
        <w:rPr>
          <w:szCs w:val="24"/>
        </w:rPr>
        <w:t>/</w:t>
      </w:r>
      <w:r>
        <w:rPr>
          <w:szCs w:val="24"/>
        </w:rPr>
        <w:t>W)</w:t>
      </w:r>
      <w:r w:rsidRPr="00A94D0B">
        <w:rPr>
          <w:szCs w:val="24"/>
        </w:rPr>
        <w:t xml:space="preserve"> y las emulsiones con agua como fase dispersa se conocen como emulsiones de agua en aceite (</w:t>
      </w:r>
      <w:r w:rsidRPr="00A94D0B">
        <w:rPr>
          <w:iCs/>
          <w:szCs w:val="24"/>
        </w:rPr>
        <w:t>water-in-oil</w:t>
      </w:r>
      <w:r w:rsidRPr="00A94D0B">
        <w:rPr>
          <w:szCs w:val="24"/>
        </w:rPr>
        <w:t xml:space="preserve">, </w:t>
      </w:r>
      <w:r>
        <w:rPr>
          <w:szCs w:val="24"/>
        </w:rPr>
        <w:t>W</w:t>
      </w:r>
      <w:r w:rsidRPr="00A94D0B">
        <w:rPr>
          <w:szCs w:val="24"/>
        </w:rPr>
        <w:t>/</w:t>
      </w:r>
      <w:r>
        <w:rPr>
          <w:szCs w:val="24"/>
        </w:rPr>
        <w:t>O</w:t>
      </w:r>
      <w:r w:rsidRPr="00A94D0B">
        <w:rPr>
          <w:szCs w:val="24"/>
        </w:rPr>
        <w:t>). Las emulsiones algunas veces son clasificadas de acuerdo al tamaño de las gotas dispersas; considerándose como macroemulsión cuando el rango de las gotas es de 10 a 150 micras y como nanoemulsión cuando el tamaño de gotas varía de 0.5 a 50 micras</w:t>
      </w:r>
      <w:r>
        <w:rPr>
          <w:szCs w:val="24"/>
        </w:rPr>
        <w:t xml:space="preserve"> (Padrón y Zúñiga, 2005)</w:t>
      </w:r>
      <w:r w:rsidRPr="00A94D0B">
        <w:rPr>
          <w:szCs w:val="24"/>
        </w:rPr>
        <w:t xml:space="preserve">. </w:t>
      </w:r>
    </w:p>
    <w:p w:rsidR="003A6929" w:rsidRPr="00A94D0B" w:rsidRDefault="003A6929" w:rsidP="003A6929">
      <w:pPr>
        <w:autoSpaceDE w:val="0"/>
        <w:autoSpaceDN w:val="0"/>
        <w:adjustRightInd w:val="0"/>
        <w:spacing w:line="360" w:lineRule="auto"/>
        <w:jc w:val="both"/>
        <w:rPr>
          <w:szCs w:val="24"/>
        </w:rPr>
      </w:pPr>
      <w:r w:rsidRPr="00A94D0B">
        <w:rPr>
          <w:szCs w:val="24"/>
        </w:rPr>
        <w:lastRenderedPageBreak/>
        <w:tab/>
        <w:t>El tipo de emuls</w:t>
      </w:r>
      <w:r w:rsidR="0013027C">
        <w:rPr>
          <w:szCs w:val="24"/>
        </w:rPr>
        <w:t>ión que se genere</w:t>
      </w:r>
      <w:r w:rsidRPr="00A94D0B">
        <w:rPr>
          <w:szCs w:val="24"/>
        </w:rPr>
        <w:t xml:space="preserve"> depende</w:t>
      </w:r>
      <w:r w:rsidR="0013027C">
        <w:rPr>
          <w:szCs w:val="24"/>
        </w:rPr>
        <w:t>rá</w:t>
      </w:r>
      <w:r w:rsidRPr="00A94D0B">
        <w:rPr>
          <w:szCs w:val="24"/>
        </w:rPr>
        <w:t xml:space="preserve"> del balance entre las propiedades hidrofílicas e hidrofóbicas de los agentes tensoactivos. Generalmente la fase continua es aquella en la cual el emulsionante o agente tensoactivo es más soluble (Regla de Bancroft). Están también las llamadas emulsiones dobles dado que pueden ser del tipo </w:t>
      </w:r>
      <w:r w:rsidR="0013027C">
        <w:rPr>
          <w:szCs w:val="24"/>
        </w:rPr>
        <w:t>W</w:t>
      </w:r>
      <w:r w:rsidRPr="00A94D0B">
        <w:rPr>
          <w:szCs w:val="24"/>
        </w:rPr>
        <w:t>/</w:t>
      </w:r>
      <w:r w:rsidR="0013027C">
        <w:rPr>
          <w:szCs w:val="24"/>
        </w:rPr>
        <w:t>O</w:t>
      </w:r>
      <w:r w:rsidRPr="00A94D0B">
        <w:rPr>
          <w:szCs w:val="24"/>
        </w:rPr>
        <w:t>/</w:t>
      </w:r>
      <w:r w:rsidR="0013027C">
        <w:rPr>
          <w:szCs w:val="24"/>
        </w:rPr>
        <w:t>W</w:t>
      </w:r>
      <w:r w:rsidRPr="00A94D0B">
        <w:rPr>
          <w:szCs w:val="24"/>
        </w:rPr>
        <w:t xml:space="preserve"> ó </w:t>
      </w:r>
      <w:r w:rsidR="0013027C">
        <w:rPr>
          <w:szCs w:val="24"/>
        </w:rPr>
        <w:t>O</w:t>
      </w:r>
      <w:r w:rsidRPr="00A94D0B">
        <w:rPr>
          <w:szCs w:val="24"/>
        </w:rPr>
        <w:t>/</w:t>
      </w:r>
      <w:r w:rsidR="0013027C">
        <w:rPr>
          <w:szCs w:val="24"/>
        </w:rPr>
        <w:t>W</w:t>
      </w:r>
      <w:r w:rsidRPr="00A94D0B">
        <w:rPr>
          <w:szCs w:val="24"/>
        </w:rPr>
        <w:t>/</w:t>
      </w:r>
      <w:r w:rsidR="0013027C">
        <w:rPr>
          <w:szCs w:val="24"/>
        </w:rPr>
        <w:t>O</w:t>
      </w:r>
      <w:r w:rsidRPr="00A94D0B">
        <w:rPr>
          <w:szCs w:val="24"/>
        </w:rPr>
        <w:t xml:space="preserve">. </w:t>
      </w:r>
    </w:p>
    <w:p w:rsidR="003A6929" w:rsidRPr="00A94D0B" w:rsidRDefault="003A6929" w:rsidP="0013027C">
      <w:pPr>
        <w:autoSpaceDE w:val="0"/>
        <w:autoSpaceDN w:val="0"/>
        <w:adjustRightInd w:val="0"/>
        <w:spacing w:after="240" w:line="360" w:lineRule="auto"/>
        <w:jc w:val="both"/>
        <w:rPr>
          <w:szCs w:val="24"/>
        </w:rPr>
      </w:pPr>
      <w:r w:rsidRPr="00A94D0B">
        <w:rPr>
          <w:szCs w:val="24"/>
        </w:rPr>
        <w:tab/>
        <w:t xml:space="preserve">Para entender el fenómeno </w:t>
      </w:r>
      <w:r w:rsidR="0013027C">
        <w:rPr>
          <w:szCs w:val="24"/>
        </w:rPr>
        <w:t>de la deshidratación del crudo,</w:t>
      </w:r>
      <w:r w:rsidRPr="00A94D0B">
        <w:rPr>
          <w:szCs w:val="24"/>
        </w:rPr>
        <w:t xml:space="preserve"> es necesario entender en primer término qué es una emulsión agua-crudo.</w:t>
      </w:r>
    </w:p>
    <w:p w:rsidR="003A6929" w:rsidRPr="00C8552B" w:rsidRDefault="00C8552B" w:rsidP="00665C33">
      <w:pPr>
        <w:pStyle w:val="Ttulo3"/>
        <w:spacing w:line="360" w:lineRule="auto"/>
        <w:rPr>
          <w:rFonts w:ascii="Times New Roman" w:hAnsi="Times New Roman" w:cs="Times New Roman"/>
          <w:color w:val="auto"/>
        </w:rPr>
      </w:pPr>
      <w:bookmarkStart w:id="63" w:name="_Toc327478011"/>
      <w:r w:rsidRPr="00C8552B">
        <w:rPr>
          <w:rFonts w:ascii="Times New Roman" w:hAnsi="Times New Roman" w:cs="Times New Roman"/>
          <w:color w:val="auto"/>
        </w:rPr>
        <w:t xml:space="preserve">2.2.1 </w:t>
      </w:r>
      <w:r w:rsidR="003A6929" w:rsidRPr="00C8552B">
        <w:rPr>
          <w:rFonts w:ascii="Times New Roman" w:hAnsi="Times New Roman" w:cs="Times New Roman"/>
          <w:color w:val="auto"/>
        </w:rPr>
        <w:t xml:space="preserve">Emulsiones </w:t>
      </w:r>
      <w:r w:rsidR="0013027C" w:rsidRPr="00C8552B">
        <w:rPr>
          <w:rFonts w:ascii="Times New Roman" w:hAnsi="Times New Roman" w:cs="Times New Roman"/>
          <w:color w:val="auto"/>
        </w:rPr>
        <w:t>agua-crudo</w:t>
      </w:r>
      <w:r w:rsidR="003A6929" w:rsidRPr="00C8552B">
        <w:rPr>
          <w:rFonts w:ascii="Times New Roman" w:hAnsi="Times New Roman" w:cs="Times New Roman"/>
          <w:color w:val="auto"/>
        </w:rPr>
        <w:t>, W/O</w:t>
      </w:r>
      <w:bookmarkEnd w:id="63"/>
    </w:p>
    <w:p w:rsidR="003A6929" w:rsidRPr="00A94D0B" w:rsidRDefault="003A6929" w:rsidP="0013027C">
      <w:pPr>
        <w:autoSpaceDE w:val="0"/>
        <w:autoSpaceDN w:val="0"/>
        <w:adjustRightInd w:val="0"/>
        <w:spacing w:line="360" w:lineRule="auto"/>
        <w:jc w:val="both"/>
        <w:rPr>
          <w:szCs w:val="24"/>
        </w:rPr>
      </w:pPr>
      <w:r w:rsidRPr="006426B4">
        <w:rPr>
          <w:szCs w:val="24"/>
          <w:lang w:val="es-VE"/>
        </w:rPr>
        <w:tab/>
      </w:r>
      <w:r w:rsidRPr="00A94D0B">
        <w:rPr>
          <w:szCs w:val="24"/>
        </w:rPr>
        <w:t>En los campos petroleros la</w:t>
      </w:r>
      <w:r w:rsidR="0013027C">
        <w:rPr>
          <w:szCs w:val="24"/>
        </w:rPr>
        <w:t>s emulsiones de agua en crudo (W</w:t>
      </w:r>
      <w:r w:rsidRPr="00A94D0B">
        <w:rPr>
          <w:szCs w:val="24"/>
        </w:rPr>
        <w:t>/</w:t>
      </w:r>
      <w:r w:rsidR="0013027C">
        <w:rPr>
          <w:szCs w:val="24"/>
        </w:rPr>
        <w:t>O</w:t>
      </w:r>
      <w:r w:rsidRPr="00A94D0B">
        <w:rPr>
          <w:szCs w:val="24"/>
        </w:rPr>
        <w:t>) son llamadas emulsiones directas, mientras que la</w:t>
      </w:r>
      <w:r w:rsidR="0013027C">
        <w:rPr>
          <w:szCs w:val="24"/>
        </w:rPr>
        <w:t>s emulsiones de crudo en agua (O</w:t>
      </w:r>
      <w:r w:rsidRPr="00A94D0B">
        <w:rPr>
          <w:szCs w:val="24"/>
        </w:rPr>
        <w:t>/</w:t>
      </w:r>
      <w:r w:rsidR="0013027C">
        <w:rPr>
          <w:szCs w:val="24"/>
        </w:rPr>
        <w:t>W</w:t>
      </w:r>
      <w:r w:rsidRPr="00A94D0B">
        <w:rPr>
          <w:szCs w:val="24"/>
        </w:rPr>
        <w:t>) son llamadas emulsiones inversas. Esta clasificación simple no siempre es adecuada, ya que emu</w:t>
      </w:r>
      <w:r w:rsidR="0013027C">
        <w:rPr>
          <w:szCs w:val="24"/>
        </w:rPr>
        <w:t>lsiones múltiples o complejas (O</w:t>
      </w:r>
      <w:r w:rsidRPr="00A94D0B">
        <w:rPr>
          <w:szCs w:val="24"/>
        </w:rPr>
        <w:t>/</w:t>
      </w:r>
      <w:r w:rsidR="0013027C">
        <w:rPr>
          <w:szCs w:val="24"/>
        </w:rPr>
        <w:t>W</w:t>
      </w:r>
      <w:r w:rsidRPr="00A94D0B">
        <w:rPr>
          <w:szCs w:val="24"/>
        </w:rPr>
        <w:t>/</w:t>
      </w:r>
      <w:r w:rsidR="0013027C">
        <w:rPr>
          <w:szCs w:val="24"/>
        </w:rPr>
        <w:t>O</w:t>
      </w:r>
      <w:r w:rsidRPr="00A94D0B">
        <w:rPr>
          <w:szCs w:val="24"/>
        </w:rPr>
        <w:t xml:space="preserve"> ó </w:t>
      </w:r>
      <w:r w:rsidR="0013027C">
        <w:rPr>
          <w:szCs w:val="24"/>
        </w:rPr>
        <w:t>W</w:t>
      </w:r>
      <w:r w:rsidRPr="00A94D0B">
        <w:rPr>
          <w:szCs w:val="24"/>
        </w:rPr>
        <w:t>/</w:t>
      </w:r>
      <w:r w:rsidR="0013027C">
        <w:rPr>
          <w:szCs w:val="24"/>
        </w:rPr>
        <w:t>O</w:t>
      </w:r>
      <w:r w:rsidRPr="00A94D0B">
        <w:rPr>
          <w:szCs w:val="24"/>
        </w:rPr>
        <w:t>/</w:t>
      </w:r>
      <w:r w:rsidR="0013027C">
        <w:rPr>
          <w:szCs w:val="24"/>
        </w:rPr>
        <w:t>W</w:t>
      </w:r>
      <w:r w:rsidRPr="00A94D0B">
        <w:rPr>
          <w:szCs w:val="24"/>
        </w:rPr>
        <w:t xml:space="preserve">) pueden también ocurrir. Además, esta </w:t>
      </w:r>
      <w:r w:rsidR="0013027C">
        <w:rPr>
          <w:szCs w:val="24"/>
        </w:rPr>
        <w:t>denominación</w:t>
      </w:r>
      <w:r w:rsidRPr="00A94D0B">
        <w:rPr>
          <w:szCs w:val="24"/>
        </w:rPr>
        <w:t xml:space="preserve"> es muy particular de la industria petrolera, ya que en general las emulsiones </w:t>
      </w:r>
      <w:r w:rsidR="0013027C">
        <w:rPr>
          <w:szCs w:val="24"/>
        </w:rPr>
        <w:t>O</w:t>
      </w:r>
      <w:r w:rsidRPr="00A94D0B">
        <w:rPr>
          <w:szCs w:val="24"/>
        </w:rPr>
        <w:t>/</w:t>
      </w:r>
      <w:r w:rsidR="0013027C">
        <w:rPr>
          <w:szCs w:val="24"/>
        </w:rPr>
        <w:t>W</w:t>
      </w:r>
      <w:r w:rsidRPr="00A94D0B">
        <w:rPr>
          <w:szCs w:val="24"/>
        </w:rPr>
        <w:t xml:space="preserve"> son denominadas emulsiones normal</w:t>
      </w:r>
      <w:r>
        <w:rPr>
          <w:szCs w:val="24"/>
        </w:rPr>
        <w:t xml:space="preserve">es y las </w:t>
      </w:r>
      <w:r w:rsidR="0013027C">
        <w:rPr>
          <w:szCs w:val="24"/>
        </w:rPr>
        <w:t>W</w:t>
      </w:r>
      <w:r>
        <w:rPr>
          <w:szCs w:val="24"/>
        </w:rPr>
        <w:t>/</w:t>
      </w:r>
      <w:r w:rsidR="0013027C">
        <w:rPr>
          <w:szCs w:val="24"/>
        </w:rPr>
        <w:t>O</w:t>
      </w:r>
      <w:r>
        <w:rPr>
          <w:szCs w:val="24"/>
        </w:rPr>
        <w:t xml:space="preserve"> son las inversas.</w:t>
      </w:r>
    </w:p>
    <w:p w:rsidR="003A6929" w:rsidRPr="00A94D0B" w:rsidRDefault="003A6929" w:rsidP="003A6929">
      <w:pPr>
        <w:autoSpaceDE w:val="0"/>
        <w:autoSpaceDN w:val="0"/>
        <w:adjustRightInd w:val="0"/>
        <w:spacing w:line="360" w:lineRule="auto"/>
        <w:jc w:val="both"/>
        <w:rPr>
          <w:szCs w:val="24"/>
        </w:rPr>
      </w:pPr>
      <w:r w:rsidRPr="00A94D0B">
        <w:rPr>
          <w:szCs w:val="24"/>
        </w:rPr>
        <w:tab/>
        <w:t xml:space="preserve">En las emulsiones directas, la fase acuosa dispersa se refiere generalmente como agua y sedimento (A&amp;S). El A&amp;S es </w:t>
      </w:r>
      <w:r w:rsidR="0013027C">
        <w:rPr>
          <w:szCs w:val="24"/>
        </w:rPr>
        <w:t>fundamentalmente</w:t>
      </w:r>
      <w:r w:rsidRPr="00A94D0B">
        <w:rPr>
          <w:szCs w:val="24"/>
        </w:rPr>
        <w:t xml:space="preserve"> agua salada; sin embargo, sólidos tales como arena, lodos, carbonatos, productos de corrosión y sólidos precipitados o disueltos se encuentran también presentes, por lo que A&amp;S también es llamada Agua y Sedimento Básico (A&amp;SB).</w:t>
      </w:r>
    </w:p>
    <w:p w:rsidR="003A6929" w:rsidRDefault="003A6929" w:rsidP="003A6929">
      <w:pPr>
        <w:autoSpaceDE w:val="0"/>
        <w:autoSpaceDN w:val="0"/>
        <w:adjustRightInd w:val="0"/>
        <w:spacing w:line="360" w:lineRule="auto"/>
        <w:ind w:firstLine="567"/>
        <w:jc w:val="both"/>
        <w:rPr>
          <w:szCs w:val="24"/>
        </w:rPr>
      </w:pPr>
      <w:r w:rsidRPr="00A94D0B">
        <w:rPr>
          <w:szCs w:val="24"/>
        </w:rPr>
        <w:tab/>
        <w:t xml:space="preserve">Otra terminología en la industria petrolera es clasificar las emulsiones directas producidas como duras y suaves. Por definición una emulsión dura es muy estable y difícil de romper, principalmente porque las gotas dispersas son muy pequeñas. Por otro lado, una emulsión suave es inestable y fácil de romper. En otras palabras, cuando un gran número de gotas de agua de gran diámetro están presentes, ellas a menudo se separan fácilmente por la fuerza gravitacional. El agua </w:t>
      </w:r>
      <w:r w:rsidR="0013027C">
        <w:rPr>
          <w:szCs w:val="24"/>
        </w:rPr>
        <w:t>separada en un tiempo menor a</w:t>
      </w:r>
      <w:r w:rsidRPr="00A94D0B">
        <w:rPr>
          <w:szCs w:val="24"/>
        </w:rPr>
        <w:t xml:space="preserve"> cinco minutos es llamada </w:t>
      </w:r>
      <w:r w:rsidRPr="00A94D0B">
        <w:rPr>
          <w:bCs/>
          <w:szCs w:val="24"/>
        </w:rPr>
        <w:t>agua libre</w:t>
      </w:r>
      <w:r w:rsidRPr="00A94D0B">
        <w:rPr>
          <w:szCs w:val="24"/>
        </w:rPr>
        <w:t>. La cantidad de agua remanente</w:t>
      </w:r>
      <w:r w:rsidR="0013027C">
        <w:rPr>
          <w:szCs w:val="24"/>
        </w:rPr>
        <w:t>,</w:t>
      </w:r>
      <w:r w:rsidRPr="00A94D0B">
        <w:rPr>
          <w:szCs w:val="24"/>
        </w:rPr>
        <w:t xml:space="preserve"> emulsionada en </w:t>
      </w:r>
      <w:r w:rsidR="0013027C">
        <w:rPr>
          <w:szCs w:val="24"/>
        </w:rPr>
        <w:t xml:space="preserve">el </w:t>
      </w:r>
      <w:r w:rsidRPr="00A94D0B">
        <w:rPr>
          <w:szCs w:val="24"/>
        </w:rPr>
        <w:t>crudo</w:t>
      </w:r>
      <w:r w:rsidR="0013027C">
        <w:rPr>
          <w:szCs w:val="24"/>
        </w:rPr>
        <w:t xml:space="preserve">  (una vez removida el agua libre),</w:t>
      </w:r>
      <w:r w:rsidRPr="00A94D0B">
        <w:rPr>
          <w:szCs w:val="24"/>
        </w:rPr>
        <w:t xml:space="preserve"> varía desde 1% a 60% en volumen. En los crudos medianos y livianos (&gt;20 °API) las emulsiones contienen </w:t>
      </w:r>
      <w:r w:rsidRPr="00A94D0B">
        <w:rPr>
          <w:szCs w:val="24"/>
        </w:rPr>
        <w:lastRenderedPageBreak/>
        <w:t xml:space="preserve">típicamente </w:t>
      </w:r>
      <w:r>
        <w:rPr>
          <w:szCs w:val="24"/>
        </w:rPr>
        <w:t>entre</w:t>
      </w:r>
      <w:r w:rsidRPr="00A94D0B">
        <w:rPr>
          <w:szCs w:val="24"/>
        </w:rPr>
        <w:t xml:space="preserve"> 5%</w:t>
      </w:r>
      <w:r>
        <w:rPr>
          <w:szCs w:val="24"/>
        </w:rPr>
        <w:t>-</w:t>
      </w:r>
      <w:r w:rsidRPr="00A94D0B">
        <w:rPr>
          <w:szCs w:val="24"/>
        </w:rPr>
        <w:t xml:space="preserve">20 % de volumen de agua, mientras que en los crudos pesados y extrapesados (&lt;20 °API) tienen a menudo </w:t>
      </w:r>
      <w:r>
        <w:rPr>
          <w:szCs w:val="24"/>
        </w:rPr>
        <w:t>entre</w:t>
      </w:r>
      <w:r w:rsidRPr="00A94D0B">
        <w:rPr>
          <w:szCs w:val="24"/>
        </w:rPr>
        <w:t xml:space="preserve"> 10%</w:t>
      </w:r>
      <w:r>
        <w:rPr>
          <w:szCs w:val="24"/>
        </w:rPr>
        <w:t>-</w:t>
      </w:r>
      <w:r w:rsidRPr="00A94D0B">
        <w:rPr>
          <w:szCs w:val="24"/>
        </w:rPr>
        <w:t>35 % de agua. Es importante acotar que cuando se hace referencia a la palabra “</w:t>
      </w:r>
      <w:r w:rsidRPr="00A94D0B">
        <w:rPr>
          <w:bCs/>
          <w:szCs w:val="24"/>
        </w:rPr>
        <w:t>agua</w:t>
      </w:r>
      <w:r w:rsidRPr="00A94D0B">
        <w:rPr>
          <w:szCs w:val="24"/>
        </w:rPr>
        <w:t xml:space="preserve">” (libre o emulsionada), se habla de salmuera conteniendo cloruro de sodio y otras sales </w:t>
      </w:r>
      <w:r>
        <w:rPr>
          <w:szCs w:val="24"/>
        </w:rPr>
        <w:t>(Marfisi y Salaguer, 2004).</w:t>
      </w:r>
    </w:p>
    <w:p w:rsidR="003A6929" w:rsidRPr="00A94D0B" w:rsidRDefault="003A6929" w:rsidP="003A6929">
      <w:pPr>
        <w:autoSpaceDE w:val="0"/>
        <w:autoSpaceDN w:val="0"/>
        <w:adjustRightInd w:val="0"/>
        <w:spacing w:line="360" w:lineRule="auto"/>
        <w:ind w:firstLine="567"/>
        <w:jc w:val="both"/>
        <w:rPr>
          <w:szCs w:val="24"/>
        </w:rPr>
      </w:pPr>
      <w:r w:rsidRPr="00A94D0B">
        <w:rPr>
          <w:szCs w:val="24"/>
        </w:rPr>
        <w:t xml:space="preserve">En la siguiente gráfica se </w:t>
      </w:r>
      <w:r w:rsidR="0013027C">
        <w:rPr>
          <w:szCs w:val="24"/>
        </w:rPr>
        <w:t>observa</w:t>
      </w:r>
      <w:r w:rsidRPr="00A94D0B">
        <w:rPr>
          <w:szCs w:val="24"/>
        </w:rPr>
        <w:t xml:space="preserve"> la variación de la gravedad API en función de la cantidad estimada de agua en crudo:</w:t>
      </w:r>
    </w:p>
    <w:p w:rsidR="003A6929" w:rsidRPr="00A94D0B" w:rsidRDefault="003A6929" w:rsidP="003A6929">
      <w:pPr>
        <w:autoSpaceDE w:val="0"/>
        <w:autoSpaceDN w:val="0"/>
        <w:adjustRightInd w:val="0"/>
        <w:spacing w:line="360" w:lineRule="auto"/>
        <w:ind w:firstLine="567"/>
        <w:jc w:val="center"/>
        <w:rPr>
          <w:szCs w:val="24"/>
        </w:rPr>
      </w:pPr>
      <w:r>
        <w:rPr>
          <w:noProof/>
          <w:szCs w:val="24"/>
          <w:lang w:val="en-US" w:eastAsia="en-US"/>
        </w:rPr>
        <w:drawing>
          <wp:inline distT="0" distB="0" distL="0" distR="0">
            <wp:extent cx="4763135" cy="2402840"/>
            <wp:effectExtent l="1905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a:stretch>
                      <a:fillRect/>
                    </a:stretch>
                  </pic:blipFill>
                  <pic:spPr bwMode="auto">
                    <a:xfrm>
                      <a:off x="0" y="0"/>
                      <a:ext cx="4763135" cy="2402840"/>
                    </a:xfrm>
                    <a:prstGeom prst="rect">
                      <a:avLst/>
                    </a:prstGeom>
                    <a:noFill/>
                    <a:ln w="9525">
                      <a:noFill/>
                      <a:miter lim="800000"/>
                      <a:headEnd/>
                      <a:tailEnd/>
                    </a:ln>
                  </pic:spPr>
                </pic:pic>
              </a:graphicData>
            </a:graphic>
          </wp:inline>
        </w:drawing>
      </w:r>
    </w:p>
    <w:p w:rsidR="003A6929" w:rsidRPr="0056158F" w:rsidRDefault="00FB5089" w:rsidP="00FB5089">
      <w:pPr>
        <w:pStyle w:val="Epgrafe"/>
      </w:pPr>
      <w:bookmarkStart w:id="64" w:name="_Toc327481419"/>
      <w:r>
        <w:t xml:space="preserve">Figura N° </w:t>
      </w:r>
      <w:fldSimple w:instr=" SEQ Figura_N° \* ARABIC ">
        <w:r w:rsidR="004A5F6F">
          <w:rPr>
            <w:noProof/>
          </w:rPr>
          <w:t>7</w:t>
        </w:r>
      </w:fldSimple>
      <w:r w:rsidR="003A6929" w:rsidRPr="0056158F">
        <w:t>: Estimación de agua emulsio</w:t>
      </w:r>
      <w:r w:rsidR="003A6929">
        <w:t>nada contenida en crudo</w:t>
      </w:r>
      <w:r w:rsidR="00356CD8">
        <w:t xml:space="preserve"> en función de °API</w:t>
      </w:r>
      <w:r w:rsidR="003A6929" w:rsidRPr="0056158F">
        <w:t xml:space="preserve"> </w:t>
      </w:r>
      <w:r w:rsidR="003A6929" w:rsidRPr="00733453">
        <w:t>(Schramm, 1992).</w:t>
      </w:r>
      <w:bookmarkEnd w:id="64"/>
    </w:p>
    <w:p w:rsidR="003A6929" w:rsidRDefault="003A6929" w:rsidP="00EA784B">
      <w:pPr>
        <w:autoSpaceDE w:val="0"/>
        <w:autoSpaceDN w:val="0"/>
        <w:adjustRightInd w:val="0"/>
        <w:spacing w:after="240" w:line="360" w:lineRule="auto"/>
        <w:jc w:val="both"/>
        <w:rPr>
          <w:szCs w:val="24"/>
        </w:rPr>
      </w:pPr>
      <w:r>
        <w:rPr>
          <w:szCs w:val="24"/>
        </w:rPr>
        <w:tab/>
      </w:r>
      <w:r w:rsidRPr="00A94D0B">
        <w:rPr>
          <w:szCs w:val="24"/>
        </w:rPr>
        <w:t xml:space="preserve">Estas emulsiones se forman por el paso de la mezcla bifásica de crudo y agua por todo el aparataje de producción durante el levantamiento y el transporte en  superficie (bombas, válvulas, codos, restricciones, etc.). Durante estos procesos se produce la agitación suficiente para que el agua se disperse en el crudo en forma de emulsión </w:t>
      </w:r>
      <w:r>
        <w:rPr>
          <w:szCs w:val="24"/>
        </w:rPr>
        <w:t>W</w:t>
      </w:r>
      <w:r w:rsidRPr="00A94D0B">
        <w:rPr>
          <w:szCs w:val="24"/>
        </w:rPr>
        <w:t>/</w:t>
      </w:r>
      <w:r>
        <w:rPr>
          <w:szCs w:val="24"/>
        </w:rPr>
        <w:t>O</w:t>
      </w:r>
      <w:r w:rsidRPr="00A94D0B">
        <w:rPr>
          <w:szCs w:val="24"/>
        </w:rPr>
        <w:t xml:space="preserve"> estabilizada por las especies de actividad interfacial presentes en el crudo. Las emulsiones formadas son por lo general macro-emulsiones w/o con diámetros de gota</w:t>
      </w:r>
      <w:r>
        <w:rPr>
          <w:szCs w:val="24"/>
        </w:rPr>
        <w:t xml:space="preserve"> que varían de los 0,1 a 100 µm</w:t>
      </w:r>
      <w:r w:rsidRPr="00A94D0B">
        <w:rPr>
          <w:szCs w:val="24"/>
        </w:rPr>
        <w:t xml:space="preserve"> </w:t>
      </w:r>
      <w:r>
        <w:rPr>
          <w:szCs w:val="24"/>
        </w:rPr>
        <w:t>(Marfisi y Salaguer, 2004).</w:t>
      </w:r>
    </w:p>
    <w:p w:rsidR="00EA784B" w:rsidRPr="00665C33" w:rsidRDefault="00C8552B" w:rsidP="00665C33">
      <w:pPr>
        <w:pStyle w:val="Ttulo3"/>
        <w:spacing w:line="360" w:lineRule="auto"/>
        <w:rPr>
          <w:rFonts w:ascii="Times New Roman" w:hAnsi="Times New Roman" w:cs="Times New Roman"/>
          <w:color w:val="auto"/>
        </w:rPr>
      </w:pPr>
      <w:bookmarkStart w:id="65" w:name="_Toc327478012"/>
      <w:r>
        <w:rPr>
          <w:rFonts w:ascii="Times New Roman" w:hAnsi="Times New Roman" w:cs="Times New Roman"/>
          <w:color w:val="auto"/>
        </w:rPr>
        <w:t xml:space="preserve">2.3 </w:t>
      </w:r>
      <w:r w:rsidR="003A6929" w:rsidRPr="00665C33">
        <w:rPr>
          <w:rFonts w:ascii="Times New Roman" w:hAnsi="Times New Roman" w:cs="Times New Roman"/>
          <w:color w:val="auto"/>
        </w:rPr>
        <w:t>Agentes emulsionantes</w:t>
      </w:r>
      <w:bookmarkEnd w:id="65"/>
    </w:p>
    <w:p w:rsidR="00F857BB" w:rsidRDefault="00EA784B" w:rsidP="00F857BB">
      <w:pPr>
        <w:autoSpaceDE w:val="0"/>
        <w:autoSpaceDN w:val="0"/>
        <w:adjustRightInd w:val="0"/>
        <w:spacing w:line="360" w:lineRule="auto"/>
        <w:ind w:firstLine="90"/>
        <w:jc w:val="both"/>
        <w:rPr>
          <w:bCs/>
          <w:szCs w:val="24"/>
        </w:rPr>
      </w:pPr>
      <w:r>
        <w:rPr>
          <w:szCs w:val="24"/>
        </w:rPr>
        <w:tab/>
      </w:r>
      <w:r w:rsidR="003A6929" w:rsidRPr="00A94D0B">
        <w:rPr>
          <w:szCs w:val="24"/>
        </w:rPr>
        <w:t xml:space="preserve">Los agentes emulsionantes o surfactantes son sustancias que poseen a la vez un grupo polar (parte hidrofílica) afín al agua y un grupo apolar (parte hidrofóbica) </w:t>
      </w:r>
      <w:r w:rsidR="003A6929" w:rsidRPr="00A94D0B">
        <w:rPr>
          <w:szCs w:val="24"/>
        </w:rPr>
        <w:lastRenderedPageBreak/>
        <w:t xml:space="preserve">afín al aceite y como tales pertenecen a la clase de las sustancias </w:t>
      </w:r>
      <w:r w:rsidR="003A6929" w:rsidRPr="00A94D0B">
        <w:rPr>
          <w:bCs/>
          <w:szCs w:val="24"/>
        </w:rPr>
        <w:t>anfífilas</w:t>
      </w:r>
      <w:r w:rsidR="003A6929">
        <w:rPr>
          <w:bCs/>
          <w:szCs w:val="24"/>
        </w:rPr>
        <w:t xml:space="preserve"> (Sunil, </w:t>
      </w:r>
      <w:r w:rsidR="0098574D">
        <w:rPr>
          <w:bCs/>
          <w:szCs w:val="24"/>
        </w:rPr>
        <w:t>2006</w:t>
      </w:r>
      <w:r w:rsidR="003A6929">
        <w:rPr>
          <w:bCs/>
          <w:szCs w:val="24"/>
        </w:rPr>
        <w:t xml:space="preserve">). </w:t>
      </w:r>
    </w:p>
    <w:p w:rsidR="003A6929" w:rsidRDefault="003A6929" w:rsidP="00F857BB">
      <w:pPr>
        <w:autoSpaceDE w:val="0"/>
        <w:autoSpaceDN w:val="0"/>
        <w:adjustRightInd w:val="0"/>
        <w:spacing w:line="360" w:lineRule="auto"/>
        <w:ind w:firstLine="90"/>
        <w:jc w:val="both"/>
        <w:rPr>
          <w:szCs w:val="24"/>
        </w:rPr>
      </w:pPr>
      <w:r>
        <w:rPr>
          <w:bCs/>
          <w:szCs w:val="24"/>
        </w:rPr>
        <w:tab/>
      </w:r>
      <w:r w:rsidRPr="00A94D0B">
        <w:rPr>
          <w:szCs w:val="24"/>
        </w:rPr>
        <w:t>El grupo polar es en general un grupo funcional que contiene heteroátomos como O, S, N o P. En cuanto al grupo apolar</w:t>
      </w:r>
      <w:r>
        <w:rPr>
          <w:szCs w:val="24"/>
        </w:rPr>
        <w:t>,</w:t>
      </w:r>
      <w:r w:rsidRPr="00A94D0B">
        <w:rPr>
          <w:szCs w:val="24"/>
        </w:rPr>
        <w:t xml:space="preserve"> es en general una cadena hidrocarbonada de tipo alquilo o alquil-arilo con típicamente 12 a 20 átomos de carbonos o más</w:t>
      </w:r>
      <w:r>
        <w:rPr>
          <w:szCs w:val="24"/>
        </w:rPr>
        <w:t xml:space="preserve"> (Salaguer, 2002).</w:t>
      </w:r>
    </w:p>
    <w:p w:rsidR="003A6929" w:rsidRDefault="00EA784B" w:rsidP="003A6929">
      <w:pPr>
        <w:autoSpaceDE w:val="0"/>
        <w:autoSpaceDN w:val="0"/>
        <w:adjustRightInd w:val="0"/>
        <w:spacing w:line="360" w:lineRule="auto"/>
        <w:jc w:val="both"/>
        <w:rPr>
          <w:rFonts w:ascii="TimesNewRoman" w:hAnsi="TimesNewRoman" w:cs="TimesNewRoman"/>
          <w:sz w:val="23"/>
          <w:szCs w:val="23"/>
        </w:rPr>
      </w:pPr>
      <w:r>
        <w:rPr>
          <w:szCs w:val="24"/>
        </w:rPr>
        <w:tab/>
      </w:r>
      <w:r w:rsidR="003A6929">
        <w:rPr>
          <w:szCs w:val="24"/>
        </w:rPr>
        <w:t xml:space="preserve">Cuando se aloja una molécula de surfactante en una interfase, éste provoca una disminución de la tensión interfacial. Ésta </w:t>
      </w:r>
      <w:r w:rsidR="003A6929" w:rsidRPr="001343F3">
        <w:rPr>
          <w:rFonts w:ascii="TimesNewRoman" w:hAnsi="TimesNewRoman" w:cs="TimesNewRoman"/>
          <w:sz w:val="23"/>
          <w:szCs w:val="23"/>
        </w:rPr>
        <w:t>tensión es una medida de la energía de cohesión presente en una</w:t>
      </w:r>
      <w:r w:rsidR="003A6929">
        <w:rPr>
          <w:rFonts w:ascii="TimesNewRoman" w:hAnsi="TimesNewRoman" w:cs="TimesNewRoman"/>
          <w:sz w:val="23"/>
          <w:szCs w:val="23"/>
        </w:rPr>
        <w:t xml:space="preserve"> </w:t>
      </w:r>
      <w:r w:rsidR="003A6929" w:rsidRPr="001343F3">
        <w:rPr>
          <w:rFonts w:ascii="TimesNewRoman" w:hAnsi="TimesNewRoman" w:cs="TimesNewRoman"/>
          <w:sz w:val="23"/>
          <w:szCs w:val="23"/>
        </w:rPr>
        <w:t>interfase. Las moléculas de un líquido se atraen la una a la otra. Las interacciones</w:t>
      </w:r>
      <w:r w:rsidR="003A6929">
        <w:rPr>
          <w:rFonts w:ascii="TimesNewRoman" w:hAnsi="TimesNewRoman" w:cs="TimesNewRoman"/>
          <w:sz w:val="23"/>
          <w:szCs w:val="23"/>
        </w:rPr>
        <w:t xml:space="preserve"> </w:t>
      </w:r>
      <w:r w:rsidR="003A6929" w:rsidRPr="001343F3">
        <w:rPr>
          <w:rFonts w:ascii="TimesNewRoman" w:hAnsi="TimesNewRoman" w:cs="TimesNewRoman"/>
          <w:sz w:val="23"/>
          <w:szCs w:val="23"/>
        </w:rPr>
        <w:t>de una molécula en el seno de un líquido están equilibradas por fuerzas atractivas</w:t>
      </w:r>
      <w:r w:rsidR="003A6929">
        <w:rPr>
          <w:rFonts w:ascii="TimesNewRoman" w:hAnsi="TimesNewRoman" w:cs="TimesNewRoman"/>
          <w:sz w:val="23"/>
          <w:szCs w:val="23"/>
        </w:rPr>
        <w:t xml:space="preserve"> </w:t>
      </w:r>
      <w:r w:rsidR="003A6929" w:rsidRPr="001343F3">
        <w:rPr>
          <w:rFonts w:ascii="TimesNewRoman" w:hAnsi="TimesNewRoman" w:cs="TimesNewRoman"/>
          <w:sz w:val="23"/>
          <w:szCs w:val="23"/>
        </w:rPr>
        <w:t xml:space="preserve">y repulsivas idénticas en todas direcciones. </w:t>
      </w:r>
      <w:r w:rsidR="003A6929">
        <w:rPr>
          <w:rFonts w:ascii="TimesNewRoman" w:hAnsi="TimesNewRoman" w:cs="TimesNewRoman"/>
          <w:sz w:val="23"/>
          <w:szCs w:val="23"/>
        </w:rPr>
        <w:t>Por ejemplo cuando un líquido, considérese agua, está expuesto al aire, l</w:t>
      </w:r>
      <w:r w:rsidR="003A6929" w:rsidRPr="001343F3">
        <w:rPr>
          <w:rFonts w:ascii="TimesNewRoman" w:hAnsi="TimesNewRoman" w:cs="TimesNewRoman"/>
          <w:sz w:val="23"/>
          <w:szCs w:val="23"/>
        </w:rPr>
        <w:t xml:space="preserve">as moléculas </w:t>
      </w:r>
      <w:r w:rsidR="003A6929">
        <w:rPr>
          <w:rFonts w:ascii="TimesNewRoman" w:hAnsi="TimesNewRoman" w:cs="TimesNewRoman"/>
          <w:sz w:val="23"/>
          <w:szCs w:val="23"/>
        </w:rPr>
        <w:t xml:space="preserve">de agua en </w:t>
      </w:r>
      <w:r w:rsidR="003A6929" w:rsidRPr="001343F3">
        <w:rPr>
          <w:rFonts w:ascii="TimesNewRoman" w:hAnsi="TimesNewRoman" w:cs="TimesNewRoman"/>
          <w:sz w:val="23"/>
          <w:szCs w:val="23"/>
        </w:rPr>
        <w:t>la superficie experimentan un desequilibrio de fuerzas como se muestra en la figura</w:t>
      </w:r>
      <w:r w:rsidR="003A6929">
        <w:rPr>
          <w:rFonts w:ascii="TimesNewRoman" w:hAnsi="TimesNewRoman" w:cs="TimesNewRoman"/>
          <w:sz w:val="23"/>
          <w:szCs w:val="23"/>
        </w:rPr>
        <w:t xml:space="preserve"> a continuación:</w:t>
      </w:r>
    </w:p>
    <w:p w:rsidR="003A6929" w:rsidRDefault="00A73CD2" w:rsidP="003A6929">
      <w:pPr>
        <w:autoSpaceDE w:val="0"/>
        <w:autoSpaceDN w:val="0"/>
        <w:adjustRightInd w:val="0"/>
        <w:spacing w:line="360" w:lineRule="auto"/>
        <w:jc w:val="center"/>
        <w:rPr>
          <w:rFonts w:ascii="TimesNewRoman" w:hAnsi="TimesNewRoman" w:cs="TimesNewRoman"/>
          <w:sz w:val="23"/>
          <w:szCs w:val="23"/>
        </w:rPr>
      </w:pPr>
      <w:r w:rsidRPr="00A73CD2">
        <w:rPr>
          <w:rFonts w:ascii="TimesNewRoman" w:hAnsi="TimesNewRoman" w:cs="TimesNewRoman"/>
          <w:noProof/>
          <w:sz w:val="23"/>
          <w:szCs w:val="23"/>
          <w:lang w:eastAsia="zh-TW"/>
        </w:rPr>
        <w:pict>
          <v:shape id="_x0000_s1382" type="#_x0000_t202" style="position:absolute;left:0;text-align:left;margin-left:185.9pt;margin-top:4.25pt;width:41.5pt;height:22pt;z-index:251780608;mso-width-relative:margin;mso-height-relative:margin" filled="f" stroked="f">
            <v:textbox style="mso-next-textbox:#_x0000_s1382">
              <w:txbxContent>
                <w:p w:rsidR="004134A0" w:rsidRPr="001343F3" w:rsidRDefault="004134A0" w:rsidP="003A6929">
                  <w:pPr>
                    <w:jc w:val="center"/>
                    <w:rPr>
                      <w:sz w:val="20"/>
                      <w:lang w:val="en-US"/>
                    </w:rPr>
                  </w:pPr>
                  <w:r w:rsidRPr="001343F3">
                    <w:rPr>
                      <w:sz w:val="20"/>
                    </w:rPr>
                    <w:t>Aire</w:t>
                  </w:r>
                </w:p>
              </w:txbxContent>
            </v:textbox>
          </v:shape>
        </w:pict>
      </w:r>
    </w:p>
    <w:p w:rsidR="003A6929" w:rsidRPr="001343F3" w:rsidRDefault="00A73CD2" w:rsidP="003A6929">
      <w:pPr>
        <w:autoSpaceDE w:val="0"/>
        <w:autoSpaceDN w:val="0"/>
        <w:adjustRightInd w:val="0"/>
        <w:spacing w:line="360" w:lineRule="auto"/>
        <w:jc w:val="center"/>
        <w:rPr>
          <w:rFonts w:ascii="TimesNewRoman" w:hAnsi="TimesNewRoman" w:cs="TimesNewRoman"/>
          <w:sz w:val="23"/>
          <w:szCs w:val="23"/>
        </w:rPr>
      </w:pPr>
      <w:r>
        <w:rPr>
          <w:rFonts w:ascii="TimesNewRoman" w:hAnsi="TimesNewRoman" w:cs="TimesNewRoman"/>
          <w:noProof/>
          <w:sz w:val="23"/>
          <w:szCs w:val="23"/>
          <w:lang w:val="en-US"/>
        </w:rPr>
        <w:pict>
          <v:shape id="_x0000_s1383" type="#_x0000_t202" style="position:absolute;left:0;text-align:left;margin-left:185.9pt;margin-top:132.1pt;width:41.5pt;height:22pt;z-index:251781632;mso-width-relative:margin;mso-height-relative:margin" filled="f" stroked="f">
            <v:textbox style="mso-next-textbox:#_x0000_s1383">
              <w:txbxContent>
                <w:p w:rsidR="004134A0" w:rsidRPr="001343F3" w:rsidRDefault="004134A0" w:rsidP="003A6929">
                  <w:pPr>
                    <w:jc w:val="center"/>
                    <w:rPr>
                      <w:sz w:val="20"/>
                      <w:lang w:val="en-US"/>
                    </w:rPr>
                  </w:pPr>
                  <w:r w:rsidRPr="001343F3">
                    <w:rPr>
                      <w:sz w:val="20"/>
                    </w:rPr>
                    <w:t>Agua</w:t>
                  </w:r>
                </w:p>
              </w:txbxContent>
            </v:textbox>
          </v:shape>
        </w:pict>
      </w:r>
      <w:r w:rsidR="003A6929">
        <w:rPr>
          <w:rFonts w:ascii="TimesNewRoman" w:hAnsi="TimesNewRoman" w:cs="TimesNewRoman"/>
          <w:noProof/>
          <w:sz w:val="23"/>
          <w:szCs w:val="23"/>
          <w:lang w:val="en-US" w:eastAsia="en-US"/>
        </w:rPr>
        <w:drawing>
          <wp:inline distT="0" distB="0" distL="0" distR="0">
            <wp:extent cx="3114798" cy="1738739"/>
            <wp:effectExtent l="19050" t="0" r="9402"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srcRect/>
                    <a:stretch>
                      <a:fillRect/>
                    </a:stretch>
                  </pic:blipFill>
                  <pic:spPr bwMode="auto">
                    <a:xfrm>
                      <a:off x="0" y="0"/>
                      <a:ext cx="3116711" cy="1739807"/>
                    </a:xfrm>
                    <a:prstGeom prst="rect">
                      <a:avLst/>
                    </a:prstGeom>
                    <a:noFill/>
                    <a:ln w="9525">
                      <a:noFill/>
                      <a:miter lim="800000"/>
                      <a:headEnd/>
                      <a:tailEnd/>
                    </a:ln>
                  </pic:spPr>
                </pic:pic>
              </a:graphicData>
            </a:graphic>
          </wp:inline>
        </w:drawing>
      </w:r>
    </w:p>
    <w:p w:rsidR="003A6929" w:rsidRDefault="003A6929" w:rsidP="003A6929">
      <w:pPr>
        <w:autoSpaceDE w:val="0"/>
        <w:autoSpaceDN w:val="0"/>
        <w:adjustRightInd w:val="0"/>
        <w:jc w:val="center"/>
        <w:rPr>
          <w:rFonts w:ascii="TimesNewRoman" w:hAnsi="TimesNewRoman" w:cs="TimesNewRoman"/>
          <w:sz w:val="23"/>
          <w:szCs w:val="23"/>
        </w:rPr>
      </w:pPr>
    </w:p>
    <w:p w:rsidR="003A6929" w:rsidRPr="00FB5089" w:rsidRDefault="00FB5089" w:rsidP="00FB5089">
      <w:pPr>
        <w:pStyle w:val="Epgrafe"/>
        <w:spacing w:line="360" w:lineRule="auto"/>
      </w:pPr>
      <w:bookmarkStart w:id="66" w:name="_Toc327481420"/>
      <w:r w:rsidRPr="00FB5089">
        <w:t xml:space="preserve">Figura N° </w:t>
      </w:r>
      <w:fldSimple w:instr=" SEQ Figura_N° \* ARABIC ">
        <w:r w:rsidR="004A5F6F">
          <w:rPr>
            <w:noProof/>
          </w:rPr>
          <w:t>8</w:t>
        </w:r>
      </w:fldSimple>
      <w:r w:rsidR="003A6929" w:rsidRPr="00FB5089">
        <w:t>: Esquema representativo de las interacciones intermoleculares en el seno de un líquido y en la interfase líquido-aire (Pankow y Cherry, 1996).</w:t>
      </w:r>
      <w:bookmarkEnd w:id="66"/>
    </w:p>
    <w:p w:rsidR="003A6929" w:rsidRDefault="003A6929" w:rsidP="00EA784B">
      <w:pPr>
        <w:autoSpaceDE w:val="0"/>
        <w:autoSpaceDN w:val="0"/>
        <w:adjustRightInd w:val="0"/>
        <w:spacing w:line="360" w:lineRule="auto"/>
        <w:jc w:val="both"/>
        <w:rPr>
          <w:rFonts w:ascii="TimesNewRoman" w:hAnsi="TimesNewRoman" w:cs="TimesNewRoman"/>
          <w:szCs w:val="24"/>
        </w:rPr>
      </w:pPr>
      <w:r w:rsidRPr="001343F3">
        <w:rPr>
          <w:rFonts w:ascii="TimesNewRoman" w:hAnsi="TimesNewRoman" w:cs="TimesNewRoman"/>
          <w:szCs w:val="24"/>
        </w:rPr>
        <w:tab/>
        <w:t>El efecto neto de esta situación es la presencia de energía libre en la superficie. El exceso de energía es llamado energía libre de superficie y puede ser cuantificado como una medida de energía/área. También es posible describir esta situación como una tensión de superficie la cual es cuantificada como una medida de fuerza/longitud.</w:t>
      </w:r>
      <w:r>
        <w:rPr>
          <w:rFonts w:ascii="TimesNewRoman" w:hAnsi="TimesNewRoman" w:cs="TimesNewRoman"/>
          <w:szCs w:val="24"/>
        </w:rPr>
        <w:t xml:space="preserve"> En una emulsión, una disminución de la tensión interfacial sugiere una mayor estabilidad y viceversa.</w:t>
      </w:r>
    </w:p>
    <w:p w:rsidR="003A6929" w:rsidRPr="00A94D0B" w:rsidRDefault="003A6929" w:rsidP="003A6929">
      <w:pPr>
        <w:autoSpaceDE w:val="0"/>
        <w:autoSpaceDN w:val="0"/>
        <w:adjustRightInd w:val="0"/>
        <w:spacing w:line="360" w:lineRule="auto"/>
        <w:jc w:val="both"/>
        <w:rPr>
          <w:szCs w:val="24"/>
        </w:rPr>
      </w:pPr>
      <w:r w:rsidRPr="00A94D0B">
        <w:rPr>
          <w:szCs w:val="24"/>
        </w:rPr>
        <w:lastRenderedPageBreak/>
        <w:tab/>
        <w:t xml:space="preserve">Los surfactantes poseen dos propiedades fundamentales; son capaces de ubicarse en una interfase por un proceso de adsorción, y también son capaces de asociarse para formar polímeros de </w:t>
      </w:r>
      <w:r w:rsidRPr="00A94D0B">
        <w:rPr>
          <w:bCs/>
          <w:szCs w:val="24"/>
        </w:rPr>
        <w:t>agregación</w:t>
      </w:r>
      <w:r w:rsidRPr="00A94D0B">
        <w:rPr>
          <w:b/>
          <w:bCs/>
          <w:szCs w:val="24"/>
        </w:rPr>
        <w:t xml:space="preserve"> </w:t>
      </w:r>
      <w:r w:rsidRPr="00A94D0B">
        <w:rPr>
          <w:szCs w:val="24"/>
        </w:rPr>
        <w:t>llamados micelas por cohesión o adhesión. Es importante destacar que sin la presencia de un surfactante o agente emulsionante anfílilo en la emulsión, la estabilidad de la dispersión sería muy pobre. A continuación se desarrollan brevemente cada uno de estos fenómenos:</w:t>
      </w:r>
    </w:p>
    <w:p w:rsidR="003A6929" w:rsidRPr="00A94D0B" w:rsidRDefault="003A6929" w:rsidP="003A6929">
      <w:pPr>
        <w:autoSpaceDE w:val="0"/>
        <w:autoSpaceDN w:val="0"/>
        <w:adjustRightInd w:val="0"/>
        <w:spacing w:line="360" w:lineRule="auto"/>
        <w:jc w:val="both"/>
        <w:rPr>
          <w:szCs w:val="24"/>
        </w:rPr>
      </w:pPr>
      <w:r w:rsidRPr="00A94D0B">
        <w:rPr>
          <w:b/>
          <w:bCs/>
          <w:szCs w:val="24"/>
        </w:rPr>
        <w:tab/>
      </w:r>
      <w:r w:rsidRPr="00EA784B">
        <w:rPr>
          <w:b/>
          <w:bCs/>
          <w:szCs w:val="24"/>
        </w:rPr>
        <w:t xml:space="preserve">Adsorción: </w:t>
      </w:r>
      <w:r w:rsidRPr="00A94D0B">
        <w:rPr>
          <w:szCs w:val="24"/>
        </w:rPr>
        <w:t xml:space="preserve">Cuando una molécula de surfactante se ubica en forma orientada en una interfase o una superficie, se dice que se </w:t>
      </w:r>
      <w:r w:rsidRPr="00A94D0B">
        <w:rPr>
          <w:bCs/>
          <w:szCs w:val="24"/>
        </w:rPr>
        <w:t xml:space="preserve">adsorbe. </w:t>
      </w:r>
      <w:r w:rsidRPr="00A94D0B">
        <w:rPr>
          <w:szCs w:val="24"/>
        </w:rPr>
        <w:t xml:space="preserve">La </w:t>
      </w:r>
      <w:r w:rsidRPr="00A94D0B">
        <w:rPr>
          <w:bCs/>
          <w:szCs w:val="24"/>
        </w:rPr>
        <w:t xml:space="preserve">adsorción </w:t>
      </w:r>
      <w:r w:rsidRPr="00A94D0B">
        <w:rPr>
          <w:szCs w:val="24"/>
        </w:rPr>
        <w:t xml:space="preserve">es un fenómeno espontáneo impulsado por la disminución de energía libre del surfactante al ubicarse en la interfase y satisfacer parcial o totalmente su doble afinidad. Dependiendo de la emulsión y del agente emulsionante o surfactante, la adsorción puede también deberse a atracciones de tipo electrostático, y por tanto no está limitada a únicamente a una fuerza motriz intrínseca a la afinidad hidrófoba o hidrofílica de estas sustancias. La adsorción es un fenómeno dinámico que está contrarrestado por la desorción. </w:t>
      </w:r>
    </w:p>
    <w:p w:rsidR="003A6929" w:rsidRPr="00A94D0B" w:rsidRDefault="003A6929" w:rsidP="003A6929">
      <w:pPr>
        <w:autoSpaceDE w:val="0"/>
        <w:autoSpaceDN w:val="0"/>
        <w:adjustRightInd w:val="0"/>
        <w:spacing w:line="360" w:lineRule="auto"/>
        <w:jc w:val="both"/>
        <w:rPr>
          <w:szCs w:val="24"/>
        </w:rPr>
      </w:pPr>
    </w:p>
    <w:p w:rsidR="003A6929" w:rsidRPr="00A94D0B" w:rsidRDefault="00A73CD2" w:rsidP="003A6929">
      <w:pPr>
        <w:autoSpaceDE w:val="0"/>
        <w:autoSpaceDN w:val="0"/>
        <w:adjustRightInd w:val="0"/>
        <w:spacing w:line="360" w:lineRule="auto"/>
        <w:jc w:val="both"/>
        <w:rPr>
          <w:szCs w:val="24"/>
        </w:rPr>
      </w:pPr>
      <w:r w:rsidRPr="00A73CD2">
        <w:rPr>
          <w:noProof/>
          <w:szCs w:val="24"/>
          <w:lang w:eastAsia="zh-TW"/>
        </w:rPr>
        <w:pict>
          <v:shape id="_x0000_s1367" type="#_x0000_t202" style="position:absolute;left:0;text-align:left;margin-left:231.4pt;margin-top:169.55pt;width:37.6pt;height:24.4pt;z-index:251765248;mso-width-relative:margin;mso-height-relative:margin" stroked="f">
            <v:textbox style="mso-next-textbox:#_x0000_s1367">
              <w:txbxContent>
                <w:p w:rsidR="004134A0" w:rsidRPr="00211474" w:rsidRDefault="004134A0" w:rsidP="003A6929">
                  <w:pPr>
                    <w:rPr>
                      <w:rFonts w:ascii="BatangChe" w:eastAsia="BatangChe" w:hAnsi="BatangChe"/>
                      <w:b/>
                      <w:sz w:val="20"/>
                      <w:lang w:val="en-US"/>
                    </w:rPr>
                  </w:pPr>
                  <w:r w:rsidRPr="00211474">
                    <w:rPr>
                      <w:rFonts w:ascii="BatangChe" w:eastAsia="BatangChe" w:hAnsi="BatangChe"/>
                      <w:b/>
                      <w:sz w:val="20"/>
                    </w:rPr>
                    <w:t>Agua</w:t>
                  </w:r>
                </w:p>
              </w:txbxContent>
            </v:textbox>
          </v:shape>
        </w:pict>
      </w:r>
      <w:r w:rsidR="003A6929">
        <w:rPr>
          <w:noProof/>
          <w:szCs w:val="24"/>
          <w:lang w:val="en-US" w:eastAsia="en-US"/>
        </w:rPr>
        <w:drawing>
          <wp:inline distT="0" distB="0" distL="0" distR="0">
            <wp:extent cx="5039995" cy="2392045"/>
            <wp:effectExtent l="19050" t="0" r="8255"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cstate="print"/>
                    <a:srcRect/>
                    <a:stretch>
                      <a:fillRect/>
                    </a:stretch>
                  </pic:blipFill>
                  <pic:spPr bwMode="auto">
                    <a:xfrm>
                      <a:off x="0" y="0"/>
                      <a:ext cx="5039995" cy="2392045"/>
                    </a:xfrm>
                    <a:prstGeom prst="rect">
                      <a:avLst/>
                    </a:prstGeom>
                    <a:solidFill>
                      <a:srgbClr val="000000"/>
                    </a:solidFill>
                    <a:ln w="9525">
                      <a:noFill/>
                      <a:miter lim="800000"/>
                      <a:headEnd/>
                      <a:tailEnd/>
                    </a:ln>
                  </pic:spPr>
                </pic:pic>
              </a:graphicData>
            </a:graphic>
          </wp:inline>
        </w:drawing>
      </w:r>
    </w:p>
    <w:p w:rsidR="003A6929" w:rsidRPr="0056158F" w:rsidRDefault="00FB5089" w:rsidP="00FB5089">
      <w:pPr>
        <w:pStyle w:val="Epgrafe"/>
      </w:pPr>
      <w:bookmarkStart w:id="67" w:name="_Toc327481421"/>
      <w:r>
        <w:t xml:space="preserve">Figura N° </w:t>
      </w:r>
      <w:fldSimple w:instr=" SEQ Figura_N° \* ARABIC ">
        <w:r w:rsidR="004A5F6F">
          <w:rPr>
            <w:noProof/>
          </w:rPr>
          <w:t>9</w:t>
        </w:r>
      </w:fldSimple>
      <w:r w:rsidR="003A6929" w:rsidRPr="0056158F">
        <w:t>: Molécula de surfactante en una emulsión agua en aceite</w:t>
      </w:r>
      <w:r w:rsidR="003A6929">
        <w:t xml:space="preserve"> </w:t>
      </w:r>
      <w:r w:rsidR="003A6929" w:rsidRPr="0056158F">
        <w:t xml:space="preserve">W/O </w:t>
      </w:r>
      <w:r w:rsidR="003A6929">
        <w:t>(Elaboración propia).</w:t>
      </w:r>
      <w:bookmarkEnd w:id="67"/>
    </w:p>
    <w:p w:rsidR="003A6929" w:rsidRPr="00492BF8" w:rsidRDefault="003A6929" w:rsidP="00FB5089">
      <w:pPr>
        <w:autoSpaceDE w:val="0"/>
        <w:autoSpaceDN w:val="0"/>
        <w:adjustRightInd w:val="0"/>
        <w:spacing w:after="240" w:line="360" w:lineRule="auto"/>
        <w:jc w:val="both"/>
        <w:rPr>
          <w:sz w:val="20"/>
        </w:rPr>
      </w:pPr>
      <w:r w:rsidRPr="00A94D0B">
        <w:rPr>
          <w:szCs w:val="24"/>
        </w:rPr>
        <w:tab/>
        <w:t xml:space="preserve">El </w:t>
      </w:r>
      <w:r w:rsidRPr="00A94D0B">
        <w:rPr>
          <w:bCs/>
          <w:szCs w:val="24"/>
        </w:rPr>
        <w:t>equilibrio adsorción-desorción</w:t>
      </w:r>
      <w:r w:rsidRPr="00A94D0B">
        <w:rPr>
          <w:b/>
          <w:bCs/>
          <w:szCs w:val="24"/>
        </w:rPr>
        <w:t xml:space="preserve"> </w:t>
      </w:r>
      <w:r w:rsidRPr="00A94D0B">
        <w:rPr>
          <w:szCs w:val="24"/>
        </w:rPr>
        <w:t xml:space="preserve">se </w:t>
      </w:r>
      <w:r>
        <w:rPr>
          <w:szCs w:val="24"/>
        </w:rPr>
        <w:t>logra</w:t>
      </w:r>
      <w:r w:rsidRPr="00A94D0B">
        <w:rPr>
          <w:szCs w:val="24"/>
        </w:rPr>
        <w:t xml:space="preserve"> </w:t>
      </w:r>
      <w:r>
        <w:rPr>
          <w:szCs w:val="24"/>
        </w:rPr>
        <w:t>en</w:t>
      </w:r>
      <w:r w:rsidRPr="00A94D0B">
        <w:rPr>
          <w:szCs w:val="24"/>
        </w:rPr>
        <w:t xml:space="preserve"> la interfase </w:t>
      </w:r>
      <w:r>
        <w:rPr>
          <w:szCs w:val="24"/>
        </w:rPr>
        <w:t xml:space="preserve">ya que en esta zona </w:t>
      </w:r>
      <w:r w:rsidRPr="00A94D0B">
        <w:rPr>
          <w:szCs w:val="24"/>
        </w:rPr>
        <w:t>el surfactante posee una energía libre menor</w:t>
      </w:r>
      <w:r>
        <w:rPr>
          <w:szCs w:val="24"/>
        </w:rPr>
        <w:t>, es decir, satisface su condición de mínima energía</w:t>
      </w:r>
      <w:r w:rsidRPr="00A94D0B">
        <w:rPr>
          <w:szCs w:val="24"/>
        </w:rPr>
        <w:t xml:space="preserve">. </w:t>
      </w:r>
      <w:r>
        <w:rPr>
          <w:szCs w:val="24"/>
        </w:rPr>
        <w:t>Esto trae como consecuencia</w:t>
      </w:r>
      <w:r w:rsidRPr="00A94D0B">
        <w:rPr>
          <w:szCs w:val="24"/>
        </w:rPr>
        <w:t xml:space="preserve"> una saturación de todo el espacio </w:t>
      </w:r>
      <w:r w:rsidRPr="00A94D0B">
        <w:rPr>
          <w:szCs w:val="24"/>
        </w:rPr>
        <w:lastRenderedPageBreak/>
        <w:t xml:space="preserve">disponible </w:t>
      </w:r>
      <w:r>
        <w:rPr>
          <w:szCs w:val="24"/>
        </w:rPr>
        <w:t>en</w:t>
      </w:r>
      <w:r w:rsidRPr="00A94D0B">
        <w:rPr>
          <w:szCs w:val="24"/>
        </w:rPr>
        <w:t xml:space="preserve"> la interfase, lo que resulta en una condición de estabilidad, por lo general de alto grado, en emulsiones </w:t>
      </w:r>
      <w:r w:rsidRPr="00733453">
        <w:rPr>
          <w:szCs w:val="24"/>
        </w:rPr>
        <w:t>agua-crudo (Salaguer, 1992)</w:t>
      </w:r>
      <w:r>
        <w:rPr>
          <w:szCs w:val="24"/>
        </w:rPr>
        <w:t>.</w:t>
      </w:r>
    </w:p>
    <w:p w:rsidR="003A6929" w:rsidRPr="00492BF8" w:rsidRDefault="003A6929" w:rsidP="003A6929">
      <w:pPr>
        <w:autoSpaceDE w:val="0"/>
        <w:autoSpaceDN w:val="0"/>
        <w:adjustRightInd w:val="0"/>
        <w:spacing w:line="360" w:lineRule="auto"/>
        <w:jc w:val="both"/>
        <w:rPr>
          <w:sz w:val="20"/>
        </w:rPr>
      </w:pPr>
      <w:r w:rsidRPr="00A94D0B">
        <w:rPr>
          <w:rFonts w:eastAsia="Microsoft YaHei"/>
          <w:b/>
          <w:szCs w:val="24"/>
        </w:rPr>
        <w:tab/>
      </w:r>
      <w:r w:rsidRPr="00C8552B">
        <w:rPr>
          <w:rFonts w:eastAsia="Microsoft YaHei"/>
          <w:b/>
          <w:i/>
          <w:szCs w:val="24"/>
        </w:rPr>
        <w:t>Asociación y agregación:</w:t>
      </w:r>
      <w:r w:rsidRPr="00A94D0B">
        <w:rPr>
          <w:rFonts w:eastAsia="Microsoft YaHei"/>
          <w:b/>
          <w:szCs w:val="24"/>
        </w:rPr>
        <w:t xml:space="preserve"> </w:t>
      </w:r>
      <w:r w:rsidRPr="00A94D0B">
        <w:rPr>
          <w:rFonts w:eastAsia="Microsoft YaHei"/>
          <w:szCs w:val="24"/>
        </w:rPr>
        <w:t>L</w:t>
      </w:r>
      <w:r w:rsidRPr="00A94D0B">
        <w:rPr>
          <w:szCs w:val="24"/>
        </w:rPr>
        <w:t xml:space="preserve">a segunda propiedad fundamental de los surfactantes en solución acuosa es su capacidad de </w:t>
      </w:r>
      <w:r w:rsidRPr="00A94D0B">
        <w:rPr>
          <w:bCs/>
          <w:szCs w:val="24"/>
        </w:rPr>
        <w:t>auto-asociación</w:t>
      </w:r>
      <w:r w:rsidRPr="00A94D0B">
        <w:rPr>
          <w:b/>
          <w:bCs/>
          <w:szCs w:val="24"/>
        </w:rPr>
        <w:t xml:space="preserve">. </w:t>
      </w:r>
      <w:r w:rsidRPr="00A94D0B">
        <w:rPr>
          <w:szCs w:val="24"/>
        </w:rPr>
        <w:t xml:space="preserve">Debido a la baja solubilidad de las cadenas de los hidrocarburos en el agua, los agentes tensoactivos o emulsionantes, tienden a minimizar la interfase o la superficie de contacto agua-hidrocarburo en la disolución acuosa. Sin embargo, por encima de cierta concentración, conocida como la concentración micelar crítica (CMC) (concentración a la cual las fuerzas que favorecen la formación de las micelas, efecto, dominan sobre las fuerzas que se oponen a la repulsión entre partes polares), la interfase se ocupa completamente de moléculas de agentes tensoactivos y éstas se asocian formando agregados. Estos agregados forman estructuras poliméricas de asociación llamadas micelas. Estas micelas son a menudo esféricas y contienen varias decenas de moléculas orientadas de tal forma que la parte apolar de los surfactantes que componen la micela se sustrae de la fase acuosa estabilizándose en la interfase </w:t>
      </w:r>
      <w:r w:rsidRPr="00733453">
        <w:rPr>
          <w:szCs w:val="24"/>
        </w:rPr>
        <w:t>(Salaguer, 1992)</w:t>
      </w:r>
      <w:r>
        <w:rPr>
          <w:szCs w:val="24"/>
        </w:rPr>
        <w:t>.</w:t>
      </w:r>
    </w:p>
    <w:p w:rsidR="003A6929" w:rsidRPr="00A94D0B" w:rsidRDefault="003A6929" w:rsidP="003A6929">
      <w:pPr>
        <w:autoSpaceDE w:val="0"/>
        <w:autoSpaceDN w:val="0"/>
        <w:adjustRightInd w:val="0"/>
        <w:spacing w:line="360" w:lineRule="auto"/>
        <w:jc w:val="both"/>
        <w:rPr>
          <w:szCs w:val="24"/>
        </w:rPr>
      </w:pPr>
      <w:r w:rsidRPr="00A94D0B">
        <w:rPr>
          <w:szCs w:val="24"/>
        </w:rPr>
        <w:tab/>
        <w:t xml:space="preserve">La agregación puede definirse como el proceso en que las partículas individuales o cúmulos de partículas se adhieren a otras partículas de asfaltenos o cúmulos, haciendo que crezcan. </w:t>
      </w:r>
    </w:p>
    <w:p w:rsidR="003A6929" w:rsidRDefault="003A6929" w:rsidP="003A6929">
      <w:pPr>
        <w:autoSpaceDE w:val="0"/>
        <w:autoSpaceDN w:val="0"/>
        <w:adjustRightInd w:val="0"/>
        <w:spacing w:line="360" w:lineRule="auto"/>
        <w:jc w:val="both"/>
        <w:rPr>
          <w:szCs w:val="24"/>
        </w:rPr>
      </w:pPr>
      <w:r w:rsidRPr="00A94D0B">
        <w:rPr>
          <w:szCs w:val="24"/>
        </w:rPr>
        <w:tab/>
        <w:t xml:space="preserve">En general, es posible agrupar los constituyentes del petróleo en cuatro grupos orgánicos bien definidos, a saber: a) Saturados b) Aromáticos, c) Resinas y d) Asfaltenos; este conjunto es conocido como SARA. </w:t>
      </w:r>
    </w:p>
    <w:p w:rsidR="003A6929" w:rsidRDefault="003A6929" w:rsidP="003A6929">
      <w:pPr>
        <w:autoSpaceDE w:val="0"/>
        <w:autoSpaceDN w:val="0"/>
        <w:adjustRightInd w:val="0"/>
        <w:spacing w:line="360" w:lineRule="auto"/>
        <w:jc w:val="center"/>
        <w:rPr>
          <w:szCs w:val="24"/>
        </w:rPr>
      </w:pPr>
      <w:r>
        <w:rPr>
          <w:noProof/>
          <w:szCs w:val="24"/>
          <w:lang w:val="en-US" w:eastAsia="en-US"/>
        </w:rPr>
        <w:drawing>
          <wp:inline distT="0" distB="0" distL="0" distR="0">
            <wp:extent cx="1903095" cy="1552575"/>
            <wp:effectExtent l="19050" t="0" r="190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cstate="print"/>
                    <a:srcRect/>
                    <a:stretch>
                      <a:fillRect/>
                    </a:stretch>
                  </pic:blipFill>
                  <pic:spPr bwMode="auto">
                    <a:xfrm>
                      <a:off x="0" y="0"/>
                      <a:ext cx="1903095" cy="1552575"/>
                    </a:xfrm>
                    <a:prstGeom prst="rect">
                      <a:avLst/>
                    </a:prstGeom>
                    <a:noFill/>
                    <a:ln w="9525">
                      <a:noFill/>
                      <a:miter lim="800000"/>
                      <a:headEnd/>
                      <a:tailEnd/>
                    </a:ln>
                  </pic:spPr>
                </pic:pic>
              </a:graphicData>
            </a:graphic>
          </wp:inline>
        </w:drawing>
      </w:r>
    </w:p>
    <w:p w:rsidR="003A6929" w:rsidRPr="00FB5089" w:rsidRDefault="00FB5089" w:rsidP="00FB5089">
      <w:pPr>
        <w:pStyle w:val="Epgrafe"/>
        <w:spacing w:line="360" w:lineRule="auto"/>
      </w:pPr>
      <w:bookmarkStart w:id="68" w:name="_Toc327481422"/>
      <w:r w:rsidRPr="00FB5089">
        <w:lastRenderedPageBreak/>
        <w:t xml:space="preserve">Figura N° </w:t>
      </w:r>
      <w:fldSimple w:instr=" SEQ Figura_N° \* ARABIC ">
        <w:r w:rsidR="004A5F6F">
          <w:rPr>
            <w:noProof/>
          </w:rPr>
          <w:t>10</w:t>
        </w:r>
      </w:fldSimple>
      <w:r w:rsidR="003A6929" w:rsidRPr="00FB5089">
        <w:t>: Composición del crudo a nivel macroscópico. Las líneas rectas representan las moléculas de parafina, las elipses sólidas representan las moléculas aromáticas, las elipses huecas las moléculas de resina y las formas sólidas representan las moléculas de asfaltenos (Elaboración propia).</w:t>
      </w:r>
      <w:bookmarkEnd w:id="68"/>
    </w:p>
    <w:p w:rsidR="003A6929" w:rsidRPr="00A94D0B" w:rsidRDefault="003A6929" w:rsidP="00EA784B">
      <w:pPr>
        <w:autoSpaceDE w:val="0"/>
        <w:autoSpaceDN w:val="0"/>
        <w:adjustRightInd w:val="0"/>
        <w:spacing w:after="240" w:line="360" w:lineRule="auto"/>
        <w:jc w:val="both"/>
        <w:rPr>
          <w:szCs w:val="24"/>
        </w:rPr>
      </w:pPr>
      <w:r>
        <w:rPr>
          <w:szCs w:val="24"/>
        </w:rPr>
        <w:tab/>
      </w:r>
      <w:r w:rsidRPr="00A94D0B">
        <w:rPr>
          <w:szCs w:val="24"/>
        </w:rPr>
        <w:t xml:space="preserve">Cada fracción juega un papel fundamental en la estabilidad de las emulsiones agua-crudo y en los procesos de deshidratación de crudo, </w:t>
      </w:r>
      <w:r>
        <w:rPr>
          <w:szCs w:val="24"/>
        </w:rPr>
        <w:t xml:space="preserve">especialmente las resinas y los </w:t>
      </w:r>
      <w:r w:rsidRPr="00A94D0B">
        <w:rPr>
          <w:szCs w:val="24"/>
        </w:rPr>
        <w:t>asfaltenos. A continuación se definen brevemente:</w:t>
      </w:r>
    </w:p>
    <w:p w:rsidR="003A6929" w:rsidRPr="003B0AD3" w:rsidRDefault="00C8552B" w:rsidP="003B0AD3">
      <w:pPr>
        <w:spacing w:line="360" w:lineRule="auto"/>
        <w:rPr>
          <w:b/>
        </w:rPr>
      </w:pPr>
      <w:r w:rsidRPr="003B0AD3">
        <w:rPr>
          <w:b/>
        </w:rPr>
        <w:t xml:space="preserve">2.3.1 </w:t>
      </w:r>
      <w:r w:rsidR="003A6929" w:rsidRPr="003B0AD3">
        <w:rPr>
          <w:b/>
        </w:rPr>
        <w:t>Asfaltenos</w:t>
      </w:r>
    </w:p>
    <w:p w:rsidR="003A6929" w:rsidRPr="00A94D0B" w:rsidRDefault="003A6929" w:rsidP="00665C33">
      <w:pPr>
        <w:autoSpaceDE w:val="0"/>
        <w:autoSpaceDN w:val="0"/>
        <w:adjustRightInd w:val="0"/>
        <w:spacing w:line="360" w:lineRule="auto"/>
        <w:jc w:val="both"/>
        <w:rPr>
          <w:szCs w:val="24"/>
        </w:rPr>
      </w:pPr>
      <w:r w:rsidRPr="00A94D0B">
        <w:rPr>
          <w:szCs w:val="24"/>
        </w:rPr>
        <w:tab/>
        <w:t>Los asfaltenos constituyen la fracción del crudo insoluble en parafinas lineales (como por ejemplo n-heptano) y soluble en compuestos aromáticos; su estructura química es variable y depende del crudo del cual derivan; no obstante, en numerosas investigaciones, coinciden en señalar a los asfaltenos como los responsables de la actividad tensoactiva del crudo y ser agentes estabilizadores de las emulsiones agua en aceite que se forman en la etapa de producción y que complican significativamente los procesos de deshidratación de crudo.</w:t>
      </w:r>
    </w:p>
    <w:p w:rsidR="003A6929" w:rsidRPr="00A94D0B" w:rsidRDefault="003A6929" w:rsidP="003A6929">
      <w:pPr>
        <w:autoSpaceDE w:val="0"/>
        <w:autoSpaceDN w:val="0"/>
        <w:adjustRightInd w:val="0"/>
        <w:spacing w:line="360" w:lineRule="auto"/>
        <w:jc w:val="both"/>
        <w:rPr>
          <w:szCs w:val="24"/>
        </w:rPr>
      </w:pPr>
      <w:r w:rsidRPr="00A94D0B">
        <w:rPr>
          <w:szCs w:val="24"/>
        </w:rPr>
        <w:tab/>
        <w:t>A pesar de la diversidad de criterios que se utilizan para definir los asfaltenos, se ha llegado al consenso al definirlos como la fracción de crudo soluble en tolueno (o benceno) e insoluble en n-alcano (n-pentano, n-hexano o n-heptano).</w:t>
      </w:r>
    </w:p>
    <w:p w:rsidR="003A6929" w:rsidRPr="00492BF8" w:rsidRDefault="003A6929" w:rsidP="003A6929">
      <w:pPr>
        <w:autoSpaceDE w:val="0"/>
        <w:autoSpaceDN w:val="0"/>
        <w:adjustRightInd w:val="0"/>
        <w:spacing w:line="360" w:lineRule="auto"/>
        <w:jc w:val="both"/>
        <w:rPr>
          <w:i/>
          <w:sz w:val="20"/>
        </w:rPr>
      </w:pPr>
      <w:r w:rsidRPr="00A94D0B">
        <w:rPr>
          <w:szCs w:val="24"/>
        </w:rPr>
        <w:tab/>
        <w:t>Los asfaltenos son moléculas planas, poliaromáticas y policíclicas ligados a cadenas alquílicas y a compuestos heterocíclicos que poseen N, S y O y metales, que existen en un estado de agregación en suspensión que le confieren a la molécula un polaridad característica. Los asfaltenos no poseen moléculas idénticas, no son puros y tienen una carga eléctrica asociada. Estudios recientes muestran que la relación C/H está en el orden de 1</w:t>
      </w:r>
      <w:r>
        <w:rPr>
          <w:szCs w:val="24"/>
        </w:rPr>
        <w:t>:1,</w:t>
      </w:r>
      <w:r w:rsidRPr="00A94D0B">
        <w:rPr>
          <w:szCs w:val="24"/>
        </w:rPr>
        <w:t>1</w:t>
      </w:r>
      <w:r>
        <w:rPr>
          <w:szCs w:val="24"/>
        </w:rPr>
        <w:t xml:space="preserve">, </w:t>
      </w:r>
      <w:r w:rsidRPr="00A94D0B">
        <w:rPr>
          <w:szCs w:val="24"/>
        </w:rPr>
        <w:t>sí mismo aproximadamente el 40% del carbono es aromático. Por tanto</w:t>
      </w:r>
      <w:r>
        <w:rPr>
          <w:szCs w:val="24"/>
        </w:rPr>
        <w:t>,</w:t>
      </w:r>
      <w:r w:rsidRPr="00A94D0B">
        <w:rPr>
          <w:szCs w:val="24"/>
        </w:rPr>
        <w:t xml:space="preserve"> son moléculas de alto peso molecular con un rango de 1.000 a </w:t>
      </w:r>
      <w:r w:rsidRPr="00A87026">
        <w:rPr>
          <w:szCs w:val="24"/>
        </w:rPr>
        <w:t>50.000 g/mol (Speight, 1984)</w:t>
      </w:r>
    </w:p>
    <w:p w:rsidR="003A6929" w:rsidRPr="00A87026" w:rsidRDefault="003A6929" w:rsidP="003A6929">
      <w:pPr>
        <w:autoSpaceDE w:val="0"/>
        <w:autoSpaceDN w:val="0"/>
        <w:adjustRightInd w:val="0"/>
        <w:spacing w:line="360" w:lineRule="auto"/>
        <w:jc w:val="both"/>
        <w:rPr>
          <w:i/>
          <w:sz w:val="20"/>
        </w:rPr>
      </w:pPr>
      <w:r w:rsidRPr="00A94D0B">
        <w:rPr>
          <w:szCs w:val="24"/>
        </w:rPr>
        <w:tab/>
        <w:t xml:space="preserve">Estudios recientes consideran que los asfaltenos tienen un peso molecular de entre 800 a 3000 g/mol. </w:t>
      </w:r>
      <w:r w:rsidRPr="00A87026">
        <w:rPr>
          <w:szCs w:val="24"/>
        </w:rPr>
        <w:t>Usualmente exhiben una matriz condensada de 5 a 6 anillos aromáticos asociados con heteroátomos (</w:t>
      </w:r>
      <w:r>
        <w:rPr>
          <w:szCs w:val="24"/>
        </w:rPr>
        <w:t xml:space="preserve">Mullins, </w:t>
      </w:r>
      <w:r w:rsidRPr="00A87026">
        <w:rPr>
          <w:szCs w:val="24"/>
        </w:rPr>
        <w:t>Sheu, Hammami y Marschall, 2007).</w:t>
      </w:r>
    </w:p>
    <w:p w:rsidR="003A6929" w:rsidRPr="00A94D0B" w:rsidRDefault="003A6929" w:rsidP="003A6929">
      <w:pPr>
        <w:autoSpaceDE w:val="0"/>
        <w:autoSpaceDN w:val="0"/>
        <w:adjustRightInd w:val="0"/>
        <w:spacing w:line="360" w:lineRule="auto"/>
        <w:jc w:val="both"/>
        <w:rPr>
          <w:szCs w:val="24"/>
        </w:rPr>
      </w:pPr>
      <w:r>
        <w:rPr>
          <w:szCs w:val="24"/>
        </w:rPr>
        <w:lastRenderedPageBreak/>
        <w:tab/>
      </w:r>
      <w:r w:rsidRPr="00A94D0B">
        <w:rPr>
          <w:szCs w:val="24"/>
        </w:rPr>
        <w:t>En la figura a continuación se muestran dos posibles arreglos estructurales de moléculas de asfalteno:</w:t>
      </w:r>
    </w:p>
    <w:p w:rsidR="003A6929" w:rsidRPr="00A94D0B" w:rsidRDefault="00A73CD2" w:rsidP="003A6929">
      <w:pPr>
        <w:autoSpaceDE w:val="0"/>
        <w:autoSpaceDN w:val="0"/>
        <w:adjustRightInd w:val="0"/>
        <w:spacing w:line="360" w:lineRule="auto"/>
        <w:jc w:val="center"/>
        <w:rPr>
          <w:b/>
          <w:szCs w:val="24"/>
          <w:highlight w:val="cyan"/>
        </w:rPr>
      </w:pPr>
      <w:r w:rsidRPr="00A73CD2">
        <w:rPr>
          <w:noProof/>
          <w:szCs w:val="24"/>
          <w:highlight w:val="cyan"/>
          <w:lang w:val="en-US"/>
        </w:rPr>
        <w:pict>
          <v:shape id="_x0000_s1362" type="#_x0000_t202" style="position:absolute;left:0;text-align:left;margin-left:268.2pt;margin-top:144.2pt;width:34.8pt;height:25.7pt;z-index:251760128;mso-width-relative:margin;mso-height-relative:margin" filled="f" stroked="f">
            <v:textbox style="mso-next-textbox:#_x0000_s1362">
              <w:txbxContent>
                <w:p w:rsidR="004134A0" w:rsidRPr="00875531" w:rsidRDefault="004134A0" w:rsidP="003A6929">
                  <w:pPr>
                    <w:rPr>
                      <w:lang w:val="en-US"/>
                    </w:rPr>
                  </w:pPr>
                  <w:r>
                    <w:t>(b)</w:t>
                  </w:r>
                </w:p>
              </w:txbxContent>
            </v:textbox>
          </v:shape>
        </w:pict>
      </w:r>
      <w:r w:rsidRPr="00A73CD2">
        <w:rPr>
          <w:noProof/>
          <w:szCs w:val="24"/>
          <w:highlight w:val="cyan"/>
          <w:lang w:eastAsia="zh-TW"/>
        </w:rPr>
        <w:pict>
          <v:shape id="_x0000_s1361" type="#_x0000_t202" style="position:absolute;left:0;text-align:left;margin-left:130.8pt;margin-top:144.2pt;width:39pt;height:25.7pt;z-index:251759104;mso-width-relative:margin;mso-height-relative:margin" filled="f" stroked="f">
            <v:textbox style="mso-next-textbox:#_x0000_s1361">
              <w:txbxContent>
                <w:p w:rsidR="004134A0" w:rsidRPr="00875531" w:rsidRDefault="004134A0" w:rsidP="003A6929">
                  <w:pPr>
                    <w:rPr>
                      <w:lang w:val="en-US"/>
                    </w:rPr>
                  </w:pPr>
                  <w:r>
                    <w:t>(a)</w:t>
                  </w:r>
                </w:p>
              </w:txbxContent>
            </v:textbox>
          </v:shape>
        </w:pict>
      </w:r>
      <w:r w:rsidR="003A6929">
        <w:rPr>
          <w:b/>
          <w:noProof/>
          <w:szCs w:val="24"/>
          <w:lang w:val="en-US" w:eastAsia="en-US"/>
        </w:rPr>
        <w:drawing>
          <wp:inline distT="0" distB="0" distL="0" distR="0">
            <wp:extent cx="3476625" cy="1871345"/>
            <wp:effectExtent l="19050" t="0" r="9525"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srcRect/>
                    <a:stretch>
                      <a:fillRect/>
                    </a:stretch>
                  </pic:blipFill>
                  <pic:spPr bwMode="auto">
                    <a:xfrm>
                      <a:off x="0" y="0"/>
                      <a:ext cx="3476625" cy="1871345"/>
                    </a:xfrm>
                    <a:prstGeom prst="rect">
                      <a:avLst/>
                    </a:prstGeom>
                    <a:noFill/>
                    <a:ln w="9525">
                      <a:noFill/>
                      <a:miter lim="800000"/>
                      <a:headEnd/>
                      <a:tailEnd/>
                    </a:ln>
                  </pic:spPr>
                </pic:pic>
              </a:graphicData>
            </a:graphic>
          </wp:inline>
        </w:drawing>
      </w:r>
    </w:p>
    <w:p w:rsidR="003A6929" w:rsidRPr="00A94D0B" w:rsidRDefault="003A6929" w:rsidP="003A6929">
      <w:pPr>
        <w:spacing w:line="360" w:lineRule="auto"/>
        <w:jc w:val="both"/>
        <w:rPr>
          <w:szCs w:val="24"/>
          <w:highlight w:val="cyan"/>
        </w:rPr>
      </w:pPr>
    </w:p>
    <w:p w:rsidR="003A6929" w:rsidRPr="0056158F" w:rsidRDefault="00FB5089" w:rsidP="00FB5089">
      <w:pPr>
        <w:pStyle w:val="Epgrafe"/>
        <w:spacing w:line="360" w:lineRule="auto"/>
      </w:pPr>
      <w:bookmarkStart w:id="69" w:name="_Toc327481423"/>
      <w:r>
        <w:t xml:space="preserve">Figura N° </w:t>
      </w:r>
      <w:fldSimple w:instr=" SEQ Figura_N° \* ARABIC ">
        <w:r w:rsidR="004A5F6F">
          <w:rPr>
            <w:noProof/>
          </w:rPr>
          <w:t>11</w:t>
        </w:r>
      </w:fldSimple>
      <w:r w:rsidR="003A6929" w:rsidRPr="00627FFE">
        <w:t>: Posibles estructuras moleculares de dos moléculas de asfalteno. (a): Fórmula estructural C</w:t>
      </w:r>
      <w:r w:rsidR="003A6929" w:rsidRPr="00627FFE">
        <w:rPr>
          <w:vertAlign w:val="subscript"/>
        </w:rPr>
        <w:t>84</w:t>
      </w:r>
      <w:r w:rsidR="003A6929" w:rsidRPr="00627FFE">
        <w:t>H</w:t>
      </w:r>
      <w:r w:rsidR="003A6929" w:rsidRPr="00627FFE">
        <w:rPr>
          <w:vertAlign w:val="subscript"/>
        </w:rPr>
        <w:t>98</w:t>
      </w:r>
      <w:r w:rsidR="003A6929" w:rsidRPr="00627FFE">
        <w:t>N</w:t>
      </w:r>
      <w:r w:rsidR="003A6929" w:rsidRPr="00627FFE">
        <w:rPr>
          <w:vertAlign w:val="subscript"/>
        </w:rPr>
        <w:t>2</w:t>
      </w:r>
      <w:r w:rsidR="003A6929" w:rsidRPr="00627FFE">
        <w:t>S</w:t>
      </w:r>
      <w:r w:rsidR="003A6929" w:rsidRPr="00627FFE">
        <w:rPr>
          <w:vertAlign w:val="subscript"/>
        </w:rPr>
        <w:t>2</w:t>
      </w:r>
      <w:r w:rsidR="003A6929" w:rsidRPr="00627FFE">
        <w:t>O</w:t>
      </w:r>
      <w:r w:rsidR="003A6929" w:rsidRPr="00627FFE">
        <w:rPr>
          <w:vertAlign w:val="subscript"/>
        </w:rPr>
        <w:t>3</w:t>
      </w:r>
      <w:r w:rsidR="003A6929" w:rsidRPr="00627FFE">
        <w:t xml:space="preserve"> y una relación H/C de 1,18. (b) Fórmula estructural C</w:t>
      </w:r>
      <w:r w:rsidR="003A6929" w:rsidRPr="00627FFE">
        <w:rPr>
          <w:vertAlign w:val="subscript"/>
        </w:rPr>
        <w:t>78</w:t>
      </w:r>
      <w:r w:rsidR="003A6929" w:rsidRPr="00627FFE">
        <w:t>H</w:t>
      </w:r>
      <w:r w:rsidR="003A6929" w:rsidRPr="00627FFE">
        <w:rPr>
          <w:vertAlign w:val="subscript"/>
        </w:rPr>
        <w:t>87</w:t>
      </w:r>
      <w:r w:rsidR="003A6929" w:rsidRPr="00627FFE">
        <w:t>N</w:t>
      </w:r>
      <w:r w:rsidR="003A6929" w:rsidRPr="00627FFE">
        <w:rPr>
          <w:vertAlign w:val="subscript"/>
        </w:rPr>
        <w:t>2</w:t>
      </w:r>
      <w:r w:rsidR="003A6929" w:rsidRPr="00627FFE">
        <w:t>S</w:t>
      </w:r>
      <w:r w:rsidR="003A6929" w:rsidRPr="00627FFE">
        <w:rPr>
          <w:vertAlign w:val="subscript"/>
        </w:rPr>
        <w:t>1</w:t>
      </w:r>
      <w:r w:rsidR="003A6929" w:rsidRPr="00627FFE">
        <w:t>O</w:t>
      </w:r>
      <w:r w:rsidR="003A6929" w:rsidRPr="00627FFE">
        <w:rPr>
          <w:vertAlign w:val="subscript"/>
        </w:rPr>
        <w:t>2</w:t>
      </w:r>
      <w:r w:rsidR="003A6929" w:rsidRPr="00627FFE">
        <w:t xml:space="preserve"> y una relación H/C de 1,21 (</w:t>
      </w:r>
      <w:r w:rsidR="003A6929" w:rsidRPr="00627FFE">
        <w:rPr>
          <w:bCs w:val="0"/>
        </w:rPr>
        <w:t>Kilpatric y</w:t>
      </w:r>
      <w:r w:rsidR="003A6929">
        <w:rPr>
          <w:bCs w:val="0"/>
        </w:rPr>
        <w:t xml:space="preserve"> </w:t>
      </w:r>
      <w:r w:rsidR="003A6929" w:rsidRPr="00627FFE">
        <w:rPr>
          <w:bCs w:val="0"/>
        </w:rPr>
        <w:t>Spiecker, 2001)</w:t>
      </w:r>
      <w:r w:rsidR="003A6929">
        <w:rPr>
          <w:bCs w:val="0"/>
          <w:i/>
        </w:rPr>
        <w:t>.</w:t>
      </w:r>
      <w:bookmarkEnd w:id="69"/>
    </w:p>
    <w:p w:rsidR="003A6929" w:rsidRPr="00A94D0B" w:rsidRDefault="003A6929" w:rsidP="00EA784B">
      <w:pPr>
        <w:autoSpaceDE w:val="0"/>
        <w:autoSpaceDN w:val="0"/>
        <w:adjustRightInd w:val="0"/>
        <w:spacing w:after="240" w:line="360" w:lineRule="auto"/>
        <w:jc w:val="both"/>
        <w:rPr>
          <w:szCs w:val="24"/>
        </w:rPr>
      </w:pPr>
      <w:r w:rsidRPr="00A94D0B">
        <w:rPr>
          <w:szCs w:val="24"/>
        </w:rPr>
        <w:tab/>
        <w:t xml:space="preserve">Los agregados micelares se forman de las fracciones ácidas de asfaltenos, resinas, ácidos nafténicos y materiales parafínicos. Generalmente los agregados formados son agregados malténicos. Estos agregados malténicos se forman por la asociación de resinas y asfaltenos en proporciones variables. Dependiendo de la concentración en que se encuentren, estos agregados le conferirán mayor o menor grado de estabilidad a la emulsión. </w:t>
      </w:r>
    </w:p>
    <w:p w:rsidR="003A6929" w:rsidRPr="00A94D0B" w:rsidRDefault="00A73CD2" w:rsidP="00EA784B">
      <w:pPr>
        <w:spacing w:after="240" w:line="360" w:lineRule="auto"/>
        <w:jc w:val="center"/>
        <w:rPr>
          <w:szCs w:val="24"/>
        </w:rPr>
      </w:pPr>
      <w:r>
        <w:rPr>
          <w:noProof/>
          <w:szCs w:val="24"/>
          <w:lang w:val="en-US"/>
        </w:rPr>
        <w:pict>
          <v:shape id="_x0000_s1364" type="#_x0000_t202" style="position:absolute;left:0;text-align:left;margin-left:262.25pt;margin-top:154.3pt;width:103.6pt;height:22.8pt;z-index:251762176;mso-width-relative:margin;mso-height-relative:margin" filled="f" stroked="f">
            <v:textbox style="mso-next-textbox:#_x0000_s1364">
              <w:txbxContent>
                <w:p w:rsidR="004134A0" w:rsidRPr="00627FFE" w:rsidRDefault="004134A0" w:rsidP="003A6929">
                  <w:pPr>
                    <w:jc w:val="center"/>
                    <w:rPr>
                      <w:rFonts w:eastAsia="BatangChe"/>
                      <w:b/>
                      <w:sz w:val="20"/>
                      <w:lang w:val="en-US"/>
                    </w:rPr>
                  </w:pPr>
                  <w:r w:rsidRPr="00627FFE">
                    <w:rPr>
                      <w:rFonts w:eastAsia="BatangChe"/>
                      <w:b/>
                      <w:sz w:val="20"/>
                      <w:lang w:val="en-US"/>
                    </w:rPr>
                    <w:t>Fase acuosa</w:t>
                  </w:r>
                </w:p>
              </w:txbxContent>
            </v:textbox>
          </v:shape>
        </w:pict>
      </w:r>
      <w:r>
        <w:rPr>
          <w:noProof/>
          <w:szCs w:val="24"/>
          <w:lang w:val="en-US"/>
        </w:rPr>
        <w:pict>
          <v:shape id="_x0000_s1366" type="#_x0000_t202" style="position:absolute;left:0;text-align:left;margin-left:-74.3pt;margin-top:145.65pt;width:151.2pt;height:20.2pt;z-index:251764224;mso-width-relative:margin;mso-height-relative:margin" filled="f" stroked="f">
            <v:textbox style="mso-next-textbox:#_x0000_s1366">
              <w:txbxContent>
                <w:p w:rsidR="004134A0" w:rsidRPr="00627FFE" w:rsidRDefault="004134A0" w:rsidP="003A6929">
                  <w:pPr>
                    <w:jc w:val="center"/>
                    <w:rPr>
                      <w:rFonts w:eastAsia="BatangChe"/>
                      <w:b/>
                      <w:sz w:val="20"/>
                      <w:lang w:val="en-US"/>
                    </w:rPr>
                  </w:pPr>
                  <w:r w:rsidRPr="00627FFE">
                    <w:rPr>
                      <w:rFonts w:eastAsia="BatangChe"/>
                      <w:b/>
                      <w:sz w:val="20"/>
                      <w:lang w:val="en-US"/>
                    </w:rPr>
                    <w:t>Región interfacial</w:t>
                  </w:r>
                </w:p>
              </w:txbxContent>
            </v:textbox>
          </v:shape>
        </w:pict>
      </w:r>
      <w:r>
        <w:rPr>
          <w:noProof/>
          <w:szCs w:val="24"/>
          <w:lang w:val="en-U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68" type="#_x0000_t38" style="position:absolute;left:0;text-align:left;margin-left:46.65pt;margin-top:141.05pt;width:138.15pt;height:13.25pt;flip:y;z-index:251766272;mso-width-relative:margin;mso-height-relative:margin" o:connectortype="curved" adj="10796,441781,-30254">
            <v:stroke endarrow="block"/>
          </v:shape>
        </w:pict>
      </w:r>
      <w:r>
        <w:rPr>
          <w:noProof/>
          <w:szCs w:val="24"/>
          <w:lang w:val="en-US"/>
        </w:rPr>
        <w:pict>
          <v:shape id="_x0000_s1365" type="#_x0000_t202" style="position:absolute;left:0;text-align:left;margin-left:278.4pt;margin-top:31pt;width:103.2pt;height:20.2pt;z-index:251763200;mso-width-relative:margin;mso-height-relative:margin" stroked="f">
            <v:textbox style="mso-next-textbox:#_x0000_s1365">
              <w:txbxContent>
                <w:p w:rsidR="004134A0" w:rsidRPr="00627FFE" w:rsidRDefault="004134A0" w:rsidP="003A6929">
                  <w:pPr>
                    <w:jc w:val="center"/>
                    <w:rPr>
                      <w:rFonts w:eastAsia="BatangChe"/>
                      <w:b/>
                      <w:sz w:val="20"/>
                      <w:lang w:val="en-US"/>
                    </w:rPr>
                  </w:pPr>
                  <w:r w:rsidRPr="00627FFE">
                    <w:rPr>
                      <w:rFonts w:eastAsia="BatangChe"/>
                      <w:b/>
                      <w:sz w:val="20"/>
                      <w:lang w:val="en-US"/>
                    </w:rPr>
                    <w:t>Fase oleosa</w:t>
                  </w:r>
                </w:p>
              </w:txbxContent>
            </v:textbox>
          </v:shape>
        </w:pict>
      </w:r>
      <w:r>
        <w:rPr>
          <w:noProof/>
          <w:szCs w:val="24"/>
          <w:lang w:val="en-US"/>
        </w:rPr>
        <w:pict>
          <v:shapetype id="_x0000_t32" coordsize="21600,21600" o:spt="32" o:oned="t" path="m,l21600,21600e" filled="f">
            <v:path arrowok="t" fillok="f" o:connecttype="none"/>
            <o:lock v:ext="edit" shapetype="t"/>
          </v:shapetype>
          <v:shape id="_x0000_s1369" type="#_x0000_t32" style="position:absolute;left:0;text-align:left;margin-left:156.15pt;margin-top:26.65pt;width:18.65pt;height:10.05pt;flip:x;z-index:251767296;mso-width-relative:margin;mso-height-relative:margin" o:connectortype="straight">
            <v:stroke endarrow="block"/>
          </v:shape>
        </w:pict>
      </w:r>
      <w:r>
        <w:rPr>
          <w:noProof/>
          <w:szCs w:val="24"/>
          <w:lang w:val="en-US"/>
        </w:rPr>
        <w:pict>
          <v:shape id="_x0000_s1363" type="#_x0000_t202" style="position:absolute;left:0;text-align:left;margin-left:156.15pt;margin-top:4.6pt;width:126pt;height:26.4pt;z-index:251761152;mso-width-relative:margin;mso-height-relative:margin" stroked="f">
            <v:textbox style="mso-next-textbox:#_x0000_s1363">
              <w:txbxContent>
                <w:p w:rsidR="004134A0" w:rsidRPr="00627FFE" w:rsidRDefault="004134A0" w:rsidP="003A6929">
                  <w:pPr>
                    <w:jc w:val="center"/>
                    <w:rPr>
                      <w:rFonts w:eastAsia="BatangChe"/>
                      <w:b/>
                      <w:sz w:val="20"/>
                      <w:lang w:val="en-US"/>
                    </w:rPr>
                  </w:pPr>
                  <w:r w:rsidRPr="00627FFE">
                    <w:rPr>
                      <w:rFonts w:eastAsia="BatangChe"/>
                      <w:b/>
                      <w:sz w:val="20"/>
                      <w:lang w:val="en-US"/>
                    </w:rPr>
                    <w:t>Agregado asfalténico</w:t>
                  </w:r>
                </w:p>
              </w:txbxContent>
            </v:textbox>
          </v:shape>
        </w:pict>
      </w:r>
      <w:r w:rsidR="003A6929">
        <w:rPr>
          <w:noProof/>
          <w:szCs w:val="24"/>
          <w:lang w:val="en-US" w:eastAsia="en-US"/>
        </w:rPr>
        <w:drawing>
          <wp:inline distT="0" distB="0" distL="0" distR="0">
            <wp:extent cx="3356047" cy="1934244"/>
            <wp:effectExtent l="19050" t="0" r="0"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cstate="print"/>
                    <a:srcRect/>
                    <a:stretch>
                      <a:fillRect/>
                    </a:stretch>
                  </pic:blipFill>
                  <pic:spPr bwMode="auto">
                    <a:xfrm>
                      <a:off x="0" y="0"/>
                      <a:ext cx="3364188" cy="1938936"/>
                    </a:xfrm>
                    <a:prstGeom prst="rect">
                      <a:avLst/>
                    </a:prstGeom>
                    <a:noFill/>
                    <a:ln w="9525">
                      <a:noFill/>
                      <a:miter lim="800000"/>
                      <a:headEnd/>
                      <a:tailEnd/>
                    </a:ln>
                  </pic:spPr>
                </pic:pic>
              </a:graphicData>
            </a:graphic>
          </wp:inline>
        </w:drawing>
      </w:r>
    </w:p>
    <w:p w:rsidR="003A6929" w:rsidRPr="0056158F" w:rsidRDefault="00FB5089" w:rsidP="00FB5089">
      <w:pPr>
        <w:pStyle w:val="Epgrafe"/>
        <w:spacing w:line="360" w:lineRule="auto"/>
      </w:pPr>
      <w:bookmarkStart w:id="70" w:name="_Toc327481424"/>
      <w:r>
        <w:t xml:space="preserve">Figura N° </w:t>
      </w:r>
      <w:fldSimple w:instr=" SEQ Figura_N° \* ARABIC ">
        <w:r w:rsidR="004A5F6F">
          <w:rPr>
            <w:noProof/>
          </w:rPr>
          <w:t>12</w:t>
        </w:r>
      </w:fldSimple>
      <w:r w:rsidR="003A6929" w:rsidRPr="0056158F">
        <w:t>: Agregación micelar de asfaltenos en la interfase agua-crudo</w:t>
      </w:r>
      <w:r w:rsidR="003A6929">
        <w:t xml:space="preserve"> </w:t>
      </w:r>
      <w:r w:rsidR="003A6929" w:rsidRPr="00627FFE">
        <w:t>(</w:t>
      </w:r>
      <w:r w:rsidR="003A6929" w:rsidRPr="00627FFE">
        <w:rPr>
          <w:bCs w:val="0"/>
        </w:rPr>
        <w:t>Kilpatric y</w:t>
      </w:r>
      <w:r w:rsidR="003A6929">
        <w:rPr>
          <w:bCs w:val="0"/>
        </w:rPr>
        <w:t xml:space="preserve"> </w:t>
      </w:r>
      <w:r w:rsidR="003A6929" w:rsidRPr="00627FFE">
        <w:rPr>
          <w:bCs w:val="0"/>
        </w:rPr>
        <w:t>Spiecker, 2001)</w:t>
      </w:r>
      <w:r w:rsidR="003A6929">
        <w:rPr>
          <w:bCs w:val="0"/>
          <w:i/>
        </w:rPr>
        <w:t>.</w:t>
      </w:r>
      <w:bookmarkEnd w:id="70"/>
    </w:p>
    <w:p w:rsidR="003A6929" w:rsidRDefault="003A6929" w:rsidP="00BC1E2A">
      <w:pPr>
        <w:tabs>
          <w:tab w:val="left" w:pos="2070"/>
        </w:tabs>
        <w:autoSpaceDE w:val="0"/>
        <w:autoSpaceDN w:val="0"/>
        <w:adjustRightInd w:val="0"/>
        <w:spacing w:after="240" w:line="360" w:lineRule="auto"/>
        <w:jc w:val="both"/>
        <w:rPr>
          <w:szCs w:val="24"/>
        </w:rPr>
      </w:pPr>
      <w:r w:rsidRPr="00A94D0B">
        <w:rPr>
          <w:szCs w:val="24"/>
        </w:rPr>
        <w:lastRenderedPageBreak/>
        <w:tab/>
        <w:t>La acumulación de estos agregados de elevado peso molecular y de alta actividad interfacial, resulta en la formación de una película rígida que estabiliza la gota de agua. Esta película actúa como una barrera que impide la coalescencia. Para que dos gotas coalescan, la película interfacial de crudo entre las gotas debe drenarse y luego romperse. La presencia de agregados asfalténicos puede naturalmente retardar el drenaje de esta película</w:t>
      </w:r>
      <w:r>
        <w:rPr>
          <w:szCs w:val="24"/>
        </w:rPr>
        <w:t xml:space="preserve">, tal </w:t>
      </w:r>
      <w:r w:rsidR="003E7EDD">
        <w:rPr>
          <w:szCs w:val="24"/>
        </w:rPr>
        <w:t>como se puede apreciar en la figura 12</w:t>
      </w:r>
      <w:r w:rsidRPr="00A94D0B">
        <w:rPr>
          <w:szCs w:val="24"/>
        </w:rPr>
        <w:t>. El mecanismo primario que envuelve este retardo</w:t>
      </w:r>
      <w:r>
        <w:rPr>
          <w:szCs w:val="24"/>
        </w:rPr>
        <w:t>,</w:t>
      </w:r>
      <w:r w:rsidRPr="00A94D0B">
        <w:rPr>
          <w:szCs w:val="24"/>
        </w:rPr>
        <w:t xml:space="preserve"> es la repulsión estérica causada por la presencia de moléculas y agregados de alto peso molecular en la interfase, el cual será tratado más adelante.</w:t>
      </w:r>
    </w:p>
    <w:p w:rsidR="003A6929" w:rsidRPr="00A94D0B" w:rsidRDefault="00A73CD2" w:rsidP="00DE2D8F">
      <w:pPr>
        <w:autoSpaceDE w:val="0"/>
        <w:autoSpaceDN w:val="0"/>
        <w:adjustRightInd w:val="0"/>
        <w:spacing w:after="240" w:line="360" w:lineRule="auto"/>
        <w:rPr>
          <w:szCs w:val="24"/>
        </w:rPr>
      </w:pPr>
      <w:r w:rsidRPr="00A73CD2">
        <w:rPr>
          <w:noProof/>
          <w:szCs w:val="24"/>
          <w:lang w:eastAsia="es-VE"/>
        </w:rPr>
        <w:pict>
          <v:shape id="_x0000_s1377" type="#_x0000_t202" style="position:absolute;margin-left:156.15pt;margin-top:1.1pt;width:103.6pt;height:22.2pt;z-index:251775488;mso-width-relative:margin;mso-height-relative:margin" filled="f" stroked="f">
            <v:textbox style="mso-next-textbox:#_x0000_s1377">
              <w:txbxContent>
                <w:p w:rsidR="004134A0" w:rsidRPr="00627FFE" w:rsidRDefault="004134A0" w:rsidP="003A6929">
                  <w:pPr>
                    <w:jc w:val="center"/>
                    <w:rPr>
                      <w:rFonts w:eastAsia="BatangChe"/>
                      <w:b/>
                      <w:sz w:val="20"/>
                      <w:lang w:val="en-US"/>
                    </w:rPr>
                  </w:pPr>
                  <w:r w:rsidRPr="00627FFE">
                    <w:rPr>
                      <w:rFonts w:eastAsia="BatangChe"/>
                      <w:b/>
                      <w:sz w:val="20"/>
                      <w:lang w:val="en-US"/>
                    </w:rPr>
                    <w:t>Gota de agua</w:t>
                  </w:r>
                </w:p>
              </w:txbxContent>
            </v:textbox>
          </v:shape>
        </w:pict>
      </w:r>
    </w:p>
    <w:p w:rsidR="003A6929" w:rsidRDefault="00A73CD2" w:rsidP="003A6929">
      <w:pPr>
        <w:autoSpaceDE w:val="0"/>
        <w:autoSpaceDN w:val="0"/>
        <w:adjustRightInd w:val="0"/>
        <w:spacing w:line="360" w:lineRule="auto"/>
        <w:jc w:val="center"/>
        <w:rPr>
          <w:noProof/>
          <w:szCs w:val="24"/>
          <w:lang w:val="en-US"/>
        </w:rPr>
      </w:pPr>
      <w:r>
        <w:rPr>
          <w:noProof/>
          <w:szCs w:val="24"/>
          <w:lang w:val="en-US"/>
        </w:rPr>
        <w:pict>
          <v:shape id="_x0000_s1373" type="#_x0000_t32" style="position:absolute;left:0;text-align:left;margin-left:265.4pt;margin-top:15.8pt;width:49.8pt;height:8pt;flip:x;z-index:251771392" o:connectortype="straight">
            <v:stroke endarrow="block"/>
          </v:shape>
        </w:pict>
      </w:r>
      <w:r>
        <w:rPr>
          <w:noProof/>
          <w:szCs w:val="24"/>
          <w:lang w:val="en-US"/>
        </w:rPr>
        <w:pict>
          <v:shape id="_x0000_s1375" type="#_x0000_t202" style="position:absolute;left:0;text-align:left;margin-left:165.45pt;margin-top:47.8pt;width:90.4pt;height:27.8pt;z-index:251773440;mso-width-relative:margin;mso-height-relative:margin" filled="f" stroked="f">
            <v:textbox style="mso-next-textbox:#_x0000_s1375">
              <w:txbxContent>
                <w:p w:rsidR="004134A0" w:rsidRPr="00627FFE" w:rsidRDefault="004134A0" w:rsidP="003A6929">
                  <w:pPr>
                    <w:jc w:val="center"/>
                    <w:rPr>
                      <w:rFonts w:eastAsia="BatangChe"/>
                      <w:b/>
                      <w:sz w:val="20"/>
                      <w:lang w:val="en-US"/>
                    </w:rPr>
                  </w:pPr>
                  <w:r w:rsidRPr="00627FFE">
                    <w:rPr>
                      <w:rFonts w:eastAsia="BatangChe"/>
                      <w:b/>
                      <w:sz w:val="20"/>
                      <w:lang w:val="en-US"/>
                    </w:rPr>
                    <w:t>Gota de agua</w:t>
                  </w:r>
                </w:p>
              </w:txbxContent>
            </v:textbox>
          </v:shape>
        </w:pict>
      </w:r>
      <w:r>
        <w:rPr>
          <w:noProof/>
          <w:szCs w:val="24"/>
          <w:lang w:val="en-US"/>
        </w:rPr>
        <w:pict>
          <v:shape id="_x0000_s1376" type="#_x0000_t202" style="position:absolute;left:0;text-align:left;margin-left:315.2pt;margin-top:2.6pt;width:85.2pt;height:21.2pt;z-index:251774464;mso-width-relative:margin;mso-height-relative:margin" filled="f" stroked="f">
            <v:textbox style="mso-next-textbox:#_x0000_s1376">
              <w:txbxContent>
                <w:p w:rsidR="004134A0" w:rsidRPr="00627FFE" w:rsidRDefault="004134A0" w:rsidP="003A6929">
                  <w:pPr>
                    <w:rPr>
                      <w:rFonts w:eastAsia="BatangChe"/>
                      <w:b/>
                      <w:sz w:val="20"/>
                      <w:lang w:val="en-US"/>
                    </w:rPr>
                  </w:pPr>
                  <w:r w:rsidRPr="00627FFE">
                    <w:rPr>
                      <w:rFonts w:eastAsia="BatangChe"/>
                      <w:b/>
                      <w:sz w:val="20"/>
                      <w:lang w:val="en-US"/>
                    </w:rPr>
                    <w:t>Asfaltenos</w:t>
                  </w:r>
                </w:p>
              </w:txbxContent>
            </v:textbox>
          </v:shape>
        </w:pict>
      </w:r>
      <w:r w:rsidRPr="00A73CD2">
        <w:rPr>
          <w:noProof/>
          <w:szCs w:val="24"/>
          <w:lang w:eastAsia="zh-TW"/>
        </w:rPr>
        <w:pict>
          <v:shape id="_x0000_s1374" type="#_x0000_t202" style="position:absolute;left:0;text-align:left;margin-left:112.4pt;margin-top:15.8pt;width:62.4pt;height:28pt;z-index:251772416;mso-width-relative:margin;mso-height-relative:margin" filled="f" stroked="f">
            <v:textbox style="mso-next-textbox:#_x0000_s1374">
              <w:txbxContent>
                <w:p w:rsidR="004134A0" w:rsidRPr="00804D48" w:rsidRDefault="004134A0" w:rsidP="003A6929">
                  <w:pPr>
                    <w:jc w:val="center"/>
                    <w:rPr>
                      <w:rFonts w:ascii="BatangChe" w:eastAsia="BatangChe" w:hAnsi="BatangChe"/>
                      <w:b/>
                      <w:szCs w:val="24"/>
                      <w:lang w:val="en-US"/>
                    </w:rPr>
                  </w:pPr>
                  <w:r w:rsidRPr="00627FFE">
                    <w:rPr>
                      <w:rFonts w:eastAsia="BatangChe"/>
                      <w:b/>
                      <w:sz w:val="20"/>
                    </w:rPr>
                    <w:t>Crudo</w:t>
                  </w:r>
                </w:p>
              </w:txbxContent>
            </v:textbox>
          </v:shape>
        </w:pict>
      </w:r>
      <w:r w:rsidR="003A6929">
        <w:rPr>
          <w:noProof/>
          <w:szCs w:val="24"/>
          <w:lang w:val="en-US" w:eastAsia="en-US"/>
        </w:rPr>
        <w:drawing>
          <wp:inline distT="0" distB="0" distL="0" distR="0">
            <wp:extent cx="1956435" cy="680720"/>
            <wp:effectExtent l="19050" t="0" r="5715"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cstate="print"/>
                    <a:srcRect/>
                    <a:stretch>
                      <a:fillRect/>
                    </a:stretch>
                  </pic:blipFill>
                  <pic:spPr bwMode="auto">
                    <a:xfrm>
                      <a:off x="0" y="0"/>
                      <a:ext cx="1956435" cy="680720"/>
                    </a:xfrm>
                    <a:prstGeom prst="rect">
                      <a:avLst/>
                    </a:prstGeom>
                    <a:noFill/>
                    <a:ln w="9525">
                      <a:noFill/>
                      <a:miter lim="800000"/>
                      <a:headEnd/>
                      <a:tailEnd/>
                    </a:ln>
                  </pic:spPr>
                </pic:pic>
              </a:graphicData>
            </a:graphic>
          </wp:inline>
        </w:drawing>
      </w:r>
    </w:p>
    <w:p w:rsidR="003A6929" w:rsidRPr="00A94D0B" w:rsidRDefault="003A6929" w:rsidP="003A6929">
      <w:pPr>
        <w:autoSpaceDE w:val="0"/>
        <w:autoSpaceDN w:val="0"/>
        <w:adjustRightInd w:val="0"/>
        <w:spacing w:line="360" w:lineRule="auto"/>
        <w:jc w:val="center"/>
        <w:rPr>
          <w:szCs w:val="24"/>
        </w:rPr>
      </w:pPr>
    </w:p>
    <w:p w:rsidR="003A6929" w:rsidRPr="00627FFE" w:rsidRDefault="00FB5089" w:rsidP="00FB5089">
      <w:pPr>
        <w:pStyle w:val="Epgrafe"/>
        <w:spacing w:line="360" w:lineRule="auto"/>
      </w:pPr>
      <w:bookmarkStart w:id="71" w:name="_Toc327481425"/>
      <w:r>
        <w:t xml:space="preserve">Figura N° </w:t>
      </w:r>
      <w:fldSimple w:instr=" SEQ Figura_N° \* ARABIC ">
        <w:r w:rsidR="004A5F6F">
          <w:rPr>
            <w:noProof/>
          </w:rPr>
          <w:t>13</w:t>
        </w:r>
      </w:fldSimple>
      <w:r w:rsidR="003A6929" w:rsidRPr="0056158F">
        <w:t xml:space="preserve">: Repulsión estérica entre dos </w:t>
      </w:r>
      <w:r w:rsidR="00356CD8">
        <w:t xml:space="preserve">gotas de agua </w:t>
      </w:r>
      <w:r w:rsidR="003A6929" w:rsidRPr="00627FFE">
        <w:t xml:space="preserve">(Sunil, </w:t>
      </w:r>
      <w:r w:rsidR="0098574D">
        <w:t>2006</w:t>
      </w:r>
      <w:r w:rsidR="003A6929" w:rsidRPr="00627FFE">
        <w:t>)</w:t>
      </w:r>
      <w:r w:rsidR="003A6929">
        <w:t>.</w:t>
      </w:r>
      <w:bookmarkEnd w:id="71"/>
    </w:p>
    <w:p w:rsidR="003A6929" w:rsidRPr="00627FFE" w:rsidRDefault="003A6929" w:rsidP="00DE2D8F">
      <w:pPr>
        <w:autoSpaceDE w:val="0"/>
        <w:autoSpaceDN w:val="0"/>
        <w:adjustRightInd w:val="0"/>
        <w:spacing w:after="240" w:line="360" w:lineRule="auto"/>
        <w:jc w:val="both"/>
        <w:rPr>
          <w:szCs w:val="24"/>
        </w:rPr>
      </w:pPr>
      <w:r w:rsidRPr="00A94D0B">
        <w:rPr>
          <w:szCs w:val="24"/>
        </w:rPr>
        <w:tab/>
        <w:t xml:space="preserve">El </w:t>
      </w:r>
      <w:r w:rsidRPr="00323F52">
        <w:rPr>
          <w:szCs w:val="24"/>
        </w:rPr>
        <w:t>estado de agregación de los asfaltenos en el crudo es decisivo en la estabilidad de la emulsión (</w:t>
      </w:r>
      <w:r w:rsidR="00323F52" w:rsidRPr="00323F52">
        <w:rPr>
          <w:szCs w:val="24"/>
          <w:lang w:val="es-VE"/>
        </w:rPr>
        <w:t>McLean y Kilpatrick, 1997)</w:t>
      </w:r>
      <w:r w:rsidRPr="00323F52">
        <w:rPr>
          <w:szCs w:val="24"/>
        </w:rPr>
        <w:t>; las emulsiones</w:t>
      </w:r>
      <w:r w:rsidRPr="00A94D0B">
        <w:rPr>
          <w:szCs w:val="24"/>
        </w:rPr>
        <w:t xml:space="preserve"> son estabilizadas en menor extensión por las moléculas individuales de asfaltenos q</w:t>
      </w:r>
      <w:r>
        <w:rPr>
          <w:szCs w:val="24"/>
        </w:rPr>
        <w:t xml:space="preserve">ue por los agregados </w:t>
      </w:r>
      <w:r w:rsidRPr="007512C3">
        <w:rPr>
          <w:szCs w:val="24"/>
        </w:rPr>
        <w:t>coloidales (McLean y Kilpatrick, 1997).</w:t>
      </w:r>
      <w:r>
        <w:rPr>
          <w:szCs w:val="24"/>
        </w:rPr>
        <w:t xml:space="preserve"> </w:t>
      </w:r>
    </w:p>
    <w:p w:rsidR="003A6929" w:rsidRDefault="003A6929" w:rsidP="00DE2D8F">
      <w:pPr>
        <w:autoSpaceDE w:val="0"/>
        <w:autoSpaceDN w:val="0"/>
        <w:adjustRightInd w:val="0"/>
        <w:spacing w:after="240" w:line="360" w:lineRule="auto"/>
        <w:jc w:val="both"/>
        <w:rPr>
          <w:szCs w:val="24"/>
        </w:rPr>
      </w:pPr>
      <w:r w:rsidRPr="00A94D0B">
        <w:rPr>
          <w:szCs w:val="24"/>
        </w:rPr>
        <w:tab/>
        <w:t>Además la presencia de estos agregados en la interfase agua-aceite resultan en un incremente de la viscosidad interfacial y de la viscosidad aparente del aceite en la película entre gotas. Todos estos efectos inhiben el drenaje de la película y por ende la coalescencia.</w:t>
      </w:r>
      <w:r>
        <w:rPr>
          <w:szCs w:val="24"/>
        </w:rPr>
        <w:t xml:space="preserve"> En la figura siguiente se observa claramente el efecto de los asfaltenos en el proceso de separación de agua (drenaje y posterior coalescencia) en una emulsión W/O.</w:t>
      </w:r>
    </w:p>
    <w:p w:rsidR="003A6929" w:rsidRPr="00A94D0B" w:rsidRDefault="00A73CD2" w:rsidP="003A6929">
      <w:pPr>
        <w:autoSpaceDE w:val="0"/>
        <w:autoSpaceDN w:val="0"/>
        <w:adjustRightInd w:val="0"/>
        <w:spacing w:line="360" w:lineRule="auto"/>
        <w:jc w:val="center"/>
        <w:rPr>
          <w:b/>
          <w:i/>
          <w:szCs w:val="24"/>
          <w:lang w:val="en-US"/>
        </w:rPr>
      </w:pPr>
      <w:r w:rsidRPr="00A73CD2">
        <w:rPr>
          <w:noProof/>
          <w:lang w:val="en-US" w:eastAsia="en-US"/>
        </w:rPr>
        <w:lastRenderedPageBreak/>
        <w:pict>
          <v:shape id="_x0000_s1665" type="#_x0000_t202" style="position:absolute;left:0;text-align:left;margin-left:244.75pt;margin-top:64.3pt;width:48.75pt;height:23.25pt;z-index:251883008;mso-width-relative:margin;mso-height-relative:margin" stroked="f">
            <o:extrusion v:ext="view" rotationangle="5"/>
            <v:textbox style="mso-next-textbox:#_x0000_s1665">
              <w:txbxContent>
                <w:p w:rsidR="004134A0" w:rsidRDefault="004134A0" w:rsidP="00405CA1">
                  <w:pPr>
                    <w:jc w:val="center"/>
                    <w:rPr>
                      <w:sz w:val="16"/>
                      <w:szCs w:val="16"/>
                    </w:rPr>
                  </w:pPr>
                  <w:r w:rsidRPr="00405CA1">
                    <w:rPr>
                      <w:sz w:val="16"/>
                      <w:szCs w:val="16"/>
                    </w:rPr>
                    <w:t xml:space="preserve">Película </w:t>
                  </w:r>
                </w:p>
                <w:p w:rsidR="004134A0" w:rsidRPr="00405CA1" w:rsidRDefault="004134A0" w:rsidP="00405CA1">
                  <w:pPr>
                    <w:jc w:val="center"/>
                    <w:rPr>
                      <w:sz w:val="16"/>
                      <w:szCs w:val="16"/>
                      <w:lang w:val="es-VE"/>
                    </w:rPr>
                  </w:pPr>
                  <w:r>
                    <w:rPr>
                      <w:sz w:val="16"/>
                      <w:szCs w:val="16"/>
                    </w:rPr>
                    <w:t>rígida</w:t>
                  </w:r>
                </w:p>
              </w:txbxContent>
            </v:textbox>
          </v:shape>
        </w:pict>
      </w:r>
      <w:r w:rsidRPr="00A73CD2">
        <w:rPr>
          <w:noProof/>
          <w:szCs w:val="24"/>
          <w:lang w:val="en-US" w:eastAsia="en-US"/>
        </w:rPr>
        <w:pict>
          <v:shape id="_x0000_s1664" type="#_x0000_t202" style="position:absolute;left:0;text-align:left;margin-left:148pt;margin-top:64.3pt;width:77.25pt;height:23.25pt;z-index:251881984;mso-width-relative:margin;mso-height-relative:margin" stroked="f">
            <o:extrusion v:ext="view" rotationangle="5"/>
            <v:textbox style="mso-next-textbox:#_x0000_s1664">
              <w:txbxContent>
                <w:p w:rsidR="004134A0" w:rsidRPr="00405CA1" w:rsidRDefault="004134A0" w:rsidP="00C754D3">
                  <w:pPr>
                    <w:jc w:val="center"/>
                    <w:rPr>
                      <w:sz w:val="16"/>
                      <w:szCs w:val="16"/>
                      <w:lang w:val="es-VE"/>
                    </w:rPr>
                  </w:pPr>
                  <w:r w:rsidRPr="00405CA1">
                    <w:rPr>
                      <w:sz w:val="16"/>
                      <w:szCs w:val="16"/>
                    </w:rPr>
                    <w:t xml:space="preserve">Película móvil </w:t>
                  </w:r>
                  <w:r>
                    <w:rPr>
                      <w:sz w:val="16"/>
                      <w:szCs w:val="16"/>
                    </w:rPr>
                    <w:t xml:space="preserve">o </w:t>
                  </w:r>
                  <w:r w:rsidRPr="00405CA1">
                    <w:rPr>
                      <w:sz w:val="16"/>
                      <w:szCs w:val="16"/>
                    </w:rPr>
                    <w:t>flexible</w:t>
                  </w:r>
                </w:p>
              </w:txbxContent>
            </v:textbox>
          </v:shape>
        </w:pict>
      </w:r>
      <w:r w:rsidRPr="00A73CD2">
        <w:rPr>
          <w:noProof/>
          <w:szCs w:val="24"/>
          <w:lang w:val="en-US" w:eastAsia="en-US"/>
        </w:rPr>
        <w:pict>
          <v:shape id="_x0000_s1663" type="#_x0000_t202" style="position:absolute;left:0;text-align:left;margin-left:125.25pt;margin-top:110.35pt;width:218.5pt;height:16.35pt;z-index:251880960;mso-width-relative:margin;mso-height-relative:margin" stroked="f">
            <o:extrusion v:ext="view" rotationangle="5"/>
            <v:textbox style="mso-next-textbox:#_x0000_s1663">
              <w:txbxContent>
                <w:p w:rsidR="004134A0" w:rsidRPr="00C754D3" w:rsidRDefault="004134A0" w:rsidP="00C754D3">
                  <w:pPr>
                    <w:rPr>
                      <w:sz w:val="16"/>
                      <w:szCs w:val="16"/>
                      <w:lang w:val="es-VE"/>
                    </w:rPr>
                  </w:pPr>
                  <w:r>
                    <w:rPr>
                      <w:sz w:val="16"/>
                      <w:szCs w:val="16"/>
                    </w:rPr>
                    <w:t xml:space="preserve"> </w:t>
                  </w:r>
                  <w:r w:rsidRPr="00C754D3">
                    <w:rPr>
                      <w:sz w:val="16"/>
                      <w:szCs w:val="16"/>
                    </w:rPr>
                    <w:t xml:space="preserve">0 </w:t>
                  </w:r>
                  <w:r>
                    <w:rPr>
                      <w:sz w:val="16"/>
                      <w:szCs w:val="16"/>
                    </w:rPr>
                    <w:t xml:space="preserve">                  </w:t>
                  </w:r>
                  <w:r w:rsidRPr="00C754D3">
                    <w:rPr>
                      <w:sz w:val="16"/>
                      <w:szCs w:val="16"/>
                    </w:rPr>
                    <w:t>4</w:t>
                  </w:r>
                  <w:r>
                    <w:rPr>
                      <w:sz w:val="16"/>
                      <w:szCs w:val="16"/>
                    </w:rPr>
                    <w:t xml:space="preserve">                 </w:t>
                  </w:r>
                  <w:r w:rsidRPr="00C754D3">
                    <w:rPr>
                      <w:sz w:val="16"/>
                      <w:szCs w:val="16"/>
                    </w:rPr>
                    <w:t xml:space="preserve"> 8 </w:t>
                  </w:r>
                  <w:r>
                    <w:rPr>
                      <w:sz w:val="16"/>
                      <w:szCs w:val="16"/>
                    </w:rPr>
                    <w:t xml:space="preserve">                 </w:t>
                  </w:r>
                  <w:r w:rsidRPr="00C754D3">
                    <w:rPr>
                      <w:sz w:val="16"/>
                      <w:szCs w:val="16"/>
                    </w:rPr>
                    <w:t>12</w:t>
                  </w:r>
                  <w:r>
                    <w:rPr>
                      <w:sz w:val="16"/>
                      <w:szCs w:val="16"/>
                    </w:rPr>
                    <w:t xml:space="preserve">               </w:t>
                  </w:r>
                  <w:r w:rsidRPr="00C754D3">
                    <w:rPr>
                      <w:sz w:val="16"/>
                      <w:szCs w:val="16"/>
                    </w:rPr>
                    <w:t xml:space="preserve"> 16 </w:t>
                  </w:r>
                </w:p>
              </w:txbxContent>
            </v:textbox>
          </v:shape>
        </w:pict>
      </w:r>
      <w:r w:rsidRPr="00A73CD2">
        <w:rPr>
          <w:b/>
          <w:noProof/>
          <w:lang w:val="en-US" w:eastAsia="en-US"/>
        </w:rPr>
        <w:pict>
          <v:shape id="_x0000_s1661" type="#_x0000_t202" style="position:absolute;left:0;text-align:left;margin-left:107.9pt;margin-top:8.1pt;width:27.15pt;height:135.1pt;z-index:251879936;mso-width-relative:margin;mso-height-relative:margin" stroked="f">
            <o:extrusion v:ext="view" rotationangle="5"/>
            <v:textbox style="mso-next-textbox:#_x0000_s1661">
              <w:txbxContent>
                <w:p w:rsidR="004134A0" w:rsidRPr="00C754D3" w:rsidRDefault="004134A0" w:rsidP="00C754D3">
                  <w:pPr>
                    <w:jc w:val="center"/>
                    <w:rPr>
                      <w:sz w:val="16"/>
                      <w:szCs w:val="16"/>
                    </w:rPr>
                  </w:pPr>
                  <w:r w:rsidRPr="00C754D3">
                    <w:rPr>
                      <w:sz w:val="16"/>
                      <w:szCs w:val="16"/>
                    </w:rPr>
                    <w:t>100</w:t>
                  </w:r>
                </w:p>
                <w:p w:rsidR="004134A0" w:rsidRPr="00C754D3" w:rsidRDefault="004134A0" w:rsidP="00C754D3">
                  <w:pPr>
                    <w:jc w:val="center"/>
                    <w:rPr>
                      <w:sz w:val="16"/>
                      <w:szCs w:val="16"/>
                    </w:rPr>
                  </w:pPr>
                </w:p>
                <w:p w:rsidR="004134A0" w:rsidRPr="00C754D3" w:rsidRDefault="004134A0" w:rsidP="00C754D3">
                  <w:pPr>
                    <w:jc w:val="center"/>
                    <w:rPr>
                      <w:sz w:val="16"/>
                      <w:szCs w:val="16"/>
                    </w:rPr>
                  </w:pPr>
                  <w:r w:rsidRPr="00C754D3">
                    <w:rPr>
                      <w:sz w:val="16"/>
                      <w:szCs w:val="16"/>
                    </w:rPr>
                    <w:t>80</w:t>
                  </w:r>
                </w:p>
                <w:p w:rsidR="004134A0" w:rsidRPr="00C754D3" w:rsidRDefault="004134A0" w:rsidP="00C754D3">
                  <w:pPr>
                    <w:jc w:val="center"/>
                    <w:rPr>
                      <w:sz w:val="16"/>
                      <w:szCs w:val="16"/>
                    </w:rPr>
                  </w:pPr>
                </w:p>
                <w:p w:rsidR="004134A0" w:rsidRPr="00C754D3" w:rsidRDefault="004134A0" w:rsidP="00C754D3">
                  <w:pPr>
                    <w:jc w:val="center"/>
                    <w:rPr>
                      <w:sz w:val="16"/>
                      <w:szCs w:val="16"/>
                    </w:rPr>
                  </w:pPr>
                  <w:r w:rsidRPr="00C754D3">
                    <w:rPr>
                      <w:sz w:val="16"/>
                      <w:szCs w:val="16"/>
                    </w:rPr>
                    <w:t>60</w:t>
                  </w:r>
                </w:p>
                <w:p w:rsidR="004134A0" w:rsidRPr="00C754D3" w:rsidRDefault="004134A0" w:rsidP="00C754D3">
                  <w:pPr>
                    <w:jc w:val="center"/>
                    <w:rPr>
                      <w:sz w:val="16"/>
                      <w:szCs w:val="16"/>
                    </w:rPr>
                  </w:pPr>
                </w:p>
                <w:p w:rsidR="004134A0" w:rsidRPr="00C754D3" w:rsidRDefault="004134A0" w:rsidP="00C754D3">
                  <w:pPr>
                    <w:jc w:val="center"/>
                    <w:rPr>
                      <w:sz w:val="16"/>
                      <w:szCs w:val="16"/>
                    </w:rPr>
                  </w:pPr>
                  <w:r w:rsidRPr="00C754D3">
                    <w:rPr>
                      <w:sz w:val="16"/>
                      <w:szCs w:val="16"/>
                    </w:rPr>
                    <w:t>40</w:t>
                  </w:r>
                </w:p>
                <w:p w:rsidR="004134A0" w:rsidRPr="00C754D3" w:rsidRDefault="004134A0" w:rsidP="00C754D3">
                  <w:pPr>
                    <w:jc w:val="center"/>
                    <w:rPr>
                      <w:sz w:val="16"/>
                      <w:szCs w:val="16"/>
                    </w:rPr>
                  </w:pPr>
                </w:p>
                <w:p w:rsidR="004134A0" w:rsidRPr="00C754D3" w:rsidRDefault="004134A0" w:rsidP="00C754D3">
                  <w:pPr>
                    <w:jc w:val="center"/>
                    <w:rPr>
                      <w:sz w:val="16"/>
                      <w:szCs w:val="16"/>
                    </w:rPr>
                  </w:pPr>
                  <w:r w:rsidRPr="00C754D3">
                    <w:rPr>
                      <w:sz w:val="16"/>
                      <w:szCs w:val="16"/>
                    </w:rPr>
                    <w:t>20</w:t>
                  </w:r>
                </w:p>
                <w:p w:rsidR="004134A0" w:rsidRPr="00C754D3" w:rsidRDefault="004134A0" w:rsidP="00C754D3">
                  <w:pPr>
                    <w:jc w:val="center"/>
                    <w:rPr>
                      <w:sz w:val="16"/>
                      <w:szCs w:val="16"/>
                    </w:rPr>
                  </w:pPr>
                </w:p>
                <w:p w:rsidR="004134A0" w:rsidRPr="00C754D3" w:rsidRDefault="004134A0" w:rsidP="00C754D3">
                  <w:pPr>
                    <w:jc w:val="center"/>
                    <w:rPr>
                      <w:sz w:val="16"/>
                      <w:szCs w:val="16"/>
                      <w:lang w:val="es-VE"/>
                    </w:rPr>
                  </w:pPr>
                  <w:r w:rsidRPr="00C754D3">
                    <w:rPr>
                      <w:sz w:val="16"/>
                      <w:szCs w:val="16"/>
                    </w:rPr>
                    <w:t>0</w:t>
                  </w:r>
                </w:p>
              </w:txbxContent>
            </v:textbox>
          </v:shape>
        </w:pict>
      </w:r>
      <w:r w:rsidRPr="00A73CD2">
        <w:rPr>
          <w:bCs/>
          <w:i/>
          <w:noProof/>
          <w:lang w:eastAsia="zh-TW"/>
        </w:rPr>
        <w:pict>
          <v:shape id="_x0000_s1543" type="#_x0000_t202" style="position:absolute;left:0;text-align:left;margin-left:39.9pt;margin-top:8.1pt;width:68pt;height:97.75pt;z-index:251832832;mso-width-relative:margin;mso-height-relative:margin" stroked="f">
            <o:extrusion v:ext="view" rotationangle="5"/>
            <v:textbox style="mso-next-textbox:#_x0000_s1543">
              <w:txbxContent>
                <w:p w:rsidR="004134A0" w:rsidRPr="00041E85" w:rsidRDefault="004134A0" w:rsidP="00FB5089">
                  <w:pPr>
                    <w:jc w:val="center"/>
                    <w:rPr>
                      <w:sz w:val="20"/>
                    </w:rPr>
                  </w:pPr>
                  <w:r w:rsidRPr="00041E85">
                    <w:rPr>
                      <w:sz w:val="20"/>
                    </w:rPr>
                    <w:t xml:space="preserve">Separación de agua </w:t>
                  </w:r>
                </w:p>
                <w:p w:rsidR="004134A0" w:rsidRPr="00041E85" w:rsidRDefault="004134A0" w:rsidP="00FB5089">
                  <w:pPr>
                    <w:jc w:val="center"/>
                    <w:rPr>
                      <w:sz w:val="20"/>
                      <w:lang w:val="es-VE"/>
                    </w:rPr>
                  </w:pPr>
                  <w:r w:rsidRPr="00041E85">
                    <w:rPr>
                      <w:sz w:val="20"/>
                    </w:rPr>
                    <w:t>(% v/v)</w:t>
                  </w:r>
                </w:p>
              </w:txbxContent>
            </v:textbox>
          </v:shape>
        </w:pict>
      </w:r>
      <w:r w:rsidRPr="00A73CD2">
        <w:rPr>
          <w:bCs/>
          <w:i/>
          <w:noProof/>
          <w:lang w:val="en-US" w:eastAsia="en-US"/>
        </w:rPr>
        <w:pict>
          <v:shape id="_x0000_s1545" type="#_x0000_t202" style="position:absolute;left:0;text-align:left;margin-left:162.7pt;margin-top:122.2pt;width:125.7pt;height:21pt;z-index:251833856;mso-width-relative:margin;mso-height-relative:margin" stroked="f">
            <o:extrusion v:ext="view" rotationangle="5"/>
            <v:textbox style="mso-next-textbox:#_x0000_s1545">
              <w:txbxContent>
                <w:p w:rsidR="004134A0" w:rsidRPr="00041E85" w:rsidRDefault="004134A0" w:rsidP="00FB5089">
                  <w:pPr>
                    <w:jc w:val="center"/>
                    <w:rPr>
                      <w:sz w:val="20"/>
                      <w:lang w:val="es-VE"/>
                    </w:rPr>
                  </w:pPr>
                  <w:r w:rsidRPr="00041E85">
                    <w:rPr>
                      <w:sz w:val="20"/>
                    </w:rPr>
                    <w:t>Asfaltenos (% p/p)</w:t>
                  </w:r>
                </w:p>
              </w:txbxContent>
            </v:textbox>
          </v:shape>
        </w:pict>
      </w:r>
      <w:r>
        <w:rPr>
          <w:b/>
          <w:i/>
          <w:noProof/>
          <w:szCs w:val="24"/>
          <w:lang w:val="en-US"/>
        </w:rPr>
        <w:pict>
          <v:shape id="_x0000_s1381" type="#_x0000_t32" style="position:absolute;left:0;text-align:left;margin-left:135.05pt;margin-top:12.3pt;width:0;height:93.55pt;flip:y;z-index:251779584" o:connectortype="straight"/>
        </w:pict>
      </w:r>
      <w:r>
        <w:rPr>
          <w:b/>
          <w:i/>
          <w:noProof/>
          <w:szCs w:val="24"/>
          <w:lang w:val="en-US"/>
        </w:rPr>
        <w:pict>
          <v:shape id="_x0000_s1380" type="#_x0000_t32" style="position:absolute;left:0;text-align:left;margin-left:135.05pt;margin-top:105.85pt;width:163.9pt;height:0;z-index:251778560" o:connectortype="straight"/>
        </w:pict>
      </w:r>
      <w:r>
        <w:rPr>
          <w:b/>
          <w:i/>
          <w:noProof/>
          <w:szCs w:val="24"/>
          <w:lang w:val="en-US"/>
        </w:rPr>
        <w:pict>
          <v:shape id="_x0000_s1378" type="#_x0000_t32" style="position:absolute;left:0;text-align:left;margin-left:135.05pt;margin-top:12.3pt;width:163.9pt;height:0;z-index:251776512" o:connectortype="straight"/>
        </w:pict>
      </w:r>
      <w:r>
        <w:rPr>
          <w:b/>
          <w:i/>
          <w:noProof/>
          <w:szCs w:val="24"/>
          <w:lang w:val="en-US"/>
        </w:rPr>
        <w:pict>
          <v:shape id="_x0000_s1379" type="#_x0000_t32" style="position:absolute;left:0;text-align:left;margin-left:298.95pt;margin-top:12.3pt;width:0;height:93.55pt;flip:y;z-index:251777536" o:connectortype="straight"/>
        </w:pict>
      </w:r>
      <w:r w:rsidR="003A6929">
        <w:rPr>
          <w:b/>
          <w:i/>
          <w:noProof/>
          <w:szCs w:val="24"/>
          <w:lang w:val="en-US" w:eastAsia="en-US"/>
        </w:rPr>
        <w:drawing>
          <wp:inline distT="0" distB="0" distL="0" distR="0">
            <wp:extent cx="2913380" cy="1849755"/>
            <wp:effectExtent l="19050" t="0" r="1270" b="0"/>
            <wp:docPr id="8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6" cstate="print"/>
                    <a:srcRect/>
                    <a:stretch>
                      <a:fillRect/>
                    </a:stretch>
                  </pic:blipFill>
                  <pic:spPr bwMode="auto">
                    <a:xfrm>
                      <a:off x="0" y="0"/>
                      <a:ext cx="2913380" cy="1849755"/>
                    </a:xfrm>
                    <a:prstGeom prst="rect">
                      <a:avLst/>
                    </a:prstGeom>
                    <a:noFill/>
                    <a:ln w="9525">
                      <a:noFill/>
                      <a:miter lim="800000"/>
                      <a:headEnd/>
                      <a:tailEnd/>
                    </a:ln>
                  </pic:spPr>
                </pic:pic>
              </a:graphicData>
            </a:graphic>
          </wp:inline>
        </w:drawing>
      </w:r>
    </w:p>
    <w:p w:rsidR="003A6929" w:rsidRPr="00C119C6" w:rsidRDefault="003F4126" w:rsidP="003F4126">
      <w:pPr>
        <w:pStyle w:val="Epgrafe"/>
      </w:pPr>
      <w:bookmarkStart w:id="72" w:name="_Toc327481426"/>
      <w:r>
        <w:t xml:space="preserve">Figura N° </w:t>
      </w:r>
      <w:fldSimple w:instr=" SEQ Figura_N° \* ARABIC ">
        <w:r w:rsidR="004A5F6F">
          <w:rPr>
            <w:noProof/>
          </w:rPr>
          <w:t>14</w:t>
        </w:r>
      </w:fldSimple>
      <w:r w:rsidR="003A6929" w:rsidRPr="00C119C6">
        <w:t xml:space="preserve">: Efecto de los asfaltenos en la estabilidad de </w:t>
      </w:r>
      <w:r w:rsidR="00356CD8">
        <w:t>una</w:t>
      </w:r>
      <w:r w:rsidR="003A6929" w:rsidRPr="00C119C6">
        <w:t xml:space="preserve"> emulsión </w:t>
      </w:r>
      <w:r w:rsidR="00356CD8">
        <w:t>W/O</w:t>
      </w:r>
      <w:r w:rsidR="005C5C1B">
        <w:t xml:space="preserve"> </w:t>
      </w:r>
      <w:r w:rsidR="003A6929" w:rsidRPr="00C119C6">
        <w:t xml:space="preserve">(Sunil, </w:t>
      </w:r>
      <w:r w:rsidR="0098574D" w:rsidRPr="00C119C6">
        <w:t>2006</w:t>
      </w:r>
      <w:r w:rsidR="003A6929" w:rsidRPr="00C119C6">
        <w:t>).</w:t>
      </w:r>
      <w:bookmarkEnd w:id="72"/>
    </w:p>
    <w:p w:rsidR="003A6929" w:rsidRPr="003B0AD3" w:rsidRDefault="00C8552B" w:rsidP="003B0AD3">
      <w:pPr>
        <w:spacing w:line="360" w:lineRule="auto"/>
        <w:jc w:val="both"/>
        <w:rPr>
          <w:b/>
        </w:rPr>
      </w:pPr>
      <w:r w:rsidRPr="003B0AD3">
        <w:rPr>
          <w:b/>
        </w:rPr>
        <w:t xml:space="preserve">2.3.2 </w:t>
      </w:r>
      <w:r w:rsidR="003A6929" w:rsidRPr="003B0AD3">
        <w:rPr>
          <w:b/>
        </w:rPr>
        <w:t>Resinas</w:t>
      </w:r>
    </w:p>
    <w:p w:rsidR="003A6929" w:rsidRDefault="003A6929" w:rsidP="00665C33">
      <w:pPr>
        <w:autoSpaceDE w:val="0"/>
        <w:autoSpaceDN w:val="0"/>
        <w:adjustRightInd w:val="0"/>
        <w:spacing w:line="360" w:lineRule="auto"/>
        <w:jc w:val="both"/>
        <w:rPr>
          <w:szCs w:val="24"/>
        </w:rPr>
      </w:pPr>
      <w:r w:rsidRPr="00A94D0B">
        <w:rPr>
          <w:szCs w:val="24"/>
        </w:rPr>
        <w:tab/>
        <w:t>Al hacer referencia de los asfaltenos se hace necesario considerar a las resinas, ya que el comportamiento de los asfaltenos depende mucho de la presencia de estas. Las resinas son compuestos semisólidos,</w:t>
      </w:r>
      <w:r>
        <w:rPr>
          <w:szCs w:val="24"/>
        </w:rPr>
        <w:t xml:space="preserve"> </w:t>
      </w:r>
      <w:r w:rsidRPr="00A94D0B">
        <w:rPr>
          <w:szCs w:val="24"/>
        </w:rPr>
        <w:t>muy adhesivos</w:t>
      </w:r>
      <w:r w:rsidR="005C5C1B">
        <w:rPr>
          <w:szCs w:val="24"/>
        </w:rPr>
        <w:t>,</w:t>
      </w:r>
      <w:r w:rsidRPr="00A94D0B">
        <w:rPr>
          <w:szCs w:val="24"/>
        </w:rPr>
        <w:t xml:space="preserve"> y al igual que los asfaltenos, de elevado peso molecular. Representan la fracción del crudo constituidas por agregados de anillos aromáticos fusionados entre sí, la cual es insoluble en propano líquido, pero solubles en n-heptano. La estructura de las resinas es similar a la de los asfaltenos, pero son más pequeñas en peso molecular con un rango de 250 a 1.000 g/mol</w:t>
      </w:r>
      <w:r>
        <w:rPr>
          <w:szCs w:val="24"/>
        </w:rPr>
        <w:t xml:space="preserve"> (Licón, 2003)</w:t>
      </w:r>
      <w:r w:rsidRPr="00A94D0B">
        <w:rPr>
          <w:szCs w:val="24"/>
        </w:rPr>
        <w:t>.</w:t>
      </w:r>
    </w:p>
    <w:p w:rsidR="003A6929" w:rsidRPr="00C846C5" w:rsidRDefault="003A6929" w:rsidP="003A6929">
      <w:pPr>
        <w:autoSpaceDE w:val="0"/>
        <w:autoSpaceDN w:val="0"/>
        <w:adjustRightInd w:val="0"/>
        <w:spacing w:line="360" w:lineRule="auto"/>
        <w:jc w:val="both"/>
        <w:rPr>
          <w:i/>
          <w:sz w:val="20"/>
        </w:rPr>
      </w:pPr>
      <w:r w:rsidRPr="00A94D0B">
        <w:rPr>
          <w:szCs w:val="24"/>
        </w:rPr>
        <w:tab/>
        <w:t>Las resinas son consideradas como un producto intermedio originado en la transformación del crudo en asfaltenos, proceso que ocurre tanto por oxidación aérea como por tratamiento directo con oxígeno y azufre</w:t>
      </w:r>
      <w:r>
        <w:rPr>
          <w:szCs w:val="24"/>
        </w:rPr>
        <w:t xml:space="preserve"> (Delgado, 2006).</w:t>
      </w:r>
    </w:p>
    <w:p w:rsidR="003A6929" w:rsidRPr="00C846C5" w:rsidRDefault="003A6929" w:rsidP="003A6929">
      <w:pPr>
        <w:autoSpaceDE w:val="0"/>
        <w:autoSpaceDN w:val="0"/>
        <w:adjustRightInd w:val="0"/>
        <w:spacing w:line="360" w:lineRule="auto"/>
        <w:jc w:val="both"/>
        <w:rPr>
          <w:sz w:val="20"/>
        </w:rPr>
      </w:pPr>
      <w:r w:rsidRPr="00A94D0B">
        <w:rPr>
          <w:szCs w:val="24"/>
        </w:rPr>
        <w:tab/>
        <w:t>Las resinas tienen una interacción particular con los asfaltenos, ya que el comportamiento de los asfaltenos depende mucho de la presencia de estas. Las moléculas de asfaltenos están rodeadas por moléculas de resinas modificando su comportamiento y carga parcial. Las resinas pueden además retardar la precipitación de grupos asfalténicos en procesos de desalfatación de crudos, es decir, pueden servir de estabilizantes de asfaltenos. En otras palabras</w:t>
      </w:r>
      <w:r>
        <w:rPr>
          <w:szCs w:val="24"/>
        </w:rPr>
        <w:t>,</w:t>
      </w:r>
      <w:r w:rsidRPr="00A94D0B">
        <w:rPr>
          <w:szCs w:val="24"/>
        </w:rPr>
        <w:t xml:space="preserve"> son las responsables de mantener separados a los asfaltenos, evitando así un afecto de agregación de los mismos, debido a que la fuerza de repulsión electrostática es mayor que la fuerza de atracción de Van Der Waals. El comportamiento de las resinas y asfaltenos se basa en el efecto </w:t>
      </w:r>
      <w:r w:rsidRPr="00A94D0B">
        <w:rPr>
          <w:szCs w:val="24"/>
        </w:rPr>
        <w:lastRenderedPageBreak/>
        <w:t>de las fuerzas de atracción-repulsión entre los asfaltenos peptizados por las resinas, permitiendo un equilibrio molecular con el resto de los componentes. Esto permite la formación de una película viscoelástica de agregados de asfaltenos y resinas en la interfase crudo-</w:t>
      </w:r>
      <w:r w:rsidRPr="007512C3">
        <w:rPr>
          <w:szCs w:val="24"/>
        </w:rPr>
        <w:t>agua (McLean y Kilpatrick, 1997)</w:t>
      </w:r>
    </w:p>
    <w:p w:rsidR="003A6929" w:rsidRDefault="003A6929" w:rsidP="003A6929">
      <w:pPr>
        <w:autoSpaceDE w:val="0"/>
        <w:autoSpaceDN w:val="0"/>
        <w:adjustRightInd w:val="0"/>
        <w:spacing w:line="360" w:lineRule="auto"/>
        <w:jc w:val="both"/>
        <w:rPr>
          <w:szCs w:val="24"/>
        </w:rPr>
      </w:pPr>
      <w:r w:rsidRPr="00A94D0B">
        <w:rPr>
          <w:szCs w:val="24"/>
        </w:rPr>
        <w:tab/>
        <w:t>Otros compuestos que interviene o actúan como agente emulsionante son las porfirinas. Estos compuestos son estructuras cíclicas insaturadas conjugadas, altamente resonantes, de geometría plana y de aproximadamente 20 átomos de carbono. La porfirina básica consiste en cuatro anillos de tipo pirrol unidos por cuatro puentes de tipo metino. Pueden encontrarse en el crudo en forma libre o formando complejos con iones de metales pesados</w:t>
      </w:r>
      <w:r>
        <w:rPr>
          <w:szCs w:val="24"/>
        </w:rPr>
        <w:t xml:space="preserve"> (Marfisi, 2005)</w:t>
      </w:r>
    </w:p>
    <w:p w:rsidR="003A6929" w:rsidRPr="00A94D0B" w:rsidRDefault="003A6929" w:rsidP="003A6929">
      <w:pPr>
        <w:autoSpaceDE w:val="0"/>
        <w:autoSpaceDN w:val="0"/>
        <w:adjustRightInd w:val="0"/>
        <w:spacing w:line="360" w:lineRule="auto"/>
        <w:jc w:val="both"/>
        <w:rPr>
          <w:szCs w:val="24"/>
        </w:rPr>
      </w:pPr>
      <w:r w:rsidRPr="00A94D0B">
        <w:rPr>
          <w:szCs w:val="24"/>
        </w:rPr>
        <w:tab/>
        <w:t>La interacción entre las cadenas de hidrocarburo y la fase acuosa se minimiza gracias a la formación de estos agregados, en las cuales las cadenas polares de las moléculas constituyentes se direccionan hacia el centro del agregado y las cabezas apolares hacia la disolución acuosa (esta orientación dependerá de la naturaleza de la emulsión). Estos agregados pueden tomar varias formas y tamaños en función de la concentración y naturaleza del crudo.</w:t>
      </w:r>
      <w:r w:rsidRPr="00A94D0B">
        <w:rPr>
          <w:szCs w:val="24"/>
        </w:rPr>
        <w:tab/>
      </w:r>
    </w:p>
    <w:p w:rsidR="003A6929" w:rsidRDefault="003A6929" w:rsidP="005C5C1B">
      <w:pPr>
        <w:autoSpaceDE w:val="0"/>
        <w:autoSpaceDN w:val="0"/>
        <w:adjustRightInd w:val="0"/>
        <w:spacing w:after="240" w:line="360" w:lineRule="auto"/>
        <w:jc w:val="both"/>
        <w:rPr>
          <w:szCs w:val="24"/>
        </w:rPr>
      </w:pPr>
      <w:r w:rsidRPr="00A94D0B">
        <w:rPr>
          <w:szCs w:val="24"/>
        </w:rPr>
        <w:tab/>
        <w:t xml:space="preserve">Estos agregados suelen ser llamados también surfactantes naturales. Los surfactantes naturales pueden definirse entonces como macromoléculas con actividad interfacial que tienen un alto contenido de aromáticos y por lo tanto tienden a ser relativamente planas que por lo general tienen al menos un grupo polar y colas lipofílicas. </w:t>
      </w:r>
    </w:p>
    <w:p w:rsidR="003A6929" w:rsidRPr="00665C33" w:rsidRDefault="00C8552B" w:rsidP="00665C33">
      <w:pPr>
        <w:pStyle w:val="Ttulo3"/>
        <w:spacing w:line="360" w:lineRule="auto"/>
        <w:jc w:val="both"/>
        <w:rPr>
          <w:rFonts w:ascii="Times New Roman" w:hAnsi="Times New Roman" w:cs="Times New Roman"/>
          <w:color w:val="auto"/>
        </w:rPr>
      </w:pPr>
      <w:bookmarkStart w:id="73" w:name="_Toc327478013"/>
      <w:r>
        <w:rPr>
          <w:rFonts w:ascii="Times New Roman" w:hAnsi="Times New Roman" w:cs="Times New Roman"/>
          <w:color w:val="auto"/>
        </w:rPr>
        <w:t xml:space="preserve">2.4 </w:t>
      </w:r>
      <w:r w:rsidR="003A6929" w:rsidRPr="00665C33">
        <w:rPr>
          <w:rFonts w:ascii="Times New Roman" w:hAnsi="Times New Roman" w:cs="Times New Roman"/>
          <w:color w:val="auto"/>
        </w:rPr>
        <w:t>Estabilidad de una emulsión W/O</w:t>
      </w:r>
      <w:bookmarkEnd w:id="73"/>
    </w:p>
    <w:p w:rsidR="003A6929" w:rsidRPr="005C79CE" w:rsidRDefault="003A6929" w:rsidP="005C5C1B">
      <w:pPr>
        <w:autoSpaceDE w:val="0"/>
        <w:autoSpaceDN w:val="0"/>
        <w:adjustRightInd w:val="0"/>
        <w:spacing w:line="360" w:lineRule="auto"/>
        <w:jc w:val="both"/>
        <w:rPr>
          <w:szCs w:val="24"/>
        </w:rPr>
      </w:pPr>
      <w:r w:rsidRPr="00A94D0B">
        <w:rPr>
          <w:szCs w:val="24"/>
        </w:rPr>
        <w:tab/>
        <w:t xml:space="preserve">Debido a que existen diferentes tipos de estabilidad, aquí se tratara la estabilidad respecto a la separación de fases. En base a esto se puede definir un sistema estable como aquel en el que las pequeñas partículas están uniformemente distribuidas en el medio continuo de la emulsión y no hay un discerniente cambio en el número, tamaño, distribución y arreglo espacial de las gotas en el tiempo. </w:t>
      </w:r>
      <w:r>
        <w:rPr>
          <w:sz w:val="20"/>
        </w:rPr>
        <w:t>(</w:t>
      </w:r>
      <w:r w:rsidRPr="005C79CE">
        <w:rPr>
          <w:szCs w:val="24"/>
        </w:rPr>
        <w:t>Rodríguez y Martínez, 2001).</w:t>
      </w:r>
    </w:p>
    <w:p w:rsidR="003A6929" w:rsidRPr="00A94D0B" w:rsidRDefault="003A6929" w:rsidP="003A6929">
      <w:pPr>
        <w:autoSpaceDE w:val="0"/>
        <w:autoSpaceDN w:val="0"/>
        <w:adjustRightInd w:val="0"/>
        <w:spacing w:line="360" w:lineRule="auto"/>
        <w:jc w:val="both"/>
        <w:rPr>
          <w:szCs w:val="24"/>
        </w:rPr>
      </w:pPr>
      <w:r w:rsidRPr="00A94D0B">
        <w:rPr>
          <w:szCs w:val="24"/>
        </w:rPr>
        <w:lastRenderedPageBreak/>
        <w:tab/>
        <w:t xml:space="preserve">Tanto la estabilidad como la inestabilidad de una emulsión puede envolver un número de procesos los cuales pueden tomar lugar simultáneamente o consecutivamente, dependiendo de las condiciones a las que se someta la emulsión, sin embargo, los mecanismos fundamentales que gobiernan el comportamiento típico de dispersiones agua en aceite, son todavía no bien entendidos debido a la complejidad de las interacciones que se presentan. </w:t>
      </w:r>
    </w:p>
    <w:p w:rsidR="003A6929" w:rsidRDefault="003A6929" w:rsidP="003A6929">
      <w:pPr>
        <w:autoSpaceDE w:val="0"/>
        <w:autoSpaceDN w:val="0"/>
        <w:adjustRightInd w:val="0"/>
        <w:spacing w:line="360" w:lineRule="auto"/>
        <w:jc w:val="both"/>
        <w:rPr>
          <w:szCs w:val="24"/>
        </w:rPr>
      </w:pPr>
      <w:r w:rsidRPr="00A94D0B">
        <w:rPr>
          <w:szCs w:val="24"/>
        </w:rPr>
        <w:tab/>
        <w:t xml:space="preserve">Principalmente, en las emulsiones </w:t>
      </w:r>
      <w:r>
        <w:rPr>
          <w:szCs w:val="24"/>
        </w:rPr>
        <w:t>W</w:t>
      </w:r>
      <w:r w:rsidRPr="00A94D0B">
        <w:rPr>
          <w:szCs w:val="24"/>
        </w:rPr>
        <w:t>/</w:t>
      </w:r>
      <w:r>
        <w:rPr>
          <w:szCs w:val="24"/>
        </w:rPr>
        <w:t>O ó</w:t>
      </w:r>
      <w:r w:rsidRPr="00A94D0B">
        <w:rPr>
          <w:szCs w:val="24"/>
        </w:rPr>
        <w:t xml:space="preserve"> </w:t>
      </w:r>
      <w:r>
        <w:rPr>
          <w:szCs w:val="24"/>
        </w:rPr>
        <w:t>O</w:t>
      </w:r>
      <w:r w:rsidRPr="00A94D0B">
        <w:rPr>
          <w:szCs w:val="24"/>
        </w:rPr>
        <w:t>/</w:t>
      </w:r>
      <w:r>
        <w:rPr>
          <w:szCs w:val="24"/>
        </w:rPr>
        <w:t>W</w:t>
      </w:r>
      <w:r w:rsidRPr="00A94D0B">
        <w:rPr>
          <w:szCs w:val="24"/>
        </w:rPr>
        <w:t>, la estabilidad dependerá de presencia de surfactantes naturales o artificiales en la región interfacial</w:t>
      </w:r>
      <w:r>
        <w:rPr>
          <w:szCs w:val="24"/>
        </w:rPr>
        <w:t xml:space="preserve"> (Salaguer, 1990).</w:t>
      </w:r>
    </w:p>
    <w:p w:rsidR="003A6929" w:rsidRPr="00A94D0B" w:rsidRDefault="003A6929" w:rsidP="003A6929">
      <w:pPr>
        <w:autoSpaceDE w:val="0"/>
        <w:autoSpaceDN w:val="0"/>
        <w:adjustRightInd w:val="0"/>
        <w:spacing w:line="360" w:lineRule="auto"/>
        <w:jc w:val="both"/>
        <w:rPr>
          <w:szCs w:val="24"/>
        </w:rPr>
      </w:pPr>
      <w:r w:rsidRPr="00A94D0B">
        <w:rPr>
          <w:szCs w:val="24"/>
        </w:rPr>
        <w:tab/>
        <w:t>La interfase agua-crudo compuesta por estos surfactantes recibe el nombre de película interfacial.  La presencia de esta película interfacial confiere estabilidad a la emulsión dado que:</w:t>
      </w:r>
    </w:p>
    <w:p w:rsidR="003A6929" w:rsidRPr="00A94D0B" w:rsidRDefault="003A6929" w:rsidP="003A6929">
      <w:pPr>
        <w:autoSpaceDE w:val="0"/>
        <w:autoSpaceDN w:val="0"/>
        <w:adjustRightInd w:val="0"/>
        <w:spacing w:line="360" w:lineRule="auto"/>
        <w:jc w:val="both"/>
        <w:rPr>
          <w:szCs w:val="24"/>
        </w:rPr>
      </w:pPr>
      <w:r w:rsidRPr="00A94D0B">
        <w:rPr>
          <w:szCs w:val="24"/>
        </w:rPr>
        <w:tab/>
        <w:t xml:space="preserve">a) Aumenta la tensión interfacial (la presencia de sales disuelta en la fase acuosa también aumenta la tensión interfacial). </w:t>
      </w:r>
    </w:p>
    <w:p w:rsidR="003A6929" w:rsidRPr="00A94D0B" w:rsidRDefault="003A6929" w:rsidP="003A6929">
      <w:pPr>
        <w:autoSpaceDE w:val="0"/>
        <w:autoSpaceDN w:val="0"/>
        <w:adjustRightInd w:val="0"/>
        <w:spacing w:line="360" w:lineRule="auto"/>
        <w:jc w:val="both"/>
        <w:rPr>
          <w:szCs w:val="24"/>
        </w:rPr>
      </w:pPr>
      <w:r w:rsidRPr="00A94D0B">
        <w:rPr>
          <w:szCs w:val="24"/>
        </w:rPr>
        <w:tab/>
        <w:t>b) Forman una barrera viscosa que inhibe la coalescencia de las gotas. Este tipo</w:t>
      </w:r>
      <w:r>
        <w:rPr>
          <w:szCs w:val="24"/>
        </w:rPr>
        <w:t xml:space="preserve"> </w:t>
      </w:r>
      <w:r w:rsidRPr="00A94D0B">
        <w:rPr>
          <w:szCs w:val="24"/>
        </w:rPr>
        <w:t xml:space="preserve">de </w:t>
      </w:r>
      <w:r w:rsidRPr="00A94D0B">
        <w:rPr>
          <w:szCs w:val="24"/>
        </w:rPr>
        <w:tab/>
        <w:t xml:space="preserve">película ha sido comparada con una envoltura plástica. </w:t>
      </w:r>
    </w:p>
    <w:p w:rsidR="003A6929" w:rsidRPr="00BF43D7" w:rsidRDefault="003A6929" w:rsidP="003A6929">
      <w:pPr>
        <w:autoSpaceDE w:val="0"/>
        <w:autoSpaceDN w:val="0"/>
        <w:adjustRightInd w:val="0"/>
        <w:spacing w:line="360" w:lineRule="auto"/>
        <w:jc w:val="both"/>
        <w:rPr>
          <w:sz w:val="20"/>
        </w:rPr>
      </w:pPr>
      <w:r w:rsidRPr="00A94D0B">
        <w:rPr>
          <w:szCs w:val="24"/>
        </w:rPr>
        <w:tab/>
        <w:t xml:space="preserve">c) Si el surfactante o partícula adsorbida en la interfase es polar, su carga eléctrica provocará que haya, en cierto grado, repulsión de unas gotas con otras. </w:t>
      </w:r>
      <w:r w:rsidRPr="00BF43D7">
        <w:rPr>
          <w:sz w:val="20"/>
        </w:rPr>
        <w:tab/>
      </w:r>
      <w:r w:rsidRPr="005C79CE">
        <w:rPr>
          <w:szCs w:val="24"/>
        </w:rPr>
        <w:t>(Marfisi y Salaguer, 2004).</w:t>
      </w:r>
    </w:p>
    <w:p w:rsidR="003A6929" w:rsidRPr="00BF43D7" w:rsidRDefault="003A6929" w:rsidP="003A6929">
      <w:pPr>
        <w:autoSpaceDE w:val="0"/>
        <w:autoSpaceDN w:val="0"/>
        <w:adjustRightInd w:val="0"/>
        <w:spacing w:line="360" w:lineRule="auto"/>
        <w:jc w:val="both"/>
        <w:rPr>
          <w:sz w:val="20"/>
        </w:rPr>
      </w:pPr>
      <w:r w:rsidRPr="00A94D0B">
        <w:rPr>
          <w:szCs w:val="24"/>
        </w:rPr>
        <w:tab/>
        <w:t xml:space="preserve">Entre los factores que contribuyen a la estabilidad de las emulsiones agua-crudo </w:t>
      </w:r>
      <w:r>
        <w:rPr>
          <w:szCs w:val="24"/>
        </w:rPr>
        <w:t xml:space="preserve">se encuentran </w:t>
      </w:r>
      <w:r w:rsidRPr="005C79CE">
        <w:rPr>
          <w:szCs w:val="24"/>
        </w:rPr>
        <w:t>(Marfisi y Salaguer, 2004)</w:t>
      </w:r>
      <w:r w:rsidRPr="00A94D0B">
        <w:rPr>
          <w:szCs w:val="24"/>
        </w:rPr>
        <w:t xml:space="preserve">: </w:t>
      </w:r>
    </w:p>
    <w:p w:rsidR="003A6929" w:rsidRPr="00A94D0B" w:rsidRDefault="003A6929" w:rsidP="003A6929">
      <w:pPr>
        <w:autoSpaceDE w:val="0"/>
        <w:autoSpaceDN w:val="0"/>
        <w:adjustRightInd w:val="0"/>
        <w:spacing w:line="360" w:lineRule="auto"/>
        <w:jc w:val="both"/>
        <w:rPr>
          <w:szCs w:val="24"/>
        </w:rPr>
      </w:pPr>
      <w:r w:rsidRPr="00A94D0B">
        <w:rPr>
          <w:szCs w:val="24"/>
        </w:rPr>
        <w:tab/>
        <w:t xml:space="preserve">- </w:t>
      </w:r>
      <w:r w:rsidRPr="00A94D0B">
        <w:rPr>
          <w:b/>
          <w:szCs w:val="24"/>
        </w:rPr>
        <w:t>Viscosidad del aceite</w:t>
      </w:r>
      <w:r w:rsidRPr="00A94D0B">
        <w:rPr>
          <w:b/>
          <w:bCs/>
          <w:szCs w:val="24"/>
        </w:rPr>
        <w:t>:</w:t>
      </w:r>
      <w:r w:rsidRPr="00A94D0B">
        <w:rPr>
          <w:bCs/>
          <w:szCs w:val="24"/>
        </w:rPr>
        <w:t xml:space="preserve"> </w:t>
      </w:r>
      <w:r w:rsidRPr="00A94D0B">
        <w:rPr>
          <w:szCs w:val="24"/>
        </w:rPr>
        <w:t xml:space="preserve">Una viscosidad alta en la fase continua disminuye la movilidad y la frecuencia de colisión de las gotas, por lo que se incrementa la estabilidad de la emulsión. Una alta concentración de las gotas también incrementa la viscosidad aparente de la fase continua y estabiliza la emulsión. </w:t>
      </w:r>
    </w:p>
    <w:p w:rsidR="003A6929" w:rsidRPr="00A94D0B" w:rsidRDefault="003A6929" w:rsidP="003A6929">
      <w:pPr>
        <w:autoSpaceDE w:val="0"/>
        <w:autoSpaceDN w:val="0"/>
        <w:adjustRightInd w:val="0"/>
        <w:spacing w:line="360" w:lineRule="auto"/>
        <w:jc w:val="both"/>
        <w:rPr>
          <w:szCs w:val="24"/>
        </w:rPr>
      </w:pPr>
      <w:r w:rsidRPr="00A94D0B">
        <w:rPr>
          <w:b/>
          <w:bCs/>
          <w:szCs w:val="24"/>
        </w:rPr>
        <w:tab/>
      </w:r>
      <w:r w:rsidRPr="00A94D0B">
        <w:rPr>
          <w:bCs/>
          <w:szCs w:val="24"/>
        </w:rPr>
        <w:t xml:space="preserve">- </w:t>
      </w:r>
      <w:r w:rsidRPr="00A94D0B">
        <w:rPr>
          <w:b/>
          <w:bCs/>
          <w:szCs w:val="24"/>
        </w:rPr>
        <w:t>T</w:t>
      </w:r>
      <w:r w:rsidRPr="00A94D0B">
        <w:rPr>
          <w:b/>
          <w:szCs w:val="24"/>
        </w:rPr>
        <w:t>amaños de g</w:t>
      </w:r>
      <w:r w:rsidRPr="00A94D0B">
        <w:rPr>
          <w:b/>
          <w:bCs/>
          <w:szCs w:val="24"/>
        </w:rPr>
        <w:t>ota de la fase interna:</w:t>
      </w:r>
      <w:r w:rsidRPr="00A94D0B">
        <w:rPr>
          <w:bCs/>
          <w:szCs w:val="24"/>
        </w:rPr>
        <w:t xml:space="preserve"> </w:t>
      </w:r>
      <w:r w:rsidRPr="00A94D0B">
        <w:rPr>
          <w:szCs w:val="24"/>
        </w:rPr>
        <w:t>Gotas muy pequeñas menores de 10 µ</w:t>
      </w:r>
      <w:r w:rsidRPr="00A94D0B">
        <w:rPr>
          <w:color w:val="000000"/>
          <w:szCs w:val="24"/>
        </w:rPr>
        <w:t>m</w:t>
      </w:r>
      <w:r w:rsidRPr="00A94D0B">
        <w:rPr>
          <w:szCs w:val="24"/>
        </w:rPr>
        <w:t xml:space="preserve"> generalmente producen emulsiones más estables. Una amplia distribución de tamaños de partículas resulta en general en una emulsión menos estable.</w:t>
      </w:r>
    </w:p>
    <w:p w:rsidR="003A6929" w:rsidRPr="00A94D0B" w:rsidRDefault="003A6929" w:rsidP="003A6929">
      <w:pPr>
        <w:autoSpaceDE w:val="0"/>
        <w:autoSpaceDN w:val="0"/>
        <w:adjustRightInd w:val="0"/>
        <w:spacing w:line="360" w:lineRule="auto"/>
        <w:jc w:val="both"/>
        <w:rPr>
          <w:szCs w:val="24"/>
        </w:rPr>
      </w:pPr>
      <w:r w:rsidRPr="00A94D0B">
        <w:rPr>
          <w:b/>
          <w:bCs/>
          <w:szCs w:val="24"/>
        </w:rPr>
        <w:tab/>
        <w:t xml:space="preserve">- Relación de </w:t>
      </w:r>
      <w:r w:rsidRPr="00A94D0B">
        <w:rPr>
          <w:b/>
          <w:szCs w:val="24"/>
        </w:rPr>
        <w:t>volumen de f</w:t>
      </w:r>
      <w:r w:rsidRPr="00A94D0B">
        <w:rPr>
          <w:b/>
          <w:bCs/>
          <w:szCs w:val="24"/>
        </w:rPr>
        <w:t>ases</w:t>
      </w:r>
      <w:r w:rsidRPr="00A94D0B">
        <w:rPr>
          <w:b/>
          <w:szCs w:val="24"/>
        </w:rPr>
        <w:t>:</w:t>
      </w:r>
      <w:r w:rsidRPr="00A94D0B">
        <w:rPr>
          <w:szCs w:val="24"/>
        </w:rPr>
        <w:t xml:space="preserve"> A medida disminuye la relación de volumen de las fases (volumen menor de la fase discreta) más estable es la emulsión. Varios </w:t>
      </w:r>
      <w:r w:rsidRPr="00A94D0B">
        <w:rPr>
          <w:szCs w:val="24"/>
        </w:rPr>
        <w:lastRenderedPageBreak/>
        <w:t xml:space="preserve">estudios han señalado que un incremento en el volumen de la fase dispersa, incrementa el número de gotas y/o tamaño de gota y el área interfacial, disminuyendo la distancia de separación y aumentando así la probabilidad de colisión de las gotas. </w:t>
      </w:r>
    </w:p>
    <w:p w:rsidR="003A6929" w:rsidRPr="00A94D0B" w:rsidRDefault="003A6929" w:rsidP="003A6929">
      <w:pPr>
        <w:autoSpaceDE w:val="0"/>
        <w:autoSpaceDN w:val="0"/>
        <w:adjustRightInd w:val="0"/>
        <w:spacing w:line="360" w:lineRule="auto"/>
        <w:jc w:val="both"/>
        <w:rPr>
          <w:szCs w:val="24"/>
        </w:rPr>
      </w:pPr>
      <w:r w:rsidRPr="00A94D0B">
        <w:rPr>
          <w:b/>
          <w:szCs w:val="24"/>
        </w:rPr>
        <w:t xml:space="preserve"> </w:t>
      </w:r>
      <w:r w:rsidRPr="00A94D0B">
        <w:rPr>
          <w:b/>
          <w:szCs w:val="24"/>
        </w:rPr>
        <w:tab/>
      </w:r>
      <w:r w:rsidRPr="00A94D0B">
        <w:rPr>
          <w:szCs w:val="24"/>
        </w:rPr>
        <w:t>-</w:t>
      </w:r>
      <w:r w:rsidRPr="00A94D0B">
        <w:rPr>
          <w:b/>
          <w:szCs w:val="24"/>
        </w:rPr>
        <w:t xml:space="preserve"> Temperatura:</w:t>
      </w:r>
      <w:r w:rsidRPr="00A94D0B">
        <w:rPr>
          <w:szCs w:val="24"/>
        </w:rPr>
        <w:t xml:space="preserve"> Usualmente, la temperatura tiene un efecto muy fuerte en la estabilidad de la emulsión. Incrementando la temperatura se reduce la adsorción de surfactantes naturales y disminuye la viscosidad de la fase continua, la rigidez de la película interfacial y la tensión superficial. Todos estos cambios reducen la estabilidad de la emulsión. </w:t>
      </w:r>
      <w:bookmarkStart w:id="74" w:name="_Toc306491458"/>
    </w:p>
    <w:p w:rsidR="003A6929" w:rsidRPr="00A94D0B" w:rsidRDefault="003A6929" w:rsidP="003A6929">
      <w:pPr>
        <w:autoSpaceDE w:val="0"/>
        <w:autoSpaceDN w:val="0"/>
        <w:adjustRightInd w:val="0"/>
        <w:spacing w:line="360" w:lineRule="auto"/>
        <w:jc w:val="both"/>
        <w:rPr>
          <w:szCs w:val="24"/>
        </w:rPr>
      </w:pPr>
      <w:r w:rsidRPr="00A94D0B">
        <w:rPr>
          <w:szCs w:val="24"/>
        </w:rPr>
        <w:tab/>
      </w:r>
      <w:r w:rsidRPr="00C119C6">
        <w:rPr>
          <w:color w:val="000000" w:themeColor="text1"/>
          <w:szCs w:val="24"/>
        </w:rPr>
        <w:t xml:space="preserve">- </w:t>
      </w:r>
      <w:r w:rsidRPr="00C119C6">
        <w:rPr>
          <w:rStyle w:val="Ttulo3Car"/>
          <w:rFonts w:ascii="Times New Roman" w:hAnsi="Times New Roman" w:cs="Times New Roman"/>
          <w:color w:val="000000" w:themeColor="text1"/>
        </w:rPr>
        <w:t>pH de la fase discreta (agua):</w:t>
      </w:r>
      <w:bookmarkEnd w:id="74"/>
      <w:r w:rsidRPr="00C119C6">
        <w:rPr>
          <w:rStyle w:val="Ttulo3Car"/>
          <w:rFonts w:ascii="Times New Roman" w:hAnsi="Times New Roman" w:cs="Times New Roman"/>
          <w:color w:val="000000" w:themeColor="text1"/>
        </w:rPr>
        <w:t xml:space="preserve"> </w:t>
      </w:r>
      <w:r w:rsidRPr="00C119C6">
        <w:rPr>
          <w:color w:val="000000" w:themeColor="text1"/>
          <w:szCs w:val="24"/>
        </w:rPr>
        <w:t>La presencia</w:t>
      </w:r>
      <w:r w:rsidRPr="00A94D0B">
        <w:rPr>
          <w:szCs w:val="24"/>
        </w:rPr>
        <w:t xml:space="preserve"> de ácidos o bases inorgánicos cambia radicalmente la formación de películas de asfaltenos y resinas que estabilizan las emulsiones agua-aceite por lo cual se puede incrementar la rigidez de la película que estabiliza la emulsión y aumentar la tensión superficial.</w:t>
      </w:r>
    </w:p>
    <w:p w:rsidR="003A6929" w:rsidRDefault="003A6929" w:rsidP="003A6929">
      <w:pPr>
        <w:autoSpaceDE w:val="0"/>
        <w:autoSpaceDN w:val="0"/>
        <w:adjustRightInd w:val="0"/>
        <w:spacing w:line="360" w:lineRule="auto"/>
        <w:jc w:val="both"/>
        <w:rPr>
          <w:bCs/>
          <w:iCs/>
          <w:szCs w:val="24"/>
        </w:rPr>
      </w:pPr>
      <w:r w:rsidRPr="00A94D0B">
        <w:rPr>
          <w:b/>
          <w:bCs/>
          <w:iCs/>
          <w:szCs w:val="24"/>
        </w:rPr>
        <w:tab/>
        <w:t>- Composición de la salmuera:</w:t>
      </w:r>
      <w:r w:rsidRPr="00A94D0B">
        <w:rPr>
          <w:bCs/>
          <w:iCs/>
          <w:szCs w:val="24"/>
        </w:rPr>
        <w:t xml:space="preserve"> Ciertos iones en la salmuera pueden influenciar significativamente el comportamiento de la película interfcial. Principalmente los iones presentes en altas concentraciones son iones de sodio y cloro, mientras que otros pueden hallarse en concentraciones más bajas. En la región interfacial, estos iones pueden </w:t>
      </w:r>
      <w:r w:rsidRPr="005C79CE">
        <w:rPr>
          <w:bCs/>
          <w:iCs/>
          <w:szCs w:val="24"/>
        </w:rPr>
        <w:t>reaccionar químicamente con los grupos hidrofílicos adsorbidos en la interfase y formar sales insolubles (</w:t>
      </w:r>
      <w:r w:rsidRPr="005C79CE">
        <w:rPr>
          <w:szCs w:val="24"/>
        </w:rPr>
        <w:t>Kimbler, 1966)</w:t>
      </w:r>
      <w:r w:rsidRPr="005C79CE">
        <w:rPr>
          <w:bCs/>
          <w:iCs/>
          <w:szCs w:val="24"/>
        </w:rPr>
        <w:t>.</w:t>
      </w:r>
      <w:r w:rsidRPr="00A94D0B">
        <w:rPr>
          <w:bCs/>
          <w:iCs/>
          <w:szCs w:val="24"/>
        </w:rPr>
        <w:t xml:space="preserve"> </w:t>
      </w:r>
    </w:p>
    <w:p w:rsidR="003A6929" w:rsidRPr="00A94D0B" w:rsidRDefault="003A6929" w:rsidP="003A6929">
      <w:pPr>
        <w:autoSpaceDE w:val="0"/>
        <w:autoSpaceDN w:val="0"/>
        <w:adjustRightInd w:val="0"/>
        <w:spacing w:line="360" w:lineRule="auto"/>
        <w:jc w:val="both"/>
        <w:rPr>
          <w:bCs/>
          <w:iCs/>
          <w:szCs w:val="24"/>
        </w:rPr>
      </w:pPr>
      <w:r>
        <w:rPr>
          <w:bCs/>
          <w:iCs/>
          <w:szCs w:val="24"/>
        </w:rPr>
        <w:tab/>
      </w:r>
      <w:r w:rsidRPr="00A94D0B">
        <w:rPr>
          <w:bCs/>
          <w:iCs/>
          <w:szCs w:val="24"/>
        </w:rPr>
        <w:t>Numerosos estudiosos se han realizado en los cuales se estudian sistemas crudo/salmuera en distinta concentración y composición de la salmuera, los cuales han permitido elaborar conclusiones más concretas en relación al efecto de la salmuera y su composición  respecto a la película interfacial y las propiedades estabilizantes. En general se ha encontrado que:</w:t>
      </w:r>
    </w:p>
    <w:p w:rsidR="003A6929" w:rsidRDefault="003A6929" w:rsidP="003A6929">
      <w:pPr>
        <w:autoSpaceDE w:val="0"/>
        <w:autoSpaceDN w:val="0"/>
        <w:adjustRightInd w:val="0"/>
        <w:spacing w:line="360" w:lineRule="auto"/>
        <w:jc w:val="both"/>
        <w:rPr>
          <w:i/>
          <w:sz w:val="20"/>
        </w:rPr>
      </w:pPr>
      <w:r w:rsidRPr="00A94D0B">
        <w:rPr>
          <w:bCs/>
          <w:iCs/>
          <w:szCs w:val="24"/>
        </w:rPr>
        <w:tab/>
        <w:t xml:space="preserve">- La composición de la salmuera (en particular la alcalinidad por su efecto buffer) está íntimamente relacionada al pH en la determinación de las propiedades que estabilizan la </w:t>
      </w:r>
      <w:r w:rsidRPr="003978C3">
        <w:rPr>
          <w:bCs/>
          <w:iCs/>
          <w:szCs w:val="24"/>
        </w:rPr>
        <w:t>emulsión (</w:t>
      </w:r>
      <w:r w:rsidRPr="003978C3">
        <w:rPr>
          <w:szCs w:val="24"/>
        </w:rPr>
        <w:t>Strassner, 1968).</w:t>
      </w:r>
    </w:p>
    <w:p w:rsidR="003A6929" w:rsidRDefault="003A6929" w:rsidP="003A6929">
      <w:pPr>
        <w:autoSpaceDE w:val="0"/>
        <w:autoSpaceDN w:val="0"/>
        <w:adjustRightInd w:val="0"/>
        <w:spacing w:line="360" w:lineRule="auto"/>
        <w:jc w:val="both"/>
        <w:rPr>
          <w:i/>
          <w:sz w:val="20"/>
        </w:rPr>
      </w:pPr>
      <w:r w:rsidRPr="00A94D0B">
        <w:rPr>
          <w:bCs/>
          <w:iCs/>
          <w:szCs w:val="24"/>
        </w:rPr>
        <w:tab/>
        <w:t xml:space="preserve">- Salmueras con altas concentraciones de calcio y altas proporciones de iones calcio/magnesio forman películas rígidas o no flexibles alrededor de las gotas de agua, resultando esto </w:t>
      </w:r>
      <w:r w:rsidRPr="003978C3">
        <w:rPr>
          <w:bCs/>
          <w:iCs/>
          <w:szCs w:val="24"/>
        </w:rPr>
        <w:t>en una emulsión estable (</w:t>
      </w:r>
      <w:r w:rsidRPr="003978C3">
        <w:rPr>
          <w:szCs w:val="24"/>
        </w:rPr>
        <w:t>Jones, Neustadter  y Wittingham, 1978)</w:t>
      </w:r>
    </w:p>
    <w:p w:rsidR="003A6929" w:rsidRPr="00A94D0B" w:rsidRDefault="003A6929" w:rsidP="003A6929">
      <w:pPr>
        <w:autoSpaceDE w:val="0"/>
        <w:autoSpaceDN w:val="0"/>
        <w:adjustRightInd w:val="0"/>
        <w:spacing w:line="360" w:lineRule="auto"/>
        <w:jc w:val="both"/>
        <w:rPr>
          <w:bCs/>
          <w:iCs/>
          <w:szCs w:val="24"/>
        </w:rPr>
      </w:pPr>
      <w:r w:rsidRPr="00A94D0B">
        <w:rPr>
          <w:bCs/>
          <w:iCs/>
          <w:szCs w:val="24"/>
        </w:rPr>
        <w:lastRenderedPageBreak/>
        <w:tab/>
        <w:t>- Alta concentración de iones divalentes y altos valores de pH resultan en una reducción de la estabilidad de la emulsión.</w:t>
      </w:r>
    </w:p>
    <w:p w:rsidR="003A6929" w:rsidRPr="00A94D0B" w:rsidRDefault="003A6929" w:rsidP="003A6929">
      <w:pPr>
        <w:autoSpaceDE w:val="0"/>
        <w:autoSpaceDN w:val="0"/>
        <w:adjustRightInd w:val="0"/>
        <w:spacing w:line="360" w:lineRule="auto"/>
        <w:jc w:val="both"/>
        <w:rPr>
          <w:bCs/>
          <w:iCs/>
          <w:szCs w:val="24"/>
        </w:rPr>
      </w:pPr>
      <w:r w:rsidRPr="00A94D0B">
        <w:rPr>
          <w:bCs/>
          <w:iCs/>
          <w:szCs w:val="24"/>
        </w:rPr>
        <w:tab/>
        <w:t xml:space="preserve">Muchas especies de moléculas polares están presentes en la interfase y cada especie responde diferentemente. Efectos sinérgicos pueden presentarse cuando diferentes cationes están presentes al mismo tiempo. </w:t>
      </w:r>
    </w:p>
    <w:p w:rsidR="003A6929" w:rsidRPr="00A94D0B" w:rsidRDefault="003A6929" w:rsidP="003A6929">
      <w:pPr>
        <w:autoSpaceDE w:val="0"/>
        <w:autoSpaceDN w:val="0"/>
        <w:adjustRightInd w:val="0"/>
        <w:spacing w:line="360" w:lineRule="auto"/>
        <w:jc w:val="both"/>
        <w:rPr>
          <w:szCs w:val="24"/>
        </w:rPr>
      </w:pPr>
      <w:r w:rsidRPr="00A94D0B">
        <w:rPr>
          <w:b/>
          <w:szCs w:val="24"/>
        </w:rPr>
        <w:tab/>
        <w:t>- Envejecimiento de la interfase:</w:t>
      </w:r>
      <w:r w:rsidRPr="00A94D0B">
        <w:rPr>
          <w:szCs w:val="24"/>
        </w:rPr>
        <w:t xml:space="preserve"> A medida que la interfase envejece la adsorción de los surfactantes se completa y debido a las interacciones laterales entre las moléculas aumenta la rigidez de la película hasta un valor estable. Esta película llega a ser más gruesa, más fuerte y</w:t>
      </w:r>
      <w:r w:rsidRPr="00A94D0B">
        <w:rPr>
          <w:b/>
          <w:szCs w:val="24"/>
        </w:rPr>
        <w:t xml:space="preserve"> </w:t>
      </w:r>
      <w:r w:rsidRPr="00A94D0B">
        <w:rPr>
          <w:szCs w:val="24"/>
        </w:rPr>
        <w:t>más dura.</w:t>
      </w:r>
      <w:r w:rsidRPr="00A94D0B">
        <w:rPr>
          <w:b/>
          <w:szCs w:val="24"/>
        </w:rPr>
        <w:t xml:space="preserve"> </w:t>
      </w:r>
      <w:r w:rsidRPr="00A94D0B">
        <w:rPr>
          <w:szCs w:val="24"/>
        </w:rPr>
        <w:t>Además, la cantidad de agentes emulsionantes se incrementa por oxidación, fotólisis, evaporación o por la acción de bacterias.</w:t>
      </w:r>
    </w:p>
    <w:p w:rsidR="003A6929" w:rsidRPr="00A94D0B" w:rsidRDefault="003A6929" w:rsidP="003A6929">
      <w:pPr>
        <w:autoSpaceDE w:val="0"/>
        <w:autoSpaceDN w:val="0"/>
        <w:adjustRightInd w:val="0"/>
        <w:spacing w:line="360" w:lineRule="auto"/>
        <w:jc w:val="both"/>
        <w:rPr>
          <w:szCs w:val="24"/>
        </w:rPr>
      </w:pPr>
      <w:r w:rsidRPr="00A94D0B">
        <w:rPr>
          <w:b/>
          <w:szCs w:val="24"/>
        </w:rPr>
        <w:tab/>
        <w:t>- Tipo de aceite:</w:t>
      </w:r>
      <w:r w:rsidRPr="00A94D0B">
        <w:rPr>
          <w:szCs w:val="24"/>
        </w:rPr>
        <w:t xml:space="preserve"> Los crudos con aceite de base parafínica usualmente no forman emulsiones estables, mientras que los crudos nafténicos y de base mixta forman emulsiones estables. Ceras, resinas, asfaltenos y otros sólidos pueden influenciar la estabilidad de la emulsión. En otras palabras, el tipo de crudo determina la cantidad y tipo de emulsionantes naturales.</w:t>
      </w:r>
    </w:p>
    <w:p w:rsidR="003A6929" w:rsidRPr="00A94D0B" w:rsidRDefault="003A6929" w:rsidP="003A6929">
      <w:pPr>
        <w:autoSpaceDE w:val="0"/>
        <w:autoSpaceDN w:val="0"/>
        <w:adjustRightInd w:val="0"/>
        <w:spacing w:line="360" w:lineRule="auto"/>
        <w:jc w:val="both"/>
        <w:rPr>
          <w:szCs w:val="24"/>
        </w:rPr>
      </w:pPr>
      <w:r w:rsidRPr="00A94D0B">
        <w:rPr>
          <w:szCs w:val="24"/>
        </w:rPr>
        <w:tab/>
        <w:t xml:space="preserve">- </w:t>
      </w:r>
      <w:r w:rsidRPr="00A94D0B">
        <w:rPr>
          <w:b/>
          <w:szCs w:val="24"/>
        </w:rPr>
        <w:t>Diferencia de d</w:t>
      </w:r>
      <w:r w:rsidRPr="00A94D0B">
        <w:rPr>
          <w:b/>
          <w:bCs/>
          <w:szCs w:val="24"/>
        </w:rPr>
        <w:t>ensidad</w:t>
      </w:r>
      <w:r w:rsidRPr="00A94D0B">
        <w:rPr>
          <w:b/>
          <w:szCs w:val="24"/>
        </w:rPr>
        <w:t>:</w:t>
      </w:r>
      <w:r w:rsidRPr="00A94D0B">
        <w:rPr>
          <w:szCs w:val="24"/>
        </w:rPr>
        <w:t xml:space="preserve"> La fuerza neta de gravedad que actúa en una gota es directamente proporcional a la diferencia en densidades entre la gota y la fase continua. Aumentando la diferencia de densidad por incremento de la temperatura se logra aumentar la velocidad de sedimentación de las gotas y por ende, se acelera la coalescencia.</w:t>
      </w:r>
    </w:p>
    <w:p w:rsidR="003A6929" w:rsidRPr="00A94D0B" w:rsidRDefault="003A6929" w:rsidP="003A6929">
      <w:pPr>
        <w:autoSpaceDE w:val="0"/>
        <w:autoSpaceDN w:val="0"/>
        <w:adjustRightInd w:val="0"/>
        <w:spacing w:line="360" w:lineRule="auto"/>
        <w:jc w:val="both"/>
        <w:rPr>
          <w:szCs w:val="24"/>
        </w:rPr>
      </w:pPr>
      <w:r w:rsidRPr="00A94D0B">
        <w:rPr>
          <w:b/>
          <w:szCs w:val="24"/>
        </w:rPr>
        <w:tab/>
        <w:t>- Presencia de c</w:t>
      </w:r>
      <w:r w:rsidRPr="00A94D0B">
        <w:rPr>
          <w:b/>
          <w:bCs/>
          <w:szCs w:val="24"/>
        </w:rPr>
        <w:t>ationes:</w:t>
      </w:r>
      <w:r w:rsidRPr="00A94D0B">
        <w:rPr>
          <w:bCs/>
          <w:szCs w:val="24"/>
        </w:rPr>
        <w:t xml:space="preserve"> </w:t>
      </w:r>
      <w:r w:rsidRPr="00A94D0B">
        <w:rPr>
          <w:szCs w:val="24"/>
        </w:rPr>
        <w:t>Los cationes divalentes como calcio y magnesio tienen tendencia a producir una compactación de las películas adsorbidas, probablemente por efecto de pantalla electrostática de un lado, y por otro, la precipitación de sales insolubles en la interfase.</w:t>
      </w:r>
    </w:p>
    <w:p w:rsidR="003A6929" w:rsidRPr="00A94D0B" w:rsidRDefault="003A6929" w:rsidP="003A6929">
      <w:pPr>
        <w:autoSpaceDE w:val="0"/>
        <w:autoSpaceDN w:val="0"/>
        <w:adjustRightInd w:val="0"/>
        <w:spacing w:line="360" w:lineRule="auto"/>
        <w:rPr>
          <w:szCs w:val="24"/>
        </w:rPr>
      </w:pPr>
      <w:r w:rsidRPr="00A94D0B">
        <w:rPr>
          <w:b/>
          <w:szCs w:val="24"/>
        </w:rPr>
        <w:tab/>
      </w:r>
      <w:r w:rsidRPr="00A94D0B">
        <w:rPr>
          <w:szCs w:val="24"/>
        </w:rPr>
        <w:t xml:space="preserve">-  </w:t>
      </w:r>
      <w:r w:rsidRPr="00A94D0B">
        <w:rPr>
          <w:b/>
          <w:szCs w:val="24"/>
        </w:rPr>
        <w:t>Propiedades reológicas i</w:t>
      </w:r>
      <w:r w:rsidRPr="00A94D0B">
        <w:rPr>
          <w:b/>
          <w:bCs/>
          <w:szCs w:val="24"/>
        </w:rPr>
        <w:t>nterfaciales</w:t>
      </w:r>
      <w:r w:rsidRPr="00A94D0B">
        <w:rPr>
          <w:bCs/>
          <w:szCs w:val="24"/>
        </w:rPr>
        <w:t xml:space="preserve">: </w:t>
      </w:r>
      <w:r w:rsidRPr="00A94D0B">
        <w:rPr>
          <w:szCs w:val="24"/>
        </w:rPr>
        <w:t xml:space="preserve">Generalmente, cuando una interfase con moléculas de surfactantes adsorbidas se estira o dilata se generan gradientes de tensión. Los gradientes de tensión se oponen al estiramiento e intentan restaurar la uniformidad de la tensión interfacial.  </w:t>
      </w:r>
    </w:p>
    <w:p w:rsidR="003A6929" w:rsidRPr="00A94D0B" w:rsidRDefault="003A6929" w:rsidP="003A6929">
      <w:pPr>
        <w:autoSpaceDE w:val="0"/>
        <w:autoSpaceDN w:val="0"/>
        <w:adjustRightInd w:val="0"/>
        <w:spacing w:line="360" w:lineRule="auto"/>
        <w:jc w:val="both"/>
        <w:rPr>
          <w:szCs w:val="24"/>
        </w:rPr>
      </w:pPr>
      <w:r w:rsidRPr="00A94D0B">
        <w:rPr>
          <w:szCs w:val="24"/>
        </w:rPr>
        <w:lastRenderedPageBreak/>
        <w:tab/>
      </w:r>
      <w:r w:rsidRPr="00A94D0B">
        <w:rPr>
          <w:b/>
          <w:szCs w:val="24"/>
        </w:rPr>
        <w:t xml:space="preserve">- Sólidos: </w:t>
      </w:r>
      <w:r w:rsidRPr="00A94D0B">
        <w:rPr>
          <w:szCs w:val="24"/>
        </w:rPr>
        <w:t>Partículas sólidas presentes en el crudo son capaces de estabilizar efectivamente una emulsión agua-crudo. La efectividad estabilizadora de estos sólidos depende del tamaño del sólido (tamaño de partícula), interacciones inter-partículas y su mojabilidad.</w:t>
      </w:r>
      <w:r w:rsidRPr="00A94D0B">
        <w:rPr>
          <w:b/>
          <w:szCs w:val="24"/>
        </w:rPr>
        <w:t xml:space="preserve">  </w:t>
      </w:r>
      <w:r w:rsidRPr="00A94D0B">
        <w:rPr>
          <w:szCs w:val="24"/>
        </w:rPr>
        <w:t>Algunos de estos sólidos pueden ser arena, arcilla, finos de formación, esquistos, lodos, de perforación, fluidos para estimulación, sales inorgánicas (CaCO3, CaSO4),  asfaltenos precipitados, etc.</w:t>
      </w:r>
    </w:p>
    <w:p w:rsidR="003A6929" w:rsidRPr="00BF43D7" w:rsidRDefault="003A6929" w:rsidP="00320110">
      <w:pPr>
        <w:autoSpaceDE w:val="0"/>
        <w:autoSpaceDN w:val="0"/>
        <w:adjustRightInd w:val="0"/>
        <w:spacing w:after="240" w:line="360" w:lineRule="auto"/>
        <w:jc w:val="both"/>
        <w:rPr>
          <w:b/>
          <w:i/>
          <w:sz w:val="20"/>
        </w:rPr>
      </w:pPr>
      <w:r w:rsidRPr="00A94D0B">
        <w:rPr>
          <w:szCs w:val="24"/>
        </w:rPr>
        <w:tab/>
        <w:t>Estas partículas estabilizan la emulsión dado que difunden a la interfase agua-crudo, en la cual forman películas rígidas que pueden estéricamente inhibir la coalescencia de las gotas emulsionadas</w:t>
      </w:r>
      <w:r>
        <w:rPr>
          <w:szCs w:val="24"/>
        </w:rPr>
        <w:t>. A su vez</w:t>
      </w:r>
      <w:r w:rsidRPr="00A94D0B">
        <w:rPr>
          <w:szCs w:val="24"/>
        </w:rPr>
        <w:t xml:space="preserve"> pueden interaccionar eléctricamente con los grupos moleculares adsorbidos en la interfase. Para ser agentes emulsionantes, las partículas  sólidas deben ser más peq</w:t>
      </w:r>
      <w:r>
        <w:rPr>
          <w:szCs w:val="24"/>
        </w:rPr>
        <w:t xml:space="preserve">ueñas que las gotas </w:t>
      </w:r>
      <w:r w:rsidRPr="009F1E0E">
        <w:rPr>
          <w:szCs w:val="24"/>
        </w:rPr>
        <w:t>suspendidas (Tambe y Sharma, 1985).</w:t>
      </w:r>
    </w:p>
    <w:p w:rsidR="003A6929" w:rsidRPr="00665C33" w:rsidRDefault="00C8552B" w:rsidP="00665C33">
      <w:pPr>
        <w:pStyle w:val="Ttulo3"/>
        <w:spacing w:line="360" w:lineRule="auto"/>
        <w:rPr>
          <w:rFonts w:ascii="Times New Roman" w:eastAsia="Microsoft YaHei" w:hAnsi="Times New Roman" w:cs="Times New Roman"/>
          <w:color w:val="auto"/>
        </w:rPr>
      </w:pPr>
      <w:bookmarkStart w:id="75" w:name="_Toc327478014"/>
      <w:r>
        <w:rPr>
          <w:rFonts w:ascii="Times New Roman" w:eastAsia="Microsoft YaHei" w:hAnsi="Times New Roman" w:cs="Times New Roman"/>
          <w:color w:val="auto"/>
        </w:rPr>
        <w:t xml:space="preserve">2.5 </w:t>
      </w:r>
      <w:r w:rsidR="003A6929" w:rsidRPr="00665C33">
        <w:rPr>
          <w:rFonts w:ascii="Times New Roman" w:eastAsia="Microsoft YaHei" w:hAnsi="Times New Roman" w:cs="Times New Roman"/>
          <w:color w:val="auto"/>
        </w:rPr>
        <w:t>Fenómenos interfaciales que estabilizan o dificultan la desestabilización de una emulsión W/O</w:t>
      </w:r>
      <w:bookmarkEnd w:id="75"/>
      <w:r w:rsidR="003A6929" w:rsidRPr="00665C33">
        <w:rPr>
          <w:rFonts w:ascii="Times New Roman" w:eastAsia="Microsoft YaHei" w:hAnsi="Times New Roman" w:cs="Times New Roman"/>
          <w:color w:val="auto"/>
        </w:rPr>
        <w:t xml:space="preserve"> </w:t>
      </w:r>
    </w:p>
    <w:p w:rsidR="003A6929" w:rsidRPr="00A94D0B" w:rsidRDefault="003A6929" w:rsidP="00320110">
      <w:pPr>
        <w:autoSpaceDE w:val="0"/>
        <w:autoSpaceDN w:val="0"/>
        <w:adjustRightInd w:val="0"/>
        <w:spacing w:line="360" w:lineRule="auto"/>
        <w:jc w:val="both"/>
        <w:rPr>
          <w:rFonts w:eastAsia="Microsoft YaHei"/>
          <w:b/>
          <w:szCs w:val="24"/>
        </w:rPr>
      </w:pPr>
      <w:r w:rsidRPr="00A94D0B">
        <w:rPr>
          <w:szCs w:val="24"/>
        </w:rPr>
        <w:tab/>
        <w:t>Un fenómeno interfacial es un fenómeno que se produce en una interfase o cuya existencia está ligada a la presencia de una interfase</w:t>
      </w:r>
      <w:r>
        <w:rPr>
          <w:szCs w:val="24"/>
        </w:rPr>
        <w:t>;</w:t>
      </w:r>
      <w:r w:rsidRPr="00A94D0B">
        <w:rPr>
          <w:szCs w:val="24"/>
        </w:rPr>
        <w:t xml:space="preserve"> estos fenómenos le infieren a la interfase una carga eléctrica parcial que obstaculiza los procesos de desestabilización de emulsiones</w:t>
      </w:r>
      <w:r>
        <w:rPr>
          <w:szCs w:val="24"/>
        </w:rPr>
        <w:t xml:space="preserve"> (Salaguer, 2002)</w:t>
      </w:r>
      <w:r w:rsidRPr="00A94D0B">
        <w:rPr>
          <w:szCs w:val="24"/>
        </w:rPr>
        <w:t>.</w:t>
      </w:r>
      <w:r>
        <w:rPr>
          <w:szCs w:val="24"/>
        </w:rPr>
        <w:t xml:space="preserve"> Entre estos fenómenos se encuentran:</w:t>
      </w:r>
    </w:p>
    <w:p w:rsidR="003A6929" w:rsidRPr="00A94D0B" w:rsidRDefault="003A6929" w:rsidP="003A6929">
      <w:pPr>
        <w:spacing w:line="360" w:lineRule="auto"/>
        <w:jc w:val="both"/>
        <w:rPr>
          <w:rFonts w:eastAsia="Microsoft YaHei"/>
          <w:b/>
          <w:szCs w:val="24"/>
        </w:rPr>
      </w:pPr>
      <w:r w:rsidRPr="00A94D0B">
        <w:rPr>
          <w:rFonts w:eastAsia="Microsoft YaHei"/>
          <w:b/>
          <w:i/>
          <w:szCs w:val="24"/>
        </w:rPr>
        <w:tab/>
      </w:r>
      <w:r w:rsidRPr="00041E85">
        <w:rPr>
          <w:rFonts w:eastAsia="Microsoft YaHei"/>
          <w:b/>
          <w:szCs w:val="24"/>
        </w:rPr>
        <w:t>Doble capa eléctrica interfacial</w:t>
      </w:r>
      <w:r w:rsidR="00041E85">
        <w:rPr>
          <w:rFonts w:eastAsia="Microsoft YaHei"/>
          <w:b/>
          <w:szCs w:val="24"/>
        </w:rPr>
        <w:t>:</w:t>
      </w:r>
      <w:r>
        <w:rPr>
          <w:rFonts w:eastAsia="Microsoft YaHei"/>
          <w:b/>
          <w:i/>
          <w:szCs w:val="24"/>
        </w:rPr>
        <w:t xml:space="preserve"> </w:t>
      </w:r>
      <w:r w:rsidRPr="00A94D0B">
        <w:rPr>
          <w:rFonts w:eastAsia="Microsoft YaHei"/>
          <w:szCs w:val="24"/>
        </w:rPr>
        <w:t>La adsorción de ciertos surfactantes naturales a la interfase pueden deberse a fenómenos como la formación de una doble capa eléctrica interfacial</w:t>
      </w:r>
      <w:r>
        <w:rPr>
          <w:rFonts w:eastAsia="Microsoft YaHei"/>
          <w:szCs w:val="24"/>
        </w:rPr>
        <w:t xml:space="preserve"> </w:t>
      </w:r>
      <w:r w:rsidRPr="007A57DC">
        <w:rPr>
          <w:rFonts w:eastAsia="Microsoft YaHei"/>
          <w:szCs w:val="24"/>
        </w:rPr>
        <w:t>(Salaguer 2002).</w:t>
      </w:r>
      <w:r w:rsidRPr="00A94D0B">
        <w:rPr>
          <w:rFonts w:eastAsia="Microsoft YaHei"/>
          <w:b/>
          <w:szCs w:val="24"/>
        </w:rPr>
        <w:t xml:space="preserve">. </w:t>
      </w:r>
      <w:r w:rsidRPr="00A94D0B">
        <w:rPr>
          <w:szCs w:val="24"/>
        </w:rPr>
        <w:t>Cuando un sólido o un líquido apolar están en contacto con una solución acuosa de electrólito, se puede decir en forma general que la interfase líquido-líquido presenta un exceso de carga por unidad de área. Un exceso equivalente pero de signo contrario está ubicado en la fase acuosa a proximidad de la interfase. Ambas distribuciones de carga constituyen la llamada doble carga interfacial. La aparición de carga interfacial se debe a varios fenómenos que se describen a continuación:</w:t>
      </w:r>
    </w:p>
    <w:p w:rsidR="003A6929" w:rsidRPr="00A94D0B" w:rsidRDefault="003A6929" w:rsidP="003A6929">
      <w:pPr>
        <w:spacing w:line="360" w:lineRule="auto"/>
        <w:jc w:val="both"/>
        <w:rPr>
          <w:rFonts w:eastAsia="Microsoft YaHei"/>
          <w:szCs w:val="24"/>
        </w:rPr>
      </w:pPr>
      <w:r w:rsidRPr="00A94D0B">
        <w:rPr>
          <w:rFonts w:eastAsia="Microsoft YaHei"/>
          <w:b/>
          <w:szCs w:val="24"/>
        </w:rPr>
        <w:lastRenderedPageBreak/>
        <w:tab/>
        <w:t xml:space="preserve">- Superficies sólidas polares: </w:t>
      </w:r>
      <w:r>
        <w:rPr>
          <w:rFonts w:eastAsia="Microsoft YaHei"/>
          <w:szCs w:val="24"/>
        </w:rPr>
        <w:t>l</w:t>
      </w:r>
      <w:r w:rsidRPr="00A94D0B">
        <w:rPr>
          <w:rFonts w:eastAsia="Microsoft YaHei"/>
          <w:szCs w:val="24"/>
        </w:rPr>
        <w:t>a presencia de una interfase ‘‘rígida’’ atribuye una fuerte presencia de grupos asfalténicos y resínicos los cuales, en un estado de agregación específico, hacen las veces de un sólido adsorbido en la interfase. Estos compuestos, poseen abundantes grupos polares en su constitución. El movimiento de la fase continua alrededor de la interfase puede ocasionar el desprendimiento de iones o enlaces los cuales se producen sitios con cargas positivas o negativas. La adsorción de iones en la interfase modifica la densidad de carga en la superficie, adquiriendo esta una carga parcial específica</w:t>
      </w:r>
      <w:r>
        <w:rPr>
          <w:rFonts w:eastAsia="Microsoft YaHei"/>
          <w:szCs w:val="24"/>
        </w:rPr>
        <w:t xml:space="preserve"> </w:t>
      </w:r>
      <w:r w:rsidRPr="007A57DC">
        <w:rPr>
          <w:rFonts w:eastAsia="Microsoft YaHei"/>
          <w:szCs w:val="24"/>
        </w:rPr>
        <w:t>(Salaguer 2002).</w:t>
      </w:r>
    </w:p>
    <w:p w:rsidR="003A6929" w:rsidRDefault="003A6929" w:rsidP="003A6929">
      <w:pPr>
        <w:autoSpaceDE w:val="0"/>
        <w:autoSpaceDN w:val="0"/>
        <w:adjustRightInd w:val="0"/>
        <w:spacing w:line="360" w:lineRule="auto"/>
        <w:jc w:val="both"/>
        <w:rPr>
          <w:szCs w:val="24"/>
        </w:rPr>
      </w:pPr>
      <w:r w:rsidRPr="00A94D0B">
        <w:rPr>
          <w:b/>
          <w:bCs/>
          <w:szCs w:val="24"/>
        </w:rPr>
        <w:tab/>
        <w:t xml:space="preserve">- Carga producida por iones en una interfase líquido-líquido: </w:t>
      </w:r>
      <w:r>
        <w:rPr>
          <w:szCs w:val="24"/>
        </w:rPr>
        <w:t>c</w:t>
      </w:r>
      <w:r w:rsidRPr="00A94D0B">
        <w:rPr>
          <w:szCs w:val="24"/>
        </w:rPr>
        <w:t>iertos líquidos apolares pueden contener sustancias susceptibles de ionizarse a la interfase. Por ejemplo</w:t>
      </w:r>
      <w:r>
        <w:rPr>
          <w:szCs w:val="24"/>
        </w:rPr>
        <w:t>,</w:t>
      </w:r>
      <w:r w:rsidRPr="00A94D0B">
        <w:rPr>
          <w:szCs w:val="24"/>
        </w:rPr>
        <w:t xml:space="preserve"> un aceite vegetal o un crudo contiene a menudo una cierta concentración de ácidos carboxílicos, los cuales pueden ionizarse:</w:t>
      </w:r>
    </w:p>
    <w:p w:rsidR="003A6929" w:rsidRPr="00A94D0B" w:rsidRDefault="00A73CD2" w:rsidP="003A6929">
      <w:pPr>
        <w:autoSpaceDE w:val="0"/>
        <w:autoSpaceDN w:val="0"/>
        <w:adjustRightInd w:val="0"/>
        <w:spacing w:line="360" w:lineRule="auto"/>
        <w:jc w:val="center"/>
        <w:rPr>
          <w:szCs w:val="24"/>
        </w:rPr>
      </w:pPr>
      <w:r>
        <w:rPr>
          <w:noProof/>
          <w:szCs w:val="24"/>
          <w:lang w:val="en-US"/>
        </w:rPr>
        <w:pict>
          <v:shape id="_x0000_s1360" type="#_x0000_t32" style="position:absolute;left:0;text-align:left;margin-left:179.85pt;margin-top:6.35pt;width:34.45pt;height:0;z-index:251758080" o:connectortype="straight">
            <v:stroke endarrow="block"/>
          </v:shape>
        </w:pict>
      </w:r>
      <w:r w:rsidR="003A6929" w:rsidRPr="00A94D0B">
        <w:rPr>
          <w:szCs w:val="24"/>
        </w:rPr>
        <w:t>RCOOH                 RCOO</w:t>
      </w:r>
      <w:r w:rsidR="003A6929" w:rsidRPr="00A94D0B">
        <w:rPr>
          <w:szCs w:val="24"/>
          <w:vertAlign w:val="superscript"/>
        </w:rPr>
        <w:t>-</w:t>
      </w:r>
      <w:r w:rsidR="003A6929" w:rsidRPr="00A94D0B">
        <w:rPr>
          <w:szCs w:val="24"/>
        </w:rPr>
        <w:t xml:space="preserve"> + H</w:t>
      </w:r>
      <w:r w:rsidR="003A6929" w:rsidRPr="00A94D0B">
        <w:rPr>
          <w:szCs w:val="24"/>
          <w:vertAlign w:val="superscript"/>
        </w:rPr>
        <w:t>+</w:t>
      </w:r>
    </w:p>
    <w:p w:rsidR="003A6929" w:rsidRPr="00A94D0B" w:rsidRDefault="003A6929" w:rsidP="003A6929">
      <w:pPr>
        <w:autoSpaceDE w:val="0"/>
        <w:autoSpaceDN w:val="0"/>
        <w:adjustRightInd w:val="0"/>
        <w:spacing w:line="360" w:lineRule="auto"/>
        <w:jc w:val="both"/>
        <w:rPr>
          <w:rFonts w:eastAsia="Microsoft YaHei"/>
          <w:b/>
          <w:szCs w:val="24"/>
        </w:rPr>
      </w:pPr>
      <w:r w:rsidRPr="00A94D0B">
        <w:rPr>
          <w:szCs w:val="24"/>
        </w:rPr>
        <w:tab/>
        <w:t xml:space="preserve">El grupo carboxílico permanece en la superficie (en la capa fija de la interfase) mientras que el protón pasa a la fase agua (en la capa difusa). La carga superficial puede también deberse a la adsorción en la interfase de iones inicialmente presentes en la fase acuosa. Estos pueden ser iones de tipo surfactante, pero también </w:t>
      </w:r>
      <w:r w:rsidRPr="007A57DC">
        <w:rPr>
          <w:szCs w:val="24"/>
        </w:rPr>
        <w:t xml:space="preserve">aniones o cationes inorgánicos </w:t>
      </w:r>
      <w:r w:rsidRPr="007A57DC">
        <w:rPr>
          <w:rFonts w:eastAsia="Microsoft YaHei"/>
          <w:szCs w:val="24"/>
        </w:rPr>
        <w:t>(Salaguer 2002).</w:t>
      </w:r>
    </w:p>
    <w:p w:rsidR="003A6929" w:rsidRPr="00A94D0B" w:rsidRDefault="003A6929" w:rsidP="003A6929">
      <w:pPr>
        <w:autoSpaceDE w:val="0"/>
        <w:autoSpaceDN w:val="0"/>
        <w:adjustRightInd w:val="0"/>
        <w:spacing w:line="360" w:lineRule="auto"/>
        <w:jc w:val="both"/>
        <w:rPr>
          <w:rFonts w:eastAsia="Microsoft YaHei"/>
          <w:b/>
          <w:szCs w:val="24"/>
        </w:rPr>
      </w:pPr>
      <w:r w:rsidRPr="00A94D0B">
        <w:rPr>
          <w:b/>
          <w:bCs/>
          <w:szCs w:val="24"/>
        </w:rPr>
        <w:tab/>
        <w:t xml:space="preserve">- Cargas producidas por otros fenómenos: </w:t>
      </w:r>
      <w:r>
        <w:rPr>
          <w:szCs w:val="24"/>
        </w:rPr>
        <w:t>l</w:t>
      </w:r>
      <w:r w:rsidRPr="00A94D0B">
        <w:rPr>
          <w:szCs w:val="24"/>
        </w:rPr>
        <w:t>a presencia de ciertas moléculas dipolares puede modificar el ambiente eléctrico cerca de la interfase, y modificar la distribución iónica en la fase acuosa. Este fenómeno depende de la agitación mecánica y de la agitación térmica de la emulsión y recibe el nombre de potencial de flujo e</w:t>
      </w:r>
      <w:r>
        <w:rPr>
          <w:szCs w:val="24"/>
        </w:rPr>
        <w:t>l</w:t>
      </w:r>
      <w:r w:rsidRPr="00A94D0B">
        <w:rPr>
          <w:szCs w:val="24"/>
        </w:rPr>
        <w:t xml:space="preserve"> cual se explicará más adelante</w:t>
      </w:r>
      <w:r>
        <w:rPr>
          <w:szCs w:val="24"/>
        </w:rPr>
        <w:t xml:space="preserve"> (Salaguer 2002)</w:t>
      </w:r>
      <w:r w:rsidRPr="00A94D0B">
        <w:rPr>
          <w:szCs w:val="24"/>
        </w:rPr>
        <w:t>.</w:t>
      </w:r>
    </w:p>
    <w:p w:rsidR="003A6929" w:rsidRPr="00A94D0B" w:rsidRDefault="003A6929" w:rsidP="00320110">
      <w:pPr>
        <w:spacing w:after="240" w:line="360" w:lineRule="auto"/>
        <w:jc w:val="both"/>
        <w:rPr>
          <w:rFonts w:eastAsia="Microsoft YaHei"/>
          <w:szCs w:val="24"/>
        </w:rPr>
      </w:pPr>
      <w:r w:rsidRPr="00A94D0B">
        <w:rPr>
          <w:rFonts w:eastAsia="Microsoft YaHei"/>
          <w:szCs w:val="24"/>
        </w:rPr>
        <w:tab/>
        <w:t xml:space="preserve">Estos fenómenos pueden depender del movimiento de la emulsión. En función a esto se han clasificado como fenómenos interfaciales </w:t>
      </w:r>
      <w:r>
        <w:rPr>
          <w:rFonts w:eastAsia="Microsoft YaHei"/>
          <w:szCs w:val="24"/>
        </w:rPr>
        <w:t xml:space="preserve">estáticos </w:t>
      </w:r>
      <w:r w:rsidRPr="00A94D0B">
        <w:rPr>
          <w:rFonts w:eastAsia="Microsoft YaHei"/>
          <w:szCs w:val="24"/>
        </w:rPr>
        <w:t>y dinámicos</w:t>
      </w:r>
      <w:r>
        <w:rPr>
          <w:rFonts w:eastAsia="Microsoft YaHei"/>
          <w:szCs w:val="24"/>
        </w:rPr>
        <w:t xml:space="preserve"> (Salaguer, 2002)</w:t>
      </w:r>
      <w:r w:rsidRPr="00A94D0B">
        <w:rPr>
          <w:rFonts w:eastAsia="Microsoft YaHei"/>
          <w:szCs w:val="24"/>
        </w:rPr>
        <w:t>.</w:t>
      </w:r>
    </w:p>
    <w:p w:rsidR="003B0AD3" w:rsidRDefault="003B0AD3" w:rsidP="003B0AD3">
      <w:pPr>
        <w:spacing w:line="360" w:lineRule="auto"/>
        <w:jc w:val="both"/>
        <w:rPr>
          <w:rFonts w:eastAsia="Microsoft YaHei"/>
          <w:b/>
        </w:rPr>
      </w:pPr>
    </w:p>
    <w:p w:rsidR="003B0AD3" w:rsidRDefault="003B0AD3" w:rsidP="003B0AD3">
      <w:pPr>
        <w:spacing w:line="360" w:lineRule="auto"/>
        <w:jc w:val="both"/>
        <w:rPr>
          <w:rFonts w:eastAsia="Microsoft YaHei"/>
          <w:b/>
        </w:rPr>
      </w:pPr>
    </w:p>
    <w:p w:rsidR="003B0AD3" w:rsidRDefault="003B0AD3" w:rsidP="003B0AD3">
      <w:pPr>
        <w:spacing w:line="360" w:lineRule="auto"/>
        <w:jc w:val="both"/>
        <w:rPr>
          <w:rFonts w:eastAsia="Microsoft YaHei"/>
          <w:b/>
        </w:rPr>
      </w:pPr>
    </w:p>
    <w:p w:rsidR="003A6929" w:rsidRPr="003B0AD3" w:rsidRDefault="00C8552B" w:rsidP="003B0AD3">
      <w:pPr>
        <w:spacing w:line="360" w:lineRule="auto"/>
        <w:jc w:val="both"/>
        <w:rPr>
          <w:b/>
        </w:rPr>
      </w:pPr>
      <w:r w:rsidRPr="003B0AD3">
        <w:rPr>
          <w:rFonts w:eastAsia="Microsoft YaHei"/>
          <w:b/>
        </w:rPr>
        <w:lastRenderedPageBreak/>
        <w:t xml:space="preserve">2.5.1 </w:t>
      </w:r>
      <w:r w:rsidR="003A6929" w:rsidRPr="003B0AD3">
        <w:rPr>
          <w:rFonts w:eastAsia="Microsoft YaHei"/>
          <w:b/>
        </w:rPr>
        <w:t xml:space="preserve">Fenómenos interfaciales estáticos </w:t>
      </w:r>
    </w:p>
    <w:p w:rsidR="003A6929" w:rsidRPr="00E77340" w:rsidRDefault="003A6929" w:rsidP="00320110">
      <w:pPr>
        <w:spacing w:line="360" w:lineRule="auto"/>
        <w:jc w:val="both"/>
        <w:rPr>
          <w:rFonts w:eastAsia="Microsoft YaHei"/>
          <w:szCs w:val="24"/>
        </w:rPr>
      </w:pPr>
      <w:r w:rsidRPr="00A94D0B">
        <w:rPr>
          <w:rFonts w:eastAsia="Microsoft YaHei"/>
          <w:b/>
          <w:i/>
          <w:szCs w:val="24"/>
        </w:rPr>
        <w:tab/>
      </w:r>
      <w:r w:rsidRPr="00C8552B">
        <w:rPr>
          <w:rFonts w:eastAsia="Microsoft YaHei"/>
          <w:b/>
          <w:szCs w:val="24"/>
        </w:rPr>
        <w:t>Repulsión entre partículas:</w:t>
      </w:r>
      <w:r>
        <w:rPr>
          <w:rFonts w:eastAsia="Microsoft YaHei"/>
          <w:szCs w:val="24"/>
        </w:rPr>
        <w:t xml:space="preserve"> estas repulsiones pueden ser debido a la carga superficial o al tamaño de las moléculas adsorbidas en la superficie. Las mismas se explican a continuación.</w:t>
      </w:r>
    </w:p>
    <w:p w:rsidR="003A6929" w:rsidRPr="00A94D0B" w:rsidRDefault="003A6929" w:rsidP="003A6929">
      <w:pPr>
        <w:spacing w:line="360" w:lineRule="auto"/>
        <w:jc w:val="both"/>
        <w:rPr>
          <w:szCs w:val="24"/>
        </w:rPr>
      </w:pPr>
      <w:r w:rsidRPr="00A94D0B">
        <w:rPr>
          <w:rFonts w:eastAsia="Microsoft YaHei"/>
          <w:b/>
          <w:szCs w:val="24"/>
        </w:rPr>
        <w:tab/>
        <w:t xml:space="preserve">- Repulsión electrostática: </w:t>
      </w:r>
      <w:r w:rsidRPr="00A94D0B">
        <w:rPr>
          <w:szCs w:val="24"/>
        </w:rPr>
        <w:t>Las cargas eléctricas asociadas con el grupo polar de los distintos agentes emulsionantes están por lo general fijas en la interfase, mientras que los contraiones se encuentran orientados a la fase a</w:t>
      </w:r>
      <w:r>
        <w:rPr>
          <w:szCs w:val="24"/>
        </w:rPr>
        <w:t>cuosa</w:t>
      </w:r>
      <w:r w:rsidRPr="00A94D0B">
        <w:rPr>
          <w:szCs w:val="24"/>
        </w:rPr>
        <w:t>, distribuidos en lo que se llama la capa difusa de la doble capa eléctrica. El resultado de esta situación es la formación de un potencial que decrece exponencialmente con la distancia. La fuerza de repulsión eléctrica no es más que lo indicado por la ley de Coulomb, a saber una fuerza inversamente proporcional al cuadrado de la distancia entra las cargas.</w:t>
      </w:r>
    </w:p>
    <w:p w:rsidR="003A6929" w:rsidRPr="00A94D0B" w:rsidRDefault="003A6929" w:rsidP="00320110">
      <w:pPr>
        <w:autoSpaceDE w:val="0"/>
        <w:autoSpaceDN w:val="0"/>
        <w:adjustRightInd w:val="0"/>
        <w:spacing w:after="240" w:line="360" w:lineRule="auto"/>
        <w:jc w:val="both"/>
        <w:rPr>
          <w:szCs w:val="24"/>
        </w:rPr>
      </w:pPr>
      <w:r w:rsidRPr="00A94D0B">
        <w:rPr>
          <w:b/>
          <w:szCs w:val="24"/>
        </w:rPr>
        <w:tab/>
        <w:t xml:space="preserve">- Repulsión estérica: </w:t>
      </w:r>
      <w:r w:rsidRPr="00A94D0B">
        <w:rPr>
          <w:szCs w:val="24"/>
        </w:rPr>
        <w:t>El término de r</w:t>
      </w:r>
      <w:r w:rsidRPr="00A94D0B">
        <w:rPr>
          <w:bCs/>
          <w:szCs w:val="24"/>
        </w:rPr>
        <w:t>epulsión estérica proviene</w:t>
      </w:r>
      <w:r w:rsidRPr="00A94D0B">
        <w:rPr>
          <w:b/>
          <w:bCs/>
          <w:szCs w:val="24"/>
        </w:rPr>
        <w:t xml:space="preserve"> </w:t>
      </w:r>
      <w:r w:rsidRPr="00A94D0B">
        <w:rPr>
          <w:szCs w:val="24"/>
        </w:rPr>
        <w:t>de la raíz "estéreo" que está asociada con la idea de volumen de espacio. Como consecuencia de la cercanía de dos gotas (dos interfaces) los "brazos" de las moléculas adsorbidas en las interfases vecinas empiezan a interactuar, "a tocarse".</w:t>
      </w:r>
      <w:r>
        <w:rPr>
          <w:szCs w:val="24"/>
        </w:rPr>
        <w:t xml:space="preserve"> </w:t>
      </w:r>
      <w:r w:rsidRPr="00A94D0B">
        <w:rPr>
          <w:szCs w:val="24"/>
        </w:rPr>
        <w:t>Esta teoría considera que cuando se acercan dos interfases, la fuerza resultante es la combinación de las fuerzas atractivas de Van der Waals y de la fuerza de repulsión eléctrica. Además existe la fuerza repulsiva de contacto, es decir</w:t>
      </w:r>
      <w:r>
        <w:rPr>
          <w:szCs w:val="24"/>
        </w:rPr>
        <w:t>,</w:t>
      </w:r>
      <w:r w:rsidRPr="00A94D0B">
        <w:rPr>
          <w:szCs w:val="24"/>
        </w:rPr>
        <w:t xml:space="preserve"> aquella que se produce cuando la distancia es esencialmente cero. Es importante recordar que las di</w:t>
      </w:r>
      <w:r>
        <w:rPr>
          <w:szCs w:val="24"/>
        </w:rPr>
        <w:t>versa</w:t>
      </w:r>
      <w:r w:rsidRPr="00A94D0B">
        <w:rPr>
          <w:szCs w:val="24"/>
        </w:rPr>
        <w:t>s fuerzas varían en forma muy diferente con la distancia entre las interfases. Por lo tanto</w:t>
      </w:r>
      <w:r>
        <w:rPr>
          <w:szCs w:val="24"/>
        </w:rPr>
        <w:t>,</w:t>
      </w:r>
      <w:r w:rsidRPr="00A94D0B">
        <w:rPr>
          <w:szCs w:val="24"/>
        </w:rPr>
        <w:t xml:space="preserve"> es probable que cada fuerza tenga oportunidad de dominar en cierta zona. Por ejemplo</w:t>
      </w:r>
      <w:r>
        <w:rPr>
          <w:szCs w:val="24"/>
        </w:rPr>
        <w:t>,</w:t>
      </w:r>
      <w:r w:rsidRPr="00A94D0B">
        <w:rPr>
          <w:szCs w:val="24"/>
        </w:rPr>
        <w:t xml:space="preserve"> a distancia muy corta (esencialmente al contacto) es la fuerza repulsiva de compresibilidad la que domina. A distancia muy larga es probablemente la fuerza atractiva de Van der Waals la que lo haga.</w:t>
      </w:r>
    </w:p>
    <w:p w:rsidR="003A6929" w:rsidRPr="003B0AD3" w:rsidRDefault="00C8552B" w:rsidP="003B0AD3">
      <w:pPr>
        <w:spacing w:line="360" w:lineRule="auto"/>
        <w:jc w:val="both"/>
        <w:rPr>
          <w:rFonts w:eastAsia="Microsoft YaHei"/>
          <w:b/>
        </w:rPr>
      </w:pPr>
      <w:r w:rsidRPr="003B0AD3">
        <w:rPr>
          <w:rFonts w:eastAsia="Microsoft YaHei"/>
          <w:b/>
        </w:rPr>
        <w:t>2.5.2</w:t>
      </w:r>
      <w:r w:rsidR="003B0AD3">
        <w:rPr>
          <w:rFonts w:eastAsia="Microsoft YaHei"/>
          <w:b/>
        </w:rPr>
        <w:t xml:space="preserve"> </w:t>
      </w:r>
      <w:r w:rsidR="003A6929" w:rsidRPr="003B0AD3">
        <w:rPr>
          <w:rFonts w:eastAsia="Microsoft YaHei"/>
          <w:b/>
        </w:rPr>
        <w:t>Fenómenos interfaciales dinámicos</w:t>
      </w:r>
    </w:p>
    <w:p w:rsidR="003A6929" w:rsidRPr="00A94D0B" w:rsidRDefault="003A6929" w:rsidP="00320110">
      <w:pPr>
        <w:autoSpaceDE w:val="0"/>
        <w:autoSpaceDN w:val="0"/>
        <w:adjustRightInd w:val="0"/>
        <w:spacing w:line="360" w:lineRule="auto"/>
        <w:jc w:val="both"/>
        <w:rPr>
          <w:color w:val="000000"/>
          <w:szCs w:val="24"/>
        </w:rPr>
      </w:pPr>
      <w:r w:rsidRPr="00A94D0B">
        <w:rPr>
          <w:color w:val="000000"/>
          <w:szCs w:val="24"/>
        </w:rPr>
        <w:tab/>
        <w:t xml:space="preserve">Cuando se desplaza un fluido en la vecindad de una interfase, se puede producir un arrastre de materia susceptible de modificar las condiciones físico-químicas cerca de la interfase o en la interfase misma, mediante los fenómenos de </w:t>
      </w:r>
      <w:r w:rsidRPr="00A94D0B">
        <w:rPr>
          <w:color w:val="000000"/>
          <w:szCs w:val="24"/>
        </w:rPr>
        <w:lastRenderedPageBreak/>
        <w:t>transporte. En consecuencia se puede producir en la interfase o en el fluido vecino, un gradiente de potencial (presión, tensión interfacial, potencial eléctrico), que en general tiende a oponerse al movimiento que lo origino (ley de Lenz)</w:t>
      </w:r>
      <w:r>
        <w:rPr>
          <w:color w:val="000000"/>
          <w:szCs w:val="24"/>
        </w:rPr>
        <w:t xml:space="preserve"> </w:t>
      </w:r>
      <w:r w:rsidRPr="007A57DC">
        <w:rPr>
          <w:rFonts w:eastAsia="Microsoft YaHei"/>
          <w:szCs w:val="24"/>
        </w:rPr>
        <w:t>(Salaguer 2002).</w:t>
      </w:r>
    </w:p>
    <w:p w:rsidR="003A6929" w:rsidRPr="00A94D0B" w:rsidRDefault="003A6929" w:rsidP="00320110">
      <w:pPr>
        <w:autoSpaceDE w:val="0"/>
        <w:autoSpaceDN w:val="0"/>
        <w:adjustRightInd w:val="0"/>
        <w:spacing w:line="360" w:lineRule="auto"/>
        <w:jc w:val="both"/>
        <w:rPr>
          <w:color w:val="000000"/>
          <w:szCs w:val="24"/>
        </w:rPr>
      </w:pPr>
      <w:r w:rsidRPr="00A94D0B">
        <w:rPr>
          <w:color w:val="000000"/>
          <w:szCs w:val="24"/>
        </w:rPr>
        <w:tab/>
        <w:t xml:space="preserve">Cuando se acercan dos fragmentos de materias separados por una película de fase continua, dicha película </w:t>
      </w:r>
      <w:r>
        <w:rPr>
          <w:color w:val="000000"/>
          <w:szCs w:val="24"/>
        </w:rPr>
        <w:t>ser</w:t>
      </w:r>
      <w:r w:rsidRPr="00A94D0B">
        <w:rPr>
          <w:color w:val="000000"/>
          <w:szCs w:val="24"/>
        </w:rPr>
        <w:t xml:space="preserve">á expulsada del espacio entre los fragmentos en un movimiento lateral (tangencial respecto a las interfases) llamado </w:t>
      </w:r>
      <w:r w:rsidRPr="00A94D0B">
        <w:rPr>
          <w:bCs/>
          <w:color w:val="000000"/>
          <w:szCs w:val="24"/>
        </w:rPr>
        <w:t>drenaje</w:t>
      </w:r>
      <w:r w:rsidRPr="00A94D0B">
        <w:rPr>
          <w:color w:val="000000"/>
          <w:szCs w:val="24"/>
        </w:rPr>
        <w:t>. Este drenaje puede resultar en fenómenos de transporte diversos que afecten las interfases y la película. A continuación se definen los más importantes:</w:t>
      </w:r>
    </w:p>
    <w:p w:rsidR="003A6929" w:rsidRPr="00A94D0B" w:rsidRDefault="003A6929" w:rsidP="003A6929">
      <w:pPr>
        <w:autoSpaceDE w:val="0"/>
        <w:autoSpaceDN w:val="0"/>
        <w:adjustRightInd w:val="0"/>
        <w:spacing w:line="360" w:lineRule="auto"/>
        <w:jc w:val="both"/>
        <w:rPr>
          <w:szCs w:val="24"/>
        </w:rPr>
      </w:pPr>
      <w:r w:rsidRPr="00A94D0B">
        <w:rPr>
          <w:b/>
          <w:color w:val="000000"/>
          <w:szCs w:val="24"/>
        </w:rPr>
        <w:tab/>
        <w:t xml:space="preserve">- Potencial de flujo: </w:t>
      </w:r>
      <w:r w:rsidRPr="00A94D0B">
        <w:rPr>
          <w:szCs w:val="24"/>
        </w:rPr>
        <w:t xml:space="preserve">Cuando el fluido cercano a una interfase se desplaza paralelamente a esta interfase produce una deslocalización de cargas eléctricas que resulta en un campo eléctrico </w:t>
      </w:r>
      <w:r w:rsidRPr="00A94D0B">
        <w:rPr>
          <w:b/>
          <w:bCs/>
          <w:szCs w:val="24"/>
        </w:rPr>
        <w:t>E</w:t>
      </w:r>
      <w:r w:rsidRPr="00A94D0B">
        <w:rPr>
          <w:szCs w:val="24"/>
        </w:rPr>
        <w:t>, cuyo efecto es oponerse al desplazamiento de los iones y el fluido que los solvata</w:t>
      </w:r>
      <w:r>
        <w:rPr>
          <w:szCs w:val="24"/>
        </w:rPr>
        <w:t xml:space="preserve"> </w:t>
      </w:r>
      <w:r w:rsidRPr="007A57DC">
        <w:rPr>
          <w:rFonts w:eastAsia="Microsoft YaHei"/>
          <w:szCs w:val="24"/>
        </w:rPr>
        <w:t>(Salaguer 2002).</w:t>
      </w:r>
      <w:r>
        <w:rPr>
          <w:szCs w:val="24"/>
        </w:rPr>
        <w:t xml:space="preserve"> </w:t>
      </w:r>
      <w:r w:rsidRPr="00A94D0B">
        <w:rPr>
          <w:szCs w:val="24"/>
        </w:rPr>
        <w:t>Como consecuencia del potencial de flujo, el drenaje del fluido de la película situada entre dos partículas, gotas o burbujas que se acercan, está retardado, y todo pasa como si el fluido fuera más viscoso. Por tal razón</w:t>
      </w:r>
      <w:r>
        <w:rPr>
          <w:szCs w:val="24"/>
        </w:rPr>
        <w:t>,</w:t>
      </w:r>
      <w:r w:rsidRPr="00A94D0B">
        <w:rPr>
          <w:szCs w:val="24"/>
        </w:rPr>
        <w:t xml:space="preserve"> se denomina a veces este fenómeno como el efecto electroviscoso.</w:t>
      </w:r>
      <w:r>
        <w:rPr>
          <w:szCs w:val="24"/>
        </w:rPr>
        <w:t xml:space="preserve"> </w:t>
      </w:r>
      <w:r w:rsidRPr="00A94D0B">
        <w:rPr>
          <w:szCs w:val="24"/>
        </w:rPr>
        <w:t>Este efecto cobra importancia cuando el espesor de la doble capa eléctrica se torna apreciable</w:t>
      </w:r>
      <w:r>
        <w:rPr>
          <w:szCs w:val="24"/>
        </w:rPr>
        <w:t>,</w:t>
      </w:r>
      <w:r w:rsidRPr="00A94D0B">
        <w:rPr>
          <w:szCs w:val="24"/>
        </w:rPr>
        <w:t xml:space="preserve"> respecto al espesor de la película drenada.</w:t>
      </w:r>
    </w:p>
    <w:p w:rsidR="003A6929" w:rsidRPr="00A94D0B" w:rsidRDefault="003A6929" w:rsidP="00320110">
      <w:pPr>
        <w:autoSpaceDE w:val="0"/>
        <w:autoSpaceDN w:val="0"/>
        <w:adjustRightInd w:val="0"/>
        <w:spacing w:after="240" w:line="360" w:lineRule="auto"/>
        <w:jc w:val="both"/>
        <w:rPr>
          <w:szCs w:val="24"/>
        </w:rPr>
      </w:pPr>
      <w:r w:rsidRPr="00A94D0B">
        <w:rPr>
          <w:b/>
          <w:bCs/>
          <w:szCs w:val="24"/>
        </w:rPr>
        <w:tab/>
        <w:t xml:space="preserve">- Viscosidad interfacial: </w:t>
      </w:r>
      <w:r w:rsidRPr="00A94D0B">
        <w:rPr>
          <w:szCs w:val="24"/>
        </w:rPr>
        <w:t xml:space="preserve">La viscosidad interfacial es el equivalente bidimensional de la viscosidad común y corriente. Se debe al hecho de que </w:t>
      </w:r>
      <w:r>
        <w:rPr>
          <w:szCs w:val="24"/>
        </w:rPr>
        <w:t xml:space="preserve">en </w:t>
      </w:r>
      <w:r w:rsidRPr="00A94D0B">
        <w:rPr>
          <w:szCs w:val="24"/>
        </w:rPr>
        <w:t xml:space="preserve">ciertas situaciones las moléculas adsorbidas en la interfase presentan interacciones laterales entre sí. Cuando se desplaza una de estas moléculas, se produce un esfuerzo que tiende a desplazar </w:t>
      </w:r>
      <w:r>
        <w:rPr>
          <w:szCs w:val="24"/>
        </w:rPr>
        <w:t xml:space="preserve">a </w:t>
      </w:r>
      <w:r w:rsidRPr="00A94D0B">
        <w:rPr>
          <w:szCs w:val="24"/>
        </w:rPr>
        <w:t>sus vecinas por "arrastre". Al desplazar el fluido cercano a la interfase, se someten las moléculas adsorbidas a un esfuerzo cuyo resultado final puede ser el movimiento de la interfase (fluido-fluido). Si la interfase presenta una alta viscosidad interfacial, por ejemplo como una película casi rígida, entonces se resiste al desplazamiento. En la práctica</w:t>
      </w:r>
      <w:r>
        <w:rPr>
          <w:szCs w:val="24"/>
        </w:rPr>
        <w:t>,</w:t>
      </w:r>
      <w:r w:rsidRPr="00A94D0B">
        <w:rPr>
          <w:szCs w:val="24"/>
        </w:rPr>
        <w:t xml:space="preserve"> es sumamente difícil medir esta propiedad porque no se puede medir el efecto de la viscosidad interfacial sin medir también el efecto de la viscosidad del fluido que se encuentra entre el elemento impulsor y la interfase</w:t>
      </w:r>
      <w:r>
        <w:rPr>
          <w:szCs w:val="24"/>
        </w:rPr>
        <w:t xml:space="preserve"> </w:t>
      </w:r>
      <w:r w:rsidRPr="007A57DC">
        <w:rPr>
          <w:rFonts w:eastAsia="Microsoft YaHei"/>
          <w:szCs w:val="24"/>
        </w:rPr>
        <w:t>(Salaguer 2002).</w:t>
      </w:r>
      <w:r w:rsidRPr="00A94D0B">
        <w:rPr>
          <w:szCs w:val="24"/>
        </w:rPr>
        <w:t xml:space="preserve"> </w:t>
      </w:r>
    </w:p>
    <w:p w:rsidR="003A6929" w:rsidRPr="007B2232" w:rsidRDefault="00C8552B" w:rsidP="007B2232">
      <w:pPr>
        <w:pStyle w:val="Ttulo3"/>
        <w:spacing w:line="360" w:lineRule="auto"/>
        <w:rPr>
          <w:rFonts w:ascii="Times New Roman" w:eastAsia="Microsoft YaHei" w:hAnsi="Times New Roman" w:cs="Times New Roman"/>
          <w:color w:val="auto"/>
          <w:szCs w:val="24"/>
        </w:rPr>
      </w:pPr>
      <w:bookmarkStart w:id="76" w:name="_Toc327478015"/>
      <w:r>
        <w:rPr>
          <w:rFonts w:ascii="Times New Roman" w:eastAsia="Microsoft YaHei" w:hAnsi="Times New Roman" w:cs="Times New Roman"/>
          <w:color w:val="auto"/>
          <w:szCs w:val="24"/>
        </w:rPr>
        <w:lastRenderedPageBreak/>
        <w:t xml:space="preserve">2.6 </w:t>
      </w:r>
      <w:r w:rsidR="003A6929" w:rsidRPr="007B2232">
        <w:rPr>
          <w:rFonts w:ascii="Times New Roman" w:eastAsia="Microsoft YaHei" w:hAnsi="Times New Roman" w:cs="Times New Roman"/>
          <w:color w:val="auto"/>
          <w:szCs w:val="24"/>
        </w:rPr>
        <w:t>Separación electrostática</w:t>
      </w:r>
      <w:bookmarkEnd w:id="76"/>
    </w:p>
    <w:p w:rsidR="003A6929" w:rsidRDefault="003A6929" w:rsidP="00320110">
      <w:pPr>
        <w:autoSpaceDE w:val="0"/>
        <w:autoSpaceDN w:val="0"/>
        <w:adjustRightInd w:val="0"/>
        <w:spacing w:line="360" w:lineRule="auto"/>
        <w:jc w:val="both"/>
        <w:rPr>
          <w:szCs w:val="24"/>
        </w:rPr>
      </w:pPr>
      <w:r w:rsidRPr="00A94D0B">
        <w:rPr>
          <w:rFonts w:eastAsia="Microsoft YaHei"/>
          <w:szCs w:val="24"/>
        </w:rPr>
        <w:tab/>
        <w:t xml:space="preserve">La separación electrostática ha sido utilizada por la industria petrolera mundial para la deshidratación del crudo, aplicando un campo eléctrico al flujo de </w:t>
      </w:r>
      <w:r w:rsidRPr="002218F0">
        <w:rPr>
          <w:rFonts w:eastAsia="Microsoft YaHei"/>
          <w:szCs w:val="24"/>
        </w:rPr>
        <w:t xml:space="preserve">emulsión para promover la floculación y eventualmente la coalescencia </w:t>
      </w:r>
      <w:r w:rsidRPr="002218F0">
        <w:rPr>
          <w:szCs w:val="24"/>
        </w:rPr>
        <w:t>(Chen,  Mohammeda, Bailey, Luckhama,  Taylor, 1993). Para el tratamiento eléctrico se utilizan equipos denominados deshidratadores electrostáticos. Estos equipos generalmente tienen características similares a los equipos de separación mecánica presurizados, añadiendo a éstos el sistema de electrodos y de generación de alto voltaje (</w:t>
      </w:r>
      <w:r w:rsidR="003E7EDD">
        <w:rPr>
          <w:szCs w:val="24"/>
        </w:rPr>
        <w:t>figura</w:t>
      </w:r>
      <w:r w:rsidRPr="002218F0">
        <w:rPr>
          <w:szCs w:val="24"/>
        </w:rPr>
        <w:t xml:space="preserve"> Nº </w:t>
      </w:r>
      <w:r w:rsidR="003E7EDD">
        <w:rPr>
          <w:szCs w:val="24"/>
        </w:rPr>
        <w:t>15</w:t>
      </w:r>
      <w:r w:rsidRPr="002218F0">
        <w:rPr>
          <w:szCs w:val="24"/>
        </w:rPr>
        <w:t>)</w:t>
      </w:r>
      <w:r w:rsidR="003E7EDD">
        <w:rPr>
          <w:szCs w:val="24"/>
        </w:rPr>
        <w:t>:</w:t>
      </w:r>
    </w:p>
    <w:p w:rsidR="00320110" w:rsidRPr="00A94D0B" w:rsidRDefault="00320110" w:rsidP="00320110">
      <w:pPr>
        <w:autoSpaceDE w:val="0"/>
        <w:autoSpaceDN w:val="0"/>
        <w:adjustRightInd w:val="0"/>
        <w:spacing w:line="360" w:lineRule="auto"/>
        <w:jc w:val="both"/>
        <w:rPr>
          <w:i/>
          <w:szCs w:val="24"/>
        </w:rPr>
      </w:pPr>
    </w:p>
    <w:p w:rsidR="003A6929" w:rsidRDefault="003A6929" w:rsidP="003A6929">
      <w:pPr>
        <w:autoSpaceDE w:val="0"/>
        <w:autoSpaceDN w:val="0"/>
        <w:adjustRightInd w:val="0"/>
        <w:spacing w:line="360" w:lineRule="auto"/>
        <w:jc w:val="center"/>
        <w:rPr>
          <w:i/>
          <w:szCs w:val="24"/>
          <w:highlight w:val="lightGray"/>
        </w:rPr>
      </w:pPr>
      <w:r>
        <w:rPr>
          <w:i/>
          <w:noProof/>
          <w:szCs w:val="24"/>
          <w:lang w:val="en-US" w:eastAsia="en-US"/>
        </w:rPr>
        <w:drawing>
          <wp:inline distT="0" distB="0" distL="0" distR="0">
            <wp:extent cx="5078001" cy="2242611"/>
            <wp:effectExtent l="57150" t="19050" r="122649" b="81489"/>
            <wp:docPr id="27"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078001" cy="224261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6929" w:rsidRPr="00964945" w:rsidRDefault="00A22DA7" w:rsidP="00A22DA7">
      <w:pPr>
        <w:pStyle w:val="Epgrafe"/>
        <w:rPr>
          <w:rFonts w:ascii="TimesNewRoman" w:eastAsia="Calibri" w:hAnsi="TimesNewRoman" w:cs="TimesNewRoman"/>
          <w:szCs w:val="24"/>
          <w:lang w:val="es-VE" w:eastAsia="en-US"/>
        </w:rPr>
      </w:pPr>
      <w:bookmarkStart w:id="77" w:name="_Toc306490677"/>
      <w:bookmarkStart w:id="78" w:name="_Toc327481427"/>
      <w:r>
        <w:t xml:space="preserve">Figura N° </w:t>
      </w:r>
      <w:fldSimple w:instr=" SEQ Figura_N° \* ARABIC ">
        <w:r w:rsidR="004A5F6F">
          <w:rPr>
            <w:noProof/>
          </w:rPr>
          <w:t>15</w:t>
        </w:r>
      </w:fldSimple>
      <w:r w:rsidR="003A6929">
        <w:t xml:space="preserve">: </w:t>
      </w:r>
      <w:r w:rsidR="003A6929" w:rsidRPr="00687E22">
        <w:t>Deshidratador electrostático (Marfisi y Salager</w:t>
      </w:r>
      <w:r w:rsidR="003A6929">
        <w:t>,</w:t>
      </w:r>
      <w:r w:rsidR="003A6929" w:rsidRPr="00687E22">
        <w:t xml:space="preserve"> 2004).</w:t>
      </w:r>
      <w:bookmarkEnd w:id="77"/>
      <w:bookmarkEnd w:id="78"/>
    </w:p>
    <w:p w:rsidR="003A6929" w:rsidRPr="00AB49D2" w:rsidRDefault="003A6929" w:rsidP="00320110">
      <w:pPr>
        <w:autoSpaceDE w:val="0"/>
        <w:autoSpaceDN w:val="0"/>
        <w:adjustRightInd w:val="0"/>
        <w:spacing w:before="240" w:line="360" w:lineRule="auto"/>
        <w:jc w:val="both"/>
        <w:rPr>
          <w:i/>
          <w:sz w:val="20"/>
        </w:rPr>
      </w:pPr>
      <w:r w:rsidRPr="00A94D0B">
        <w:rPr>
          <w:i/>
          <w:szCs w:val="24"/>
        </w:rPr>
        <w:tab/>
      </w:r>
      <w:r w:rsidRPr="00A94D0B">
        <w:rPr>
          <w:szCs w:val="24"/>
        </w:rPr>
        <w:t xml:space="preserve">El voltaje aplicado varía de acuerdo con la cantidad de agua emulsionada del crudo y el mecanismo flujodinámico del deshidratador. Los voltajes típicos para equipos con aplicación de campo eléctrico de corriente alterna (AC) varían de 60 a 180 kV/m y de </w:t>
      </w:r>
      <w:r w:rsidRPr="00BD4CBE">
        <w:rPr>
          <w:szCs w:val="24"/>
        </w:rPr>
        <w:t>campo de corriente directa (DC) se encuentran alrededor de los 110 kV/m y a diferentes frecuencias (</w:t>
      </w:r>
      <w:r>
        <w:rPr>
          <w:szCs w:val="24"/>
        </w:rPr>
        <w:t>Eow y</w:t>
      </w:r>
      <w:r w:rsidRPr="00BD4CBE">
        <w:rPr>
          <w:szCs w:val="24"/>
        </w:rPr>
        <w:t xml:space="preserve"> Ghadiri, 2002).</w:t>
      </w:r>
    </w:p>
    <w:p w:rsidR="003A6929" w:rsidRPr="00A94D0B" w:rsidRDefault="003A6929" w:rsidP="00320110">
      <w:pPr>
        <w:spacing w:after="240" w:line="360" w:lineRule="auto"/>
        <w:jc w:val="both"/>
        <w:rPr>
          <w:rFonts w:eastAsia="Microsoft YaHei"/>
          <w:szCs w:val="24"/>
        </w:rPr>
      </w:pPr>
      <w:r w:rsidRPr="00A94D0B">
        <w:rPr>
          <w:rFonts w:eastAsia="Microsoft YaHei"/>
          <w:szCs w:val="24"/>
        </w:rPr>
        <w:tab/>
        <w:t xml:space="preserve">El principio de la separación electrostática en emulsiones </w:t>
      </w:r>
      <w:r>
        <w:rPr>
          <w:rFonts w:eastAsia="Microsoft YaHei"/>
          <w:szCs w:val="24"/>
        </w:rPr>
        <w:t>W/O</w:t>
      </w:r>
      <w:r w:rsidRPr="00A94D0B">
        <w:rPr>
          <w:rFonts w:eastAsia="Microsoft YaHei"/>
          <w:szCs w:val="24"/>
        </w:rPr>
        <w:t xml:space="preserve"> y en general en todo proceso en la que se utilice esta técnica para desestabilizar una emulsión, se basa en que al aplicar una diferencia de potencial, las gotas</w:t>
      </w:r>
      <w:r w:rsidRPr="00AB49D2">
        <w:rPr>
          <w:rFonts w:eastAsia="Microsoft YaHei"/>
          <w:szCs w:val="24"/>
        </w:rPr>
        <w:t xml:space="preserve"> </w:t>
      </w:r>
      <w:r w:rsidRPr="00A94D0B">
        <w:rPr>
          <w:rFonts w:eastAsia="Microsoft YaHei"/>
          <w:szCs w:val="24"/>
        </w:rPr>
        <w:t xml:space="preserve">coalescerán unas con otras formando gotas de mayor tamaño, </w:t>
      </w:r>
      <w:r>
        <w:rPr>
          <w:rFonts w:eastAsia="Microsoft YaHei"/>
          <w:szCs w:val="24"/>
        </w:rPr>
        <w:t xml:space="preserve">gracias a </w:t>
      </w:r>
      <w:r w:rsidRPr="00A94D0B">
        <w:rPr>
          <w:rFonts w:eastAsia="Microsoft YaHei"/>
          <w:szCs w:val="24"/>
        </w:rPr>
        <w:t xml:space="preserve">numerosos efectos y </w:t>
      </w:r>
      <w:r>
        <w:rPr>
          <w:rFonts w:eastAsia="Microsoft YaHei"/>
          <w:szCs w:val="24"/>
        </w:rPr>
        <w:t xml:space="preserve">por </w:t>
      </w:r>
      <w:r w:rsidRPr="00A94D0B">
        <w:rPr>
          <w:rFonts w:eastAsia="Microsoft YaHei"/>
          <w:szCs w:val="24"/>
        </w:rPr>
        <w:t>condiciones del sistema</w:t>
      </w:r>
      <w:r>
        <w:rPr>
          <w:rFonts w:eastAsia="Microsoft YaHei"/>
          <w:szCs w:val="24"/>
        </w:rPr>
        <w:t xml:space="preserve"> favorables</w:t>
      </w:r>
      <w:r w:rsidRPr="00A94D0B">
        <w:rPr>
          <w:rFonts w:eastAsia="Microsoft YaHei"/>
          <w:szCs w:val="24"/>
        </w:rPr>
        <w:t>.</w:t>
      </w:r>
    </w:p>
    <w:p w:rsidR="003A6929" w:rsidRPr="007B2232" w:rsidRDefault="00C8552B" w:rsidP="007B2232">
      <w:pPr>
        <w:pStyle w:val="Ttulo3"/>
        <w:spacing w:line="360" w:lineRule="auto"/>
        <w:rPr>
          <w:rFonts w:ascii="Times New Roman" w:eastAsia="Microsoft YaHei" w:hAnsi="Times New Roman" w:cs="Times New Roman"/>
          <w:color w:val="auto"/>
          <w:szCs w:val="24"/>
        </w:rPr>
      </w:pPr>
      <w:bookmarkStart w:id="79" w:name="_Toc327478016"/>
      <w:r>
        <w:rPr>
          <w:rFonts w:ascii="Times New Roman" w:eastAsia="Microsoft YaHei" w:hAnsi="Times New Roman" w:cs="Times New Roman"/>
          <w:color w:val="auto"/>
          <w:szCs w:val="24"/>
        </w:rPr>
        <w:lastRenderedPageBreak/>
        <w:t xml:space="preserve">2.7 </w:t>
      </w:r>
      <w:r w:rsidR="003A6929" w:rsidRPr="007B2232">
        <w:rPr>
          <w:rFonts w:ascii="Times New Roman" w:eastAsia="Microsoft YaHei" w:hAnsi="Times New Roman" w:cs="Times New Roman"/>
          <w:color w:val="auto"/>
          <w:szCs w:val="24"/>
        </w:rPr>
        <w:t>Coalescencia</w:t>
      </w:r>
      <w:bookmarkEnd w:id="79"/>
    </w:p>
    <w:p w:rsidR="003A6929" w:rsidRPr="00B55BB7" w:rsidRDefault="003A6929" w:rsidP="00320110">
      <w:pPr>
        <w:autoSpaceDE w:val="0"/>
        <w:autoSpaceDN w:val="0"/>
        <w:adjustRightInd w:val="0"/>
        <w:spacing w:line="360" w:lineRule="auto"/>
        <w:jc w:val="both"/>
        <w:rPr>
          <w:sz w:val="20"/>
        </w:rPr>
      </w:pPr>
      <w:r w:rsidRPr="00A94D0B">
        <w:rPr>
          <w:szCs w:val="24"/>
        </w:rPr>
        <w:tab/>
        <w:t>La coalescencia se define como un fenómeno irreversible en el cual las gotas pierden su identidad, el área interfacial se reduce y también la energía libre del sistema (condición de inestabilidad). Sin embargo, este fenómeno se produce sólo cuando se vencen las barreras energéticas asociadas con las capas de emulsionante adsorbido y la película de fase continua entre las dos gotas</w:t>
      </w:r>
      <w:r>
        <w:rPr>
          <w:szCs w:val="24"/>
        </w:rPr>
        <w:t xml:space="preserve"> (Marfisi y Salaguer, 2004).</w:t>
      </w:r>
    </w:p>
    <w:p w:rsidR="003A6929" w:rsidRPr="00B55BB7" w:rsidRDefault="003A6929" w:rsidP="00E92FF1">
      <w:pPr>
        <w:spacing w:after="240" w:line="360" w:lineRule="auto"/>
        <w:jc w:val="both"/>
        <w:rPr>
          <w:b/>
          <w:sz w:val="20"/>
        </w:rPr>
      </w:pPr>
      <w:r w:rsidRPr="00A94D0B">
        <w:rPr>
          <w:rFonts w:eastAsia="Microsoft YaHei"/>
          <w:szCs w:val="24"/>
        </w:rPr>
        <w:tab/>
        <w:t xml:space="preserve">La coalescencia puede darse por efecto de moción Browniana y sedimentación diferencial, pero estos efectos son insignificantes en comparación con la electrocoalescencia. La separación por electrocoalescencia es por lo general irreversible. A baja intensidad de campo, las gotas tienden a formar cadenas, más el potencial aplicado no es lo suficientemente fuerte para que ocurra la coalescencia. Cuando se anula el campo las gotas vuelven a una configuración </w:t>
      </w:r>
      <w:r>
        <w:rPr>
          <w:rFonts w:eastAsia="Microsoft YaHei"/>
          <w:szCs w:val="24"/>
        </w:rPr>
        <w:t>aleatoria</w:t>
      </w:r>
      <w:r w:rsidRPr="00A94D0B">
        <w:rPr>
          <w:rFonts w:eastAsia="Microsoft YaHei"/>
          <w:szCs w:val="24"/>
        </w:rPr>
        <w:t xml:space="preserve">. Un completo y fundamental entendimiento al igual que una comprensiva predicción de la coalescencia de las gotas en un campo eléctrico es aún carente por la complejidad de las interacciones electrostáticas e </w:t>
      </w:r>
      <w:r w:rsidRPr="00BD4CBE">
        <w:rPr>
          <w:rFonts w:eastAsia="Microsoft YaHei"/>
          <w:szCs w:val="24"/>
        </w:rPr>
        <w:t xml:space="preserve">hidrodinámicas </w:t>
      </w:r>
      <w:r w:rsidRPr="00BD4CBE">
        <w:rPr>
          <w:szCs w:val="24"/>
        </w:rPr>
        <w:t>(Eow, Ghadiri, Sharif y Williams, 2001)</w:t>
      </w:r>
      <w:r w:rsidRPr="00BD4CBE">
        <w:rPr>
          <w:rFonts w:eastAsia="Microsoft YaHei"/>
          <w:szCs w:val="24"/>
        </w:rPr>
        <w:t>.</w:t>
      </w:r>
      <w:r>
        <w:rPr>
          <w:rFonts w:eastAsia="Microsoft YaHei"/>
          <w:szCs w:val="24"/>
        </w:rPr>
        <w:t xml:space="preserve"> </w:t>
      </w:r>
    </w:p>
    <w:p w:rsidR="003A6929" w:rsidRPr="007B2232" w:rsidRDefault="00C8552B" w:rsidP="007B2232">
      <w:pPr>
        <w:pStyle w:val="Ttulo3"/>
        <w:spacing w:line="360" w:lineRule="auto"/>
        <w:rPr>
          <w:rFonts w:ascii="Times New Roman" w:eastAsia="Microsoft YaHei" w:hAnsi="Times New Roman" w:cs="Times New Roman"/>
          <w:color w:val="auto"/>
          <w:szCs w:val="24"/>
        </w:rPr>
      </w:pPr>
      <w:bookmarkStart w:id="80" w:name="_Toc327478017"/>
      <w:r>
        <w:rPr>
          <w:rFonts w:ascii="Times New Roman" w:eastAsia="Microsoft YaHei" w:hAnsi="Times New Roman" w:cs="Times New Roman"/>
          <w:color w:val="auto"/>
          <w:szCs w:val="24"/>
        </w:rPr>
        <w:t xml:space="preserve">2.7.1 </w:t>
      </w:r>
      <w:r w:rsidR="003A6929" w:rsidRPr="007B2232">
        <w:rPr>
          <w:rFonts w:ascii="Times New Roman" w:eastAsia="Microsoft YaHei" w:hAnsi="Times New Roman" w:cs="Times New Roman"/>
          <w:color w:val="auto"/>
          <w:szCs w:val="24"/>
        </w:rPr>
        <w:t>Coalescencia eléctrica o electrocoalescencia</w:t>
      </w:r>
      <w:bookmarkEnd w:id="80"/>
    </w:p>
    <w:p w:rsidR="003A6929" w:rsidRDefault="003A6929" w:rsidP="00E92FF1">
      <w:pPr>
        <w:autoSpaceDE w:val="0"/>
        <w:autoSpaceDN w:val="0"/>
        <w:adjustRightInd w:val="0"/>
        <w:spacing w:line="360" w:lineRule="auto"/>
        <w:jc w:val="both"/>
        <w:rPr>
          <w:szCs w:val="24"/>
        </w:rPr>
      </w:pPr>
      <w:r w:rsidRPr="00A94D0B">
        <w:rPr>
          <w:szCs w:val="24"/>
        </w:rPr>
        <w:tab/>
        <w:t>El proceso de electrocoalescencia es un proceso cuyo propósito principal es el de asistir a la coalescencia, es decir, al acercamiento, contacto y fusión de las gotas de agua dispersas en una fase continua de baja permitividad en orden a incrementar su tamaño, lo cual acelera su velocidad de sedimentación</w:t>
      </w:r>
      <w:r>
        <w:rPr>
          <w:szCs w:val="24"/>
        </w:rPr>
        <w:t xml:space="preserve"> </w:t>
      </w:r>
      <w:r w:rsidRPr="00043BC2">
        <w:rPr>
          <w:szCs w:val="24"/>
        </w:rPr>
        <w:t>(Less, Hannisdal, Bjørklund y Sjöblom, 2008)</w:t>
      </w:r>
      <w:r w:rsidRPr="00043BC2">
        <w:rPr>
          <w:sz w:val="20"/>
        </w:rPr>
        <w:t xml:space="preserve">. </w:t>
      </w:r>
      <w:r w:rsidRPr="00043BC2">
        <w:rPr>
          <w:szCs w:val="24"/>
        </w:rPr>
        <w:t>El campo aplicado al sistema emulsionado</w:t>
      </w:r>
      <w:r w:rsidRPr="00A94D0B">
        <w:rPr>
          <w:szCs w:val="24"/>
        </w:rPr>
        <w:t xml:space="preserve"> provoca que dos gotas, por ejemplo, con carga eléctrica y a una distancia considerable se influyan debido a la fuerza eléctrica, como se muestra en la figura a continuación:</w:t>
      </w:r>
    </w:p>
    <w:p w:rsidR="00320110" w:rsidRPr="00A94D0B" w:rsidRDefault="00320110" w:rsidP="003A6929">
      <w:pPr>
        <w:autoSpaceDE w:val="0"/>
        <w:autoSpaceDN w:val="0"/>
        <w:adjustRightInd w:val="0"/>
        <w:spacing w:line="360" w:lineRule="auto"/>
        <w:jc w:val="both"/>
        <w:rPr>
          <w:szCs w:val="24"/>
        </w:rPr>
      </w:pPr>
    </w:p>
    <w:p w:rsidR="003A6929" w:rsidRPr="00A94D0B" w:rsidRDefault="003A6929" w:rsidP="003A6929">
      <w:pPr>
        <w:autoSpaceDE w:val="0"/>
        <w:autoSpaceDN w:val="0"/>
        <w:adjustRightInd w:val="0"/>
        <w:spacing w:line="360" w:lineRule="auto"/>
        <w:jc w:val="center"/>
        <w:rPr>
          <w:szCs w:val="24"/>
        </w:rPr>
      </w:pPr>
      <w:r>
        <w:rPr>
          <w:noProof/>
          <w:szCs w:val="24"/>
          <w:lang w:val="en-US" w:eastAsia="en-US"/>
        </w:rPr>
        <w:lastRenderedPageBreak/>
        <w:drawing>
          <wp:inline distT="0" distB="0" distL="0" distR="0">
            <wp:extent cx="3466465" cy="2073275"/>
            <wp:effectExtent l="19050" t="0" r="635"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cstate="print"/>
                    <a:srcRect/>
                    <a:stretch>
                      <a:fillRect/>
                    </a:stretch>
                  </pic:blipFill>
                  <pic:spPr bwMode="auto">
                    <a:xfrm>
                      <a:off x="0" y="0"/>
                      <a:ext cx="3466465" cy="2073275"/>
                    </a:xfrm>
                    <a:prstGeom prst="rect">
                      <a:avLst/>
                    </a:prstGeom>
                    <a:noFill/>
                    <a:ln w="9525">
                      <a:noFill/>
                      <a:miter lim="800000"/>
                      <a:headEnd/>
                      <a:tailEnd/>
                    </a:ln>
                  </pic:spPr>
                </pic:pic>
              </a:graphicData>
            </a:graphic>
          </wp:inline>
        </w:drawing>
      </w:r>
    </w:p>
    <w:p w:rsidR="003A6929" w:rsidRPr="00B55BB7" w:rsidRDefault="00A22DA7" w:rsidP="00356CD8">
      <w:pPr>
        <w:pStyle w:val="Epgrafe"/>
        <w:spacing w:line="360" w:lineRule="auto"/>
      </w:pPr>
      <w:bookmarkStart w:id="81" w:name="_Toc327481428"/>
      <w:r>
        <w:t xml:space="preserve">Figura N° </w:t>
      </w:r>
      <w:fldSimple w:instr=" SEQ Figura_N° \* ARABIC ">
        <w:r w:rsidR="004A5F6F">
          <w:rPr>
            <w:noProof/>
          </w:rPr>
          <w:t>16</w:t>
        </w:r>
      </w:fldSimple>
      <w:r w:rsidR="003A6929" w:rsidRPr="00B55BB7">
        <w:t>: Representación del fenómeno de coalescencia eléctrica de dos gotas de agua</w:t>
      </w:r>
      <w:r w:rsidR="003A6929">
        <w:t xml:space="preserve"> (Elaboración propia)</w:t>
      </w:r>
      <w:r>
        <w:t>.</w:t>
      </w:r>
      <w:bookmarkEnd w:id="81"/>
    </w:p>
    <w:p w:rsidR="003A6929" w:rsidRDefault="003A6929" w:rsidP="00320110">
      <w:pPr>
        <w:autoSpaceDE w:val="0"/>
        <w:autoSpaceDN w:val="0"/>
        <w:adjustRightInd w:val="0"/>
        <w:spacing w:line="360" w:lineRule="auto"/>
        <w:jc w:val="both"/>
        <w:rPr>
          <w:szCs w:val="24"/>
        </w:rPr>
      </w:pPr>
      <w:r w:rsidRPr="00A94D0B">
        <w:rPr>
          <w:szCs w:val="24"/>
        </w:rPr>
        <w:tab/>
      </w:r>
      <w:r>
        <w:rPr>
          <w:szCs w:val="24"/>
        </w:rPr>
        <w:tab/>
      </w:r>
      <w:r w:rsidRPr="00A94D0B">
        <w:rPr>
          <w:szCs w:val="24"/>
        </w:rPr>
        <w:t>Es decir, las cargas positivas que rodean a la gota de agua se orientarán hacia el cátodo y las negativas hacia el ánodo. Esta influencia provocará que las gotas se fusiones en una más grande logrando más rápidamente su precipitación debido a la fuerza de gravedad. Lo anterior se debe a que dentro de un campo eléctrico ocurre una separación de las cargas dentro de las gotas de agua emulsionadas. Por lo tanto, la fuerza de atracción de las gotas se incrementa conforme se aumente la intensidad de campo eléctrico</w:t>
      </w:r>
      <w:r>
        <w:rPr>
          <w:szCs w:val="24"/>
        </w:rPr>
        <w:t xml:space="preserve"> (Pérez y Garfias, 2002).</w:t>
      </w:r>
    </w:p>
    <w:p w:rsidR="003A6929" w:rsidRPr="00A94D0B" w:rsidRDefault="003A6929" w:rsidP="00320110">
      <w:pPr>
        <w:autoSpaceDE w:val="0"/>
        <w:autoSpaceDN w:val="0"/>
        <w:adjustRightInd w:val="0"/>
        <w:spacing w:line="360" w:lineRule="auto"/>
        <w:jc w:val="both"/>
        <w:rPr>
          <w:i/>
          <w:color w:val="000000"/>
          <w:szCs w:val="24"/>
        </w:rPr>
      </w:pPr>
      <w:r w:rsidRPr="00A94D0B">
        <w:rPr>
          <w:szCs w:val="24"/>
        </w:rPr>
        <w:tab/>
        <w:t>Muchos estudios se han enfocado en los mecanismos que tienen lugar cuando un campo eléctrico es aplicado a la emulsiones agua-crudo y una multitud de observaciones han legado diferentes interpretaciones. Sin embargo, una única interpretación no ha sido aceptada aún hoy en día, debido a la complejidad de las interacciones hidrodinámicas y electrostáticas</w:t>
      </w:r>
      <w:r>
        <w:rPr>
          <w:szCs w:val="24"/>
        </w:rPr>
        <w:t xml:space="preserve"> </w:t>
      </w:r>
      <w:r w:rsidRPr="00043BC2">
        <w:rPr>
          <w:szCs w:val="24"/>
        </w:rPr>
        <w:t>(Less,</w:t>
      </w:r>
      <w:r w:rsidR="00A22DA7">
        <w:rPr>
          <w:szCs w:val="24"/>
        </w:rPr>
        <w:t xml:space="preserve"> </w:t>
      </w:r>
      <w:r w:rsidRPr="00043BC2">
        <w:rPr>
          <w:szCs w:val="24"/>
        </w:rPr>
        <w:t>Hannisdal, Bjørklund y Sjöblom, 2008)</w:t>
      </w:r>
      <w:r w:rsidRPr="00043BC2">
        <w:rPr>
          <w:sz w:val="20"/>
        </w:rPr>
        <w:t>.</w:t>
      </w:r>
      <w:r>
        <w:rPr>
          <w:sz w:val="20"/>
        </w:rPr>
        <w:t xml:space="preserve"> </w:t>
      </w:r>
      <w:r>
        <w:rPr>
          <w:szCs w:val="24"/>
        </w:rPr>
        <w:t xml:space="preserve">Sin embargo </w:t>
      </w:r>
      <w:r w:rsidRPr="00A94D0B">
        <w:rPr>
          <w:szCs w:val="24"/>
        </w:rPr>
        <w:t>puede afirmarse que el proceso de electrocoalescencia actual depende básicamente de dos factores: La rotura dieléctrica de la película de fase continua entre dos gotas adyacentes y la fuerza atractiva entre dos gotas debida a su diferencia de potencial</w:t>
      </w:r>
      <w:r>
        <w:rPr>
          <w:szCs w:val="24"/>
        </w:rPr>
        <w:t xml:space="preserve"> </w:t>
      </w:r>
      <w:r w:rsidRPr="0098574D">
        <w:rPr>
          <w:szCs w:val="24"/>
        </w:rPr>
        <w:t xml:space="preserve">(Sunil, </w:t>
      </w:r>
      <w:r w:rsidR="0098574D">
        <w:rPr>
          <w:szCs w:val="24"/>
        </w:rPr>
        <w:t>2006</w:t>
      </w:r>
      <w:r w:rsidRPr="0098574D">
        <w:rPr>
          <w:szCs w:val="24"/>
        </w:rPr>
        <w:t>).</w:t>
      </w:r>
    </w:p>
    <w:p w:rsidR="003A6929" w:rsidRDefault="003A6929" w:rsidP="003A6929">
      <w:pPr>
        <w:spacing w:line="360" w:lineRule="auto"/>
        <w:jc w:val="both"/>
        <w:rPr>
          <w:szCs w:val="24"/>
        </w:rPr>
      </w:pPr>
      <w:r>
        <w:rPr>
          <w:szCs w:val="24"/>
        </w:rPr>
        <w:tab/>
        <w:t>En la F</w:t>
      </w:r>
      <w:r w:rsidRPr="00A94D0B">
        <w:rPr>
          <w:szCs w:val="24"/>
        </w:rPr>
        <w:t xml:space="preserve">igura </w:t>
      </w:r>
      <w:r>
        <w:rPr>
          <w:szCs w:val="24"/>
        </w:rPr>
        <w:t xml:space="preserve">Nº </w:t>
      </w:r>
      <w:r w:rsidR="00A22DA7">
        <w:rPr>
          <w:szCs w:val="24"/>
        </w:rPr>
        <w:t>16</w:t>
      </w:r>
      <w:r w:rsidRPr="00A94D0B">
        <w:rPr>
          <w:szCs w:val="24"/>
        </w:rPr>
        <w:t xml:space="preserve"> puede apreciarse claramente el proceso de coalescencia y como este se ve influenciado (acelerado) por la acción un campo eléctrico, dado lugar a un proceso de electrocoalescencia:</w:t>
      </w:r>
    </w:p>
    <w:p w:rsidR="00320110" w:rsidRPr="00A94D0B" w:rsidRDefault="00320110" w:rsidP="003A6929">
      <w:pPr>
        <w:spacing w:line="360" w:lineRule="auto"/>
        <w:jc w:val="both"/>
        <w:rPr>
          <w:szCs w:val="24"/>
        </w:rPr>
      </w:pPr>
    </w:p>
    <w:p w:rsidR="003A6929" w:rsidRPr="00A94D0B" w:rsidRDefault="003A6929" w:rsidP="003A6929">
      <w:pPr>
        <w:spacing w:line="360" w:lineRule="auto"/>
        <w:jc w:val="center"/>
        <w:rPr>
          <w:rFonts w:eastAsia="Microsoft YaHei"/>
          <w:szCs w:val="24"/>
        </w:rPr>
      </w:pPr>
      <w:r>
        <w:rPr>
          <w:rFonts w:eastAsia="Microsoft YaHei"/>
          <w:noProof/>
          <w:szCs w:val="24"/>
          <w:lang w:val="en-US" w:eastAsia="en-US"/>
        </w:rPr>
        <w:lastRenderedPageBreak/>
        <w:drawing>
          <wp:inline distT="0" distB="0" distL="0" distR="0">
            <wp:extent cx="5135245" cy="1510030"/>
            <wp:effectExtent l="19050" t="0" r="825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srcRect/>
                    <a:stretch>
                      <a:fillRect/>
                    </a:stretch>
                  </pic:blipFill>
                  <pic:spPr bwMode="auto">
                    <a:xfrm>
                      <a:off x="0" y="0"/>
                      <a:ext cx="5135245" cy="1510030"/>
                    </a:xfrm>
                    <a:prstGeom prst="rect">
                      <a:avLst/>
                    </a:prstGeom>
                    <a:noFill/>
                    <a:ln w="9525">
                      <a:noFill/>
                      <a:miter lim="800000"/>
                      <a:headEnd/>
                      <a:tailEnd/>
                    </a:ln>
                  </pic:spPr>
                </pic:pic>
              </a:graphicData>
            </a:graphic>
          </wp:inline>
        </w:drawing>
      </w:r>
    </w:p>
    <w:p w:rsidR="003A6929" w:rsidRDefault="003A6929" w:rsidP="003A6929">
      <w:pPr>
        <w:spacing w:line="360" w:lineRule="auto"/>
        <w:jc w:val="both"/>
        <w:rPr>
          <w:sz w:val="20"/>
        </w:rPr>
      </w:pPr>
      <w:r>
        <w:rPr>
          <w:sz w:val="20"/>
        </w:rPr>
        <w:t xml:space="preserve">                           </w:t>
      </w:r>
      <w:r w:rsidR="003B0AD3">
        <w:rPr>
          <w:sz w:val="20"/>
        </w:rPr>
        <w:t xml:space="preserve">  </w:t>
      </w:r>
      <w:r>
        <w:rPr>
          <w:sz w:val="20"/>
        </w:rPr>
        <w:t xml:space="preserve">   </w:t>
      </w:r>
      <w:r w:rsidRPr="00043BC2">
        <w:rPr>
          <w:sz w:val="20"/>
        </w:rPr>
        <w:t>(a</w:t>
      </w:r>
      <w:r>
        <w:rPr>
          <w:sz w:val="20"/>
        </w:rPr>
        <w:t xml:space="preserve">)                                     </w:t>
      </w:r>
      <w:r w:rsidR="003B0AD3">
        <w:rPr>
          <w:sz w:val="20"/>
        </w:rPr>
        <w:t xml:space="preserve"> </w:t>
      </w:r>
      <w:r w:rsidR="00A22DA7">
        <w:rPr>
          <w:sz w:val="20"/>
        </w:rPr>
        <w:t xml:space="preserve"> </w:t>
      </w:r>
      <w:r>
        <w:rPr>
          <w:sz w:val="20"/>
        </w:rPr>
        <w:t xml:space="preserve">(b)                           </w:t>
      </w:r>
      <w:r w:rsidR="007B2232">
        <w:rPr>
          <w:sz w:val="20"/>
        </w:rPr>
        <w:t xml:space="preserve">   </w:t>
      </w:r>
      <w:r w:rsidR="00BC1E2A">
        <w:rPr>
          <w:sz w:val="20"/>
        </w:rPr>
        <w:t xml:space="preserve">         </w:t>
      </w:r>
      <w:r w:rsidR="003B0AD3">
        <w:rPr>
          <w:sz w:val="20"/>
        </w:rPr>
        <w:t xml:space="preserve">   </w:t>
      </w:r>
      <w:r w:rsidR="00356CD8">
        <w:rPr>
          <w:sz w:val="20"/>
        </w:rPr>
        <w:t xml:space="preserve">     </w:t>
      </w:r>
      <w:r>
        <w:rPr>
          <w:sz w:val="20"/>
        </w:rPr>
        <w:t>(c)</w:t>
      </w:r>
    </w:p>
    <w:p w:rsidR="00405CA1" w:rsidRDefault="00A22DA7" w:rsidP="00405CA1">
      <w:pPr>
        <w:pStyle w:val="Epgrafe"/>
        <w:spacing w:after="0" w:line="360" w:lineRule="auto"/>
      </w:pPr>
      <w:bookmarkStart w:id="82" w:name="_Toc327481429"/>
      <w:r>
        <w:t xml:space="preserve">Figura N° </w:t>
      </w:r>
      <w:fldSimple w:instr=" SEQ Figura_N° \* ARABIC ">
        <w:r w:rsidR="004A5F6F">
          <w:rPr>
            <w:noProof/>
          </w:rPr>
          <w:t>17</w:t>
        </w:r>
      </w:fldSimple>
      <w:r w:rsidR="003A6929" w:rsidRPr="00B55BB7">
        <w:t xml:space="preserve">: Comportamiento de </w:t>
      </w:r>
      <w:r w:rsidR="00107EE1">
        <w:t>una</w:t>
      </w:r>
      <w:r w:rsidR="003A6929" w:rsidRPr="00B55BB7">
        <w:t xml:space="preserve"> emulsión </w:t>
      </w:r>
      <w:r w:rsidR="00107EE1">
        <w:t xml:space="preserve">W/O </w:t>
      </w:r>
      <w:r w:rsidR="003A6929" w:rsidRPr="00B55BB7">
        <w:t>bajo la influencia de un campo eléctrico. (</w:t>
      </w:r>
      <w:r w:rsidR="003A6929">
        <w:t>a</w:t>
      </w:r>
      <w:r w:rsidR="003A6929" w:rsidRPr="00B55BB7">
        <w:t>) Cuando no se aplica un campo eléctrico, las gotas de agua solo se ven perturbadas por la ley de Stokes de sedimentación y moción Browniana. Se presenta cierto grado de floculación de gotas. (</w:t>
      </w:r>
      <w:r w:rsidR="003A6929">
        <w:t>b</w:t>
      </w:r>
      <w:r w:rsidR="003A6929" w:rsidRPr="00B55BB7">
        <w:t>) A medida que el campo incrementa, las gotas se alinean entre los electrodos debido a la polarización de las gotas. (</w:t>
      </w:r>
      <w:r w:rsidR="003A6929">
        <w:t>c</w:t>
      </w:r>
      <w:r w:rsidR="003A6929" w:rsidRPr="00B55BB7">
        <w:t>) Finalmente el campo aplicado es tan alto que las gotas coalescen, resultando en un puente continuo de agua entre los electrodos, incrementándose la conductividad. La estabilidad puede definirse entonces como la magnitud de campo a la cual la conductividad empieza a aumentar</w:t>
      </w:r>
      <w:bookmarkEnd w:id="82"/>
      <w:r>
        <w:t xml:space="preserve"> </w:t>
      </w:r>
    </w:p>
    <w:p w:rsidR="003A6929" w:rsidRPr="00043BC2" w:rsidRDefault="003A6929" w:rsidP="00A22DA7">
      <w:pPr>
        <w:pStyle w:val="Epgrafe"/>
        <w:spacing w:line="360" w:lineRule="auto"/>
      </w:pPr>
      <w:r w:rsidRPr="003A6929">
        <w:rPr>
          <w:lang w:val="es-VE"/>
        </w:rPr>
        <w:t>(Havre y Sjöblom</w:t>
      </w:r>
      <w:r w:rsidRPr="00043BC2">
        <w:t>, 2003).</w:t>
      </w:r>
    </w:p>
    <w:p w:rsidR="003A6929" w:rsidRPr="00F16B97" w:rsidRDefault="003A6929" w:rsidP="00320110">
      <w:pPr>
        <w:pStyle w:val="Encabezado"/>
        <w:tabs>
          <w:tab w:val="clear" w:pos="4680"/>
          <w:tab w:val="clear" w:pos="9360"/>
          <w:tab w:val="right" w:pos="0"/>
        </w:tabs>
        <w:spacing w:line="360" w:lineRule="auto"/>
        <w:jc w:val="both"/>
        <w:rPr>
          <w:rFonts w:ascii="Times New Roman" w:hAnsi="Times New Roman"/>
          <w:sz w:val="24"/>
          <w:szCs w:val="24"/>
        </w:rPr>
      </w:pPr>
      <w:r w:rsidRPr="00A94D0B">
        <w:rPr>
          <w:rFonts w:ascii="Times New Roman" w:hAnsi="Times New Roman"/>
          <w:sz w:val="24"/>
          <w:szCs w:val="24"/>
        </w:rPr>
        <w:tab/>
        <w:t xml:space="preserve">Se conoce ampliamente que la aplicación de un campo eléctrico promueve una ruptura irreversible de la emulsión derivando en una coalescencia de las gotas de la fase dispersa, pero para que esto ocurra es necesario se alcancen una serie de condiciones que permitan la separación. Sólo cuando se vencen las barreras energéticas asociadas con las capas de emulsionante adsorbido y se drena la película de fase continua entre dos gotas es que se da lugar al proceso de </w:t>
      </w:r>
      <w:r w:rsidRPr="00F16B97">
        <w:rPr>
          <w:rFonts w:ascii="Times New Roman" w:hAnsi="Times New Roman"/>
          <w:sz w:val="24"/>
          <w:szCs w:val="24"/>
        </w:rPr>
        <w:t>coalescencia (Jefreys y Davies, 1971).</w:t>
      </w:r>
    </w:p>
    <w:p w:rsidR="003A6929" w:rsidRPr="00A94D0B" w:rsidRDefault="003A6929" w:rsidP="00320110">
      <w:pPr>
        <w:spacing w:line="360" w:lineRule="auto"/>
        <w:jc w:val="both"/>
        <w:rPr>
          <w:rFonts w:eastAsia="Microsoft YaHei"/>
          <w:szCs w:val="24"/>
        </w:rPr>
      </w:pPr>
      <w:r w:rsidRPr="00F16B97">
        <w:rPr>
          <w:rFonts w:eastAsia="Microsoft YaHei"/>
          <w:szCs w:val="24"/>
        </w:rPr>
        <w:tab/>
      </w:r>
      <w:r w:rsidRPr="00A94D0B">
        <w:rPr>
          <w:rFonts w:eastAsia="Microsoft YaHei"/>
          <w:szCs w:val="24"/>
        </w:rPr>
        <w:t xml:space="preserve">Las atracciones Van Der Waals pueden ser también muy importantes, ayudando a atraer gotas y mantenerlas cerca durante la coalescencia, esto último como </w:t>
      </w:r>
      <w:r w:rsidRPr="00F94E19">
        <w:rPr>
          <w:rFonts w:eastAsia="Microsoft YaHei"/>
          <w:szCs w:val="24"/>
        </w:rPr>
        <w:t>consecuencia de la tendencia de la tensión interfacial de minimizar el área de interfase. (Eow y Ghadiri, 2001).</w:t>
      </w:r>
    </w:p>
    <w:p w:rsidR="003A6929" w:rsidRPr="00F16B97" w:rsidRDefault="003A6929" w:rsidP="00320110">
      <w:pPr>
        <w:autoSpaceDE w:val="0"/>
        <w:autoSpaceDN w:val="0"/>
        <w:adjustRightInd w:val="0"/>
        <w:spacing w:after="240" w:line="360" w:lineRule="auto"/>
        <w:jc w:val="both"/>
        <w:rPr>
          <w:sz w:val="20"/>
        </w:rPr>
      </w:pPr>
      <w:r w:rsidRPr="00A94D0B">
        <w:rPr>
          <w:szCs w:val="24"/>
        </w:rPr>
        <w:tab/>
        <w:t xml:space="preserve">En algunos casos, por lo general en emulsiones con alto contenido de agua, pueden promover únicamente la floculación de las gotas dispersas más no su coalescencia, resultando esto en una fase tipo ‘esponja’ la cual contiene una alta </w:t>
      </w:r>
      <w:r w:rsidRPr="00F16B97">
        <w:rPr>
          <w:szCs w:val="24"/>
        </w:rPr>
        <w:t xml:space="preserve">cantidad de fase interna (fase acuosa) en la interfase agua-crudo, viéndose afectada seriamente la eficiencia de la separación  (Che y </w:t>
      </w:r>
      <w:r w:rsidR="00405CA1">
        <w:rPr>
          <w:szCs w:val="24"/>
        </w:rPr>
        <w:t>otros</w:t>
      </w:r>
      <w:r w:rsidRPr="00F16B97">
        <w:rPr>
          <w:szCs w:val="24"/>
        </w:rPr>
        <w:t>, 1993).</w:t>
      </w:r>
    </w:p>
    <w:p w:rsidR="003A6929" w:rsidRPr="007B2232" w:rsidRDefault="00C8552B" w:rsidP="007B2232">
      <w:pPr>
        <w:pStyle w:val="Ttulo3"/>
        <w:spacing w:line="360" w:lineRule="auto"/>
        <w:rPr>
          <w:rFonts w:ascii="Times New Roman" w:eastAsia="Microsoft YaHei" w:hAnsi="Times New Roman" w:cs="Times New Roman"/>
          <w:color w:val="auto"/>
          <w:szCs w:val="24"/>
        </w:rPr>
      </w:pPr>
      <w:bookmarkStart w:id="83" w:name="_Toc327478018"/>
      <w:r>
        <w:rPr>
          <w:rFonts w:ascii="Times New Roman" w:eastAsia="Microsoft YaHei" w:hAnsi="Times New Roman" w:cs="Times New Roman"/>
          <w:color w:val="auto"/>
          <w:szCs w:val="24"/>
        </w:rPr>
        <w:lastRenderedPageBreak/>
        <w:t xml:space="preserve">2.7.2 </w:t>
      </w:r>
      <w:r w:rsidR="003A6929" w:rsidRPr="007B2232">
        <w:rPr>
          <w:rFonts w:ascii="Times New Roman" w:eastAsia="Microsoft YaHei" w:hAnsi="Times New Roman" w:cs="Times New Roman"/>
          <w:color w:val="auto"/>
          <w:szCs w:val="24"/>
        </w:rPr>
        <w:t>Mecanismo de coalescencia</w:t>
      </w:r>
      <w:bookmarkEnd w:id="83"/>
    </w:p>
    <w:p w:rsidR="003A6929" w:rsidRPr="00A94D0B" w:rsidRDefault="003A6929" w:rsidP="00320110">
      <w:pPr>
        <w:autoSpaceDE w:val="0"/>
        <w:autoSpaceDN w:val="0"/>
        <w:adjustRightInd w:val="0"/>
        <w:spacing w:line="360" w:lineRule="auto"/>
        <w:jc w:val="both"/>
        <w:rPr>
          <w:color w:val="000000"/>
          <w:szCs w:val="24"/>
        </w:rPr>
      </w:pPr>
      <w:r w:rsidRPr="00A94D0B">
        <w:rPr>
          <w:color w:val="000000"/>
          <w:szCs w:val="24"/>
        </w:rPr>
        <w:tab/>
        <w:t>Como ya se ha mencionado, el acercamiento inicial de las gotas es generalmente causado por un movimiento turbulento de las gotas producto de fuerzas de atracción electrostática debidas a la polarización de las gotas</w:t>
      </w:r>
      <w:r w:rsidRPr="00190713">
        <w:rPr>
          <w:color w:val="000000"/>
          <w:sz w:val="20"/>
        </w:rPr>
        <w:t xml:space="preserve">. </w:t>
      </w:r>
      <w:r w:rsidR="00405CA1">
        <w:rPr>
          <w:szCs w:val="24"/>
        </w:rPr>
        <w:t>(Less y otros</w:t>
      </w:r>
      <w:r w:rsidRPr="00043BC2">
        <w:rPr>
          <w:szCs w:val="24"/>
        </w:rPr>
        <w:t>, 2008)</w:t>
      </w:r>
      <w:r w:rsidRPr="00A94D0B">
        <w:rPr>
          <w:i/>
          <w:color w:val="000000"/>
          <w:szCs w:val="24"/>
        </w:rPr>
        <w:t xml:space="preserve">. </w:t>
      </w:r>
      <w:r w:rsidRPr="00A94D0B">
        <w:rPr>
          <w:color w:val="000000"/>
          <w:szCs w:val="24"/>
        </w:rPr>
        <w:t>Ahora, la polarización de la gota es solo uno de los fenómenos que se presentan mucho antes de que la coalescencia ocurra.</w:t>
      </w:r>
    </w:p>
    <w:p w:rsidR="003A6929" w:rsidRPr="00190713" w:rsidRDefault="003A6929" w:rsidP="003A6929">
      <w:pPr>
        <w:autoSpaceDE w:val="0"/>
        <w:autoSpaceDN w:val="0"/>
        <w:adjustRightInd w:val="0"/>
        <w:spacing w:line="360" w:lineRule="auto"/>
        <w:jc w:val="both"/>
        <w:rPr>
          <w:i/>
          <w:sz w:val="20"/>
        </w:rPr>
      </w:pPr>
      <w:r w:rsidRPr="00A94D0B">
        <w:rPr>
          <w:szCs w:val="24"/>
        </w:rPr>
        <w:tab/>
        <w:t>Diversos autores han propuesto mecanismos para explicar la coalescencia y la formación de cadenas o percolación (puente continuo de agua entre los electrodos)  para dispersiones de agua en crudo, los cuales se ven influenciados por un cierto número de factores, incluidos la viscosidad de la fase continua (del crudo), el volumen de la fase dispersa y la fuerza del campo eléctrico aplicado. Estos mecanismos han sido observados con campos de corriente continua y alterna</w:t>
      </w:r>
      <w:r>
        <w:rPr>
          <w:szCs w:val="24"/>
        </w:rPr>
        <w:t>, donde</w:t>
      </w:r>
      <w:r w:rsidRPr="00A94D0B">
        <w:rPr>
          <w:szCs w:val="24"/>
        </w:rPr>
        <w:t xml:space="preserve"> básicamente todos concuerdan en los mecanismos propuestos. En todo caso la diferencia de cada uno radica en explicar los factores que afectan o retardan la coalescencia, de </w:t>
      </w:r>
      <w:r>
        <w:rPr>
          <w:szCs w:val="24"/>
        </w:rPr>
        <w:t>la cual se tratará más adelante (</w:t>
      </w:r>
      <w:r w:rsidRPr="00F94E19">
        <w:rPr>
          <w:sz w:val="20"/>
        </w:rPr>
        <w:t>Eow, Ghadiri, Sharif y Williams2001).</w:t>
      </w:r>
      <w:r w:rsidRPr="00F94E19">
        <w:rPr>
          <w:i/>
          <w:sz w:val="20"/>
        </w:rPr>
        <w:t xml:space="preserve"> </w:t>
      </w:r>
    </w:p>
    <w:p w:rsidR="003A6929" w:rsidRPr="00F16B97" w:rsidRDefault="003A6929" w:rsidP="003A6929">
      <w:pPr>
        <w:pStyle w:val="Encabezado"/>
        <w:tabs>
          <w:tab w:val="clear" w:pos="4680"/>
          <w:tab w:val="clear" w:pos="9360"/>
          <w:tab w:val="right" w:pos="0"/>
        </w:tabs>
        <w:spacing w:line="360" w:lineRule="auto"/>
        <w:jc w:val="both"/>
        <w:rPr>
          <w:rFonts w:ascii="Times New Roman" w:hAnsi="Times New Roman"/>
          <w:sz w:val="24"/>
          <w:szCs w:val="24"/>
        </w:rPr>
      </w:pPr>
      <w:r>
        <w:rPr>
          <w:rFonts w:ascii="Times New Roman" w:eastAsia="Microsoft YaHei" w:hAnsi="Times New Roman"/>
          <w:sz w:val="24"/>
          <w:szCs w:val="24"/>
        </w:rPr>
        <w:tab/>
      </w:r>
      <w:r w:rsidRPr="00A94D0B">
        <w:rPr>
          <w:rFonts w:ascii="Times New Roman" w:eastAsia="Microsoft YaHei" w:hAnsi="Times New Roman"/>
          <w:sz w:val="24"/>
          <w:szCs w:val="24"/>
        </w:rPr>
        <w:t>A pesar de los distintos mecanismos propuestos, la gran mayoría de los autores, convienen en que se puede definir la coalescencia eléctrica como un mecanismo en tres etapas, las cuales se describen a continuación</w:t>
      </w:r>
      <w:r>
        <w:rPr>
          <w:rFonts w:ascii="Times New Roman" w:eastAsia="Microsoft YaHei" w:hAnsi="Times New Roman"/>
          <w:sz w:val="24"/>
          <w:szCs w:val="24"/>
        </w:rPr>
        <w:t xml:space="preserve"> </w:t>
      </w:r>
      <w:r w:rsidRPr="00F16B97">
        <w:rPr>
          <w:rFonts w:ascii="Times New Roman" w:hAnsi="Times New Roman"/>
          <w:sz w:val="24"/>
          <w:szCs w:val="24"/>
        </w:rPr>
        <w:t>(Jefreys y Davies, 1971</w:t>
      </w:r>
      <w:r>
        <w:rPr>
          <w:rFonts w:ascii="Times New Roman" w:hAnsi="Times New Roman"/>
          <w:sz w:val="24"/>
          <w:szCs w:val="24"/>
        </w:rPr>
        <w:t>):</w:t>
      </w:r>
    </w:p>
    <w:p w:rsidR="003A6929" w:rsidRPr="000378CE" w:rsidRDefault="003A6929" w:rsidP="000378CE">
      <w:pPr>
        <w:spacing w:line="360" w:lineRule="auto"/>
        <w:jc w:val="both"/>
        <w:rPr>
          <w:b/>
        </w:rPr>
      </w:pPr>
      <w:r w:rsidRPr="000378CE">
        <w:rPr>
          <w:rFonts w:eastAsia="Microsoft YaHei"/>
          <w:b/>
        </w:rPr>
        <w:t xml:space="preserve">Etapa 1: </w:t>
      </w:r>
      <w:r w:rsidRPr="000378CE">
        <w:rPr>
          <w:b/>
        </w:rPr>
        <w:t>Acercamiento macroscópico de las got</w:t>
      </w:r>
      <w:r w:rsidR="000378CE">
        <w:rPr>
          <w:b/>
        </w:rPr>
        <w:t>as – Acción del campo eléctrico</w:t>
      </w:r>
    </w:p>
    <w:p w:rsidR="003A6929" w:rsidRPr="00A94D0B" w:rsidRDefault="007B2232" w:rsidP="00320110">
      <w:pPr>
        <w:autoSpaceDE w:val="0"/>
        <w:autoSpaceDN w:val="0"/>
        <w:adjustRightInd w:val="0"/>
        <w:spacing w:after="240" w:line="360" w:lineRule="auto"/>
        <w:jc w:val="both"/>
        <w:rPr>
          <w:szCs w:val="24"/>
        </w:rPr>
      </w:pPr>
      <w:r>
        <w:rPr>
          <w:szCs w:val="24"/>
        </w:rPr>
        <w:tab/>
      </w:r>
      <w:r w:rsidR="003A6929" w:rsidRPr="00A94D0B">
        <w:rPr>
          <w:szCs w:val="24"/>
        </w:rPr>
        <w:t>La fuerza resultante entre dos gotas cargadas está dada por la Ley de Coulomb:</w:t>
      </w:r>
    </w:p>
    <w:p w:rsidR="003A6929" w:rsidRPr="001E51FA" w:rsidRDefault="003A6929" w:rsidP="00320110">
      <w:pPr>
        <w:spacing w:after="240" w:line="360" w:lineRule="auto"/>
        <w:jc w:val="center"/>
        <w:rPr>
          <w:rFonts w:eastAsia="Microsoft YaHei"/>
          <w:szCs w:val="24"/>
        </w:rPr>
      </w:pPr>
      <m:oMath>
        <m:r>
          <w:rPr>
            <w:rFonts w:ascii="Cambria Math" w:eastAsia="Microsoft YaHei" w:hAnsi="Cambria Math"/>
            <w:sz w:val="32"/>
            <w:szCs w:val="32"/>
          </w:rPr>
          <m:t>F</m:t>
        </m:r>
        <m:r>
          <w:rPr>
            <w:rFonts w:ascii="Cambria Math" w:eastAsia="Microsoft YaHei"/>
            <w:sz w:val="32"/>
            <w:szCs w:val="32"/>
          </w:rPr>
          <m:t>=</m:t>
        </m:r>
        <m:f>
          <m:fPr>
            <m:ctrlPr>
              <w:rPr>
                <w:rFonts w:ascii="Cambria Math" w:eastAsia="Microsoft YaHei" w:hAnsi="Cambria Math"/>
                <w:i/>
                <w:sz w:val="32"/>
                <w:szCs w:val="32"/>
              </w:rPr>
            </m:ctrlPr>
          </m:fPr>
          <m:num>
            <m:sSub>
              <m:sSubPr>
                <m:ctrlPr>
                  <w:rPr>
                    <w:rFonts w:ascii="Cambria Math" w:eastAsia="Microsoft YaHei" w:hAnsi="Cambria Math"/>
                    <w:i/>
                    <w:sz w:val="32"/>
                    <w:szCs w:val="32"/>
                  </w:rPr>
                </m:ctrlPr>
              </m:sSubPr>
              <m:e>
                <m:r>
                  <w:rPr>
                    <w:rFonts w:ascii="Cambria Math" w:eastAsia="Microsoft YaHei" w:hAnsi="Cambria Math"/>
                    <w:sz w:val="32"/>
                    <w:szCs w:val="32"/>
                  </w:rPr>
                  <m:t>q</m:t>
                </m:r>
              </m:e>
              <m:sub>
                <m:r>
                  <w:rPr>
                    <w:rFonts w:ascii="Cambria Math" w:eastAsia="Microsoft YaHei"/>
                    <w:sz w:val="32"/>
                    <w:szCs w:val="32"/>
                  </w:rPr>
                  <m:t>1</m:t>
                </m:r>
                <m:r>
                  <w:rPr>
                    <w:rFonts w:eastAsia="Microsoft YaHei"/>
                    <w:sz w:val="32"/>
                    <w:szCs w:val="32"/>
                  </w:rPr>
                  <m:t>∙</m:t>
                </m:r>
              </m:sub>
            </m:sSub>
            <m:sSub>
              <m:sSubPr>
                <m:ctrlPr>
                  <w:rPr>
                    <w:rFonts w:ascii="Cambria Math" w:eastAsia="Microsoft YaHei" w:hAnsi="Cambria Math"/>
                    <w:i/>
                    <w:sz w:val="32"/>
                    <w:szCs w:val="32"/>
                  </w:rPr>
                </m:ctrlPr>
              </m:sSubPr>
              <m:e>
                <m:r>
                  <w:rPr>
                    <w:rFonts w:ascii="Cambria Math" w:eastAsia="Microsoft YaHei" w:hAnsi="Cambria Math"/>
                    <w:sz w:val="32"/>
                    <w:szCs w:val="32"/>
                  </w:rPr>
                  <m:t>q</m:t>
                </m:r>
              </m:e>
              <m:sub>
                <m:r>
                  <w:rPr>
                    <w:rFonts w:ascii="Cambria Math" w:eastAsia="Microsoft YaHei"/>
                    <w:sz w:val="32"/>
                    <w:szCs w:val="32"/>
                  </w:rPr>
                  <m:t>2</m:t>
                </m:r>
              </m:sub>
            </m:sSub>
          </m:num>
          <m:den>
            <m:r>
              <w:rPr>
                <w:rFonts w:ascii="Cambria Math" w:eastAsia="Microsoft YaHei"/>
                <w:sz w:val="32"/>
                <w:szCs w:val="32"/>
              </w:rPr>
              <m:t>4</m:t>
            </m:r>
            <m:r>
              <w:rPr>
                <w:rFonts w:ascii="Cambria Math" w:eastAsia="Microsoft YaHei" w:hAnsi="Cambria Math"/>
                <w:sz w:val="32"/>
                <w:szCs w:val="32"/>
              </w:rPr>
              <m:t>π</m:t>
            </m:r>
            <m:sSub>
              <m:sSubPr>
                <m:ctrlPr>
                  <w:rPr>
                    <w:rFonts w:ascii="Cambria Math" w:eastAsia="Microsoft YaHei" w:hAnsi="Cambria Math"/>
                    <w:i/>
                    <w:sz w:val="32"/>
                    <w:szCs w:val="32"/>
                  </w:rPr>
                </m:ctrlPr>
              </m:sSubPr>
              <m:e>
                <m:r>
                  <w:rPr>
                    <w:rFonts w:ascii="Cambria Math" w:eastAsia="Microsoft YaHei" w:hAnsi="Cambria Math"/>
                    <w:sz w:val="32"/>
                    <w:szCs w:val="32"/>
                  </w:rPr>
                  <m:t>ε</m:t>
                </m:r>
              </m:e>
              <m:sub>
                <m:r>
                  <w:rPr>
                    <w:rFonts w:ascii="Cambria Math" w:eastAsia="Microsoft YaHei"/>
                    <w:sz w:val="32"/>
                    <w:szCs w:val="32"/>
                  </w:rPr>
                  <m:t>0</m:t>
                </m:r>
              </m:sub>
            </m:sSub>
            <m:sSup>
              <m:sSupPr>
                <m:ctrlPr>
                  <w:rPr>
                    <w:rFonts w:ascii="Cambria Math" w:eastAsia="Microsoft YaHei" w:hAnsi="Cambria Math"/>
                    <w:i/>
                    <w:sz w:val="32"/>
                    <w:szCs w:val="32"/>
                  </w:rPr>
                </m:ctrlPr>
              </m:sSupPr>
              <m:e>
                <m:r>
                  <w:rPr>
                    <w:rFonts w:ascii="Cambria Math" w:eastAsia="Microsoft YaHei" w:hAnsi="Cambria Math"/>
                    <w:sz w:val="32"/>
                    <w:szCs w:val="32"/>
                  </w:rPr>
                  <m:t>x</m:t>
                </m:r>
              </m:e>
              <m:sup>
                <m:r>
                  <w:rPr>
                    <w:rFonts w:ascii="Cambria Math" w:eastAsia="Microsoft YaHei"/>
                    <w:sz w:val="32"/>
                    <w:szCs w:val="32"/>
                  </w:rPr>
                  <m:t>2</m:t>
                </m:r>
              </m:sup>
            </m:sSup>
          </m:den>
        </m:f>
        <m:r>
          <w:rPr>
            <w:rFonts w:ascii="Cambria Math" w:eastAsia="Microsoft YaHei"/>
            <w:sz w:val="32"/>
            <w:szCs w:val="32"/>
          </w:rPr>
          <m:t xml:space="preserve"> </m:t>
        </m:r>
      </m:oMath>
      <w:r w:rsidR="00C10CC9">
        <w:rPr>
          <w:rFonts w:eastAsia="Microsoft YaHei"/>
          <w:sz w:val="20"/>
        </w:rPr>
        <w:t xml:space="preserve"> </w:t>
      </w:r>
      <w:r w:rsidRPr="001E51FA">
        <w:rPr>
          <w:rFonts w:eastAsia="Microsoft YaHei"/>
          <w:sz w:val="20"/>
        </w:rPr>
        <w:t>Ec</w:t>
      </w:r>
      <w:r w:rsidR="00320110">
        <w:rPr>
          <w:rFonts w:eastAsia="Microsoft YaHei"/>
          <w:sz w:val="20"/>
        </w:rPr>
        <w:t>uación</w:t>
      </w:r>
      <w:r w:rsidRPr="001E51FA">
        <w:rPr>
          <w:rFonts w:eastAsia="Microsoft YaHei"/>
          <w:sz w:val="20"/>
        </w:rPr>
        <w:t xml:space="preserve"> </w:t>
      </w:r>
      <w:r w:rsidR="00C10CC9">
        <w:rPr>
          <w:rFonts w:eastAsia="Microsoft YaHei"/>
          <w:sz w:val="20"/>
        </w:rPr>
        <w:t>(</w:t>
      </w:r>
      <w:r w:rsidRPr="001E51FA">
        <w:rPr>
          <w:rFonts w:eastAsia="Microsoft YaHei"/>
          <w:sz w:val="20"/>
        </w:rPr>
        <w:t>1)</w:t>
      </w:r>
    </w:p>
    <w:p w:rsidR="003A6929" w:rsidRPr="001E51FA" w:rsidRDefault="003A6929" w:rsidP="00405CA1">
      <w:pPr>
        <w:autoSpaceDE w:val="0"/>
        <w:autoSpaceDN w:val="0"/>
        <w:adjustRightInd w:val="0"/>
        <w:spacing w:line="360" w:lineRule="auto"/>
        <w:jc w:val="both"/>
        <w:rPr>
          <w:rFonts w:eastAsia="Microsoft YaHei"/>
          <w:szCs w:val="24"/>
        </w:rPr>
      </w:pPr>
      <w:r>
        <w:rPr>
          <w:szCs w:val="24"/>
        </w:rPr>
        <w:t xml:space="preserve">, </w:t>
      </w:r>
      <w:r w:rsidRPr="00A94D0B">
        <w:rPr>
          <w:szCs w:val="24"/>
        </w:rPr>
        <w:t xml:space="preserve">donde </w:t>
      </w:r>
      <w:r w:rsidRPr="00A94D0B">
        <w:rPr>
          <w:bCs/>
          <w:i/>
          <w:szCs w:val="24"/>
        </w:rPr>
        <w:t>q</w:t>
      </w:r>
      <w:r w:rsidRPr="00A94D0B">
        <w:rPr>
          <w:bCs/>
          <w:szCs w:val="24"/>
        </w:rPr>
        <w:t xml:space="preserve"> </w:t>
      </w:r>
      <w:r w:rsidRPr="00A94D0B">
        <w:rPr>
          <w:szCs w:val="24"/>
        </w:rPr>
        <w:t xml:space="preserve">es la carga de la gota, </w:t>
      </w:r>
      <w:r w:rsidRPr="00A94D0B">
        <w:rPr>
          <w:bCs/>
          <w:i/>
          <w:szCs w:val="24"/>
        </w:rPr>
        <w:t>x</w:t>
      </w:r>
      <w:r w:rsidRPr="00A94D0B">
        <w:rPr>
          <w:bCs/>
          <w:szCs w:val="24"/>
        </w:rPr>
        <w:t xml:space="preserve"> </w:t>
      </w:r>
      <w:r w:rsidRPr="00A94D0B">
        <w:rPr>
          <w:szCs w:val="24"/>
        </w:rPr>
        <w:t xml:space="preserve">es la distancia entre los centros de las gotas y </w:t>
      </w:r>
      <m:oMath>
        <m:sSub>
          <m:sSubPr>
            <m:ctrlPr>
              <w:rPr>
                <w:rFonts w:ascii="Cambria Math" w:eastAsia="Microsoft YaHei" w:hAnsi="Cambria Math"/>
                <w:b/>
                <w:i/>
                <w:szCs w:val="24"/>
              </w:rPr>
            </m:ctrlPr>
          </m:sSubPr>
          <m:e>
            <m:r>
              <m:rPr>
                <m:sty m:val="bi"/>
              </m:rPr>
              <w:rPr>
                <w:rFonts w:ascii="Cambria Math" w:eastAsia="Microsoft YaHei" w:hAnsi="Cambria Math"/>
                <w:szCs w:val="24"/>
              </w:rPr>
              <m:t>ε</m:t>
            </m:r>
          </m:e>
          <m:sub>
            <m:r>
              <m:rPr>
                <m:sty m:val="bi"/>
              </m:rPr>
              <w:rPr>
                <w:rFonts w:ascii="Cambria Math" w:eastAsia="Microsoft YaHei" w:hAnsi="Cambria Math"/>
                <w:szCs w:val="24"/>
              </w:rPr>
              <m:t>0</m:t>
            </m:r>
          </m:sub>
        </m:sSub>
      </m:oMath>
      <w:r w:rsidRPr="00A94D0B">
        <w:rPr>
          <w:bCs/>
          <w:szCs w:val="24"/>
        </w:rPr>
        <w:t xml:space="preserve"> </w:t>
      </w:r>
      <w:r w:rsidRPr="00A94D0B">
        <w:rPr>
          <w:szCs w:val="24"/>
        </w:rPr>
        <w:t xml:space="preserve">la permitividad de la fase continua. La dirección del movimiento depende de la polaridad de la carga y del campo eléctrico. </w:t>
      </w:r>
    </w:p>
    <w:p w:rsidR="003A6929" w:rsidRPr="00A94D0B" w:rsidRDefault="003A6929" w:rsidP="003A6929">
      <w:pPr>
        <w:spacing w:line="360" w:lineRule="auto"/>
        <w:jc w:val="both"/>
        <w:rPr>
          <w:rFonts w:eastAsia="Microsoft YaHei"/>
          <w:szCs w:val="24"/>
        </w:rPr>
      </w:pPr>
      <w:r w:rsidRPr="00A94D0B">
        <w:rPr>
          <w:szCs w:val="24"/>
        </w:rPr>
        <w:tab/>
        <w:t>Las ecuaci</w:t>
      </w:r>
      <w:r w:rsidR="00405CA1">
        <w:rPr>
          <w:szCs w:val="24"/>
        </w:rPr>
        <w:t>ón</w:t>
      </w:r>
      <w:r w:rsidRPr="00A94D0B">
        <w:rPr>
          <w:szCs w:val="24"/>
        </w:rPr>
        <w:t xml:space="preserve"> presentada constituyen únicamente una aproximación a la fuerza real actuante en este mecanismo de coalescencia. </w:t>
      </w:r>
      <w:r w:rsidRPr="00A94D0B">
        <w:rPr>
          <w:rFonts w:eastAsia="Microsoft YaHei"/>
          <w:szCs w:val="24"/>
        </w:rPr>
        <w:t xml:space="preserve">La ecuación es inválida cuando las </w:t>
      </w:r>
      <w:r w:rsidRPr="00A94D0B">
        <w:rPr>
          <w:rFonts w:eastAsia="Microsoft YaHei"/>
          <w:szCs w:val="24"/>
        </w:rPr>
        <w:lastRenderedPageBreak/>
        <w:t xml:space="preserve">gotas se acercan a una distancia crítica dado </w:t>
      </w:r>
      <w:r>
        <w:rPr>
          <w:rFonts w:eastAsia="Microsoft YaHei"/>
          <w:szCs w:val="24"/>
        </w:rPr>
        <w:t xml:space="preserve">que </w:t>
      </w:r>
      <w:r w:rsidRPr="00A94D0B">
        <w:rPr>
          <w:rFonts w:eastAsia="Microsoft YaHei"/>
          <w:szCs w:val="24"/>
        </w:rPr>
        <w:t xml:space="preserve">actúan fuerzas y fenómenos de otra índole. Además, la Ley de Coulomb parte de la premisa de que las gotas no están cargadas y que son de igual tamaño, lo cual para efectos de una emulsión natural </w:t>
      </w:r>
      <w:r>
        <w:rPr>
          <w:rFonts w:eastAsia="Microsoft YaHei"/>
          <w:szCs w:val="24"/>
        </w:rPr>
        <w:t>de</w:t>
      </w:r>
      <w:r w:rsidRPr="00A94D0B">
        <w:rPr>
          <w:rFonts w:eastAsia="Microsoft YaHei"/>
          <w:szCs w:val="24"/>
        </w:rPr>
        <w:t xml:space="preserve"> agua-crudo</w:t>
      </w:r>
      <w:r>
        <w:rPr>
          <w:rFonts w:eastAsia="Microsoft YaHei"/>
          <w:szCs w:val="24"/>
        </w:rPr>
        <w:t>,</w:t>
      </w:r>
      <w:r w:rsidRPr="00A94D0B">
        <w:rPr>
          <w:rFonts w:eastAsia="Microsoft YaHei"/>
          <w:szCs w:val="24"/>
        </w:rPr>
        <w:t xml:space="preserve"> esta última condición no se cumple, y en presencia de un campo eléctrico externo las gotas adquieren una carga, precisamente por la formación de momentos dipolares</w:t>
      </w:r>
      <w:r>
        <w:rPr>
          <w:rFonts w:eastAsia="Microsoft YaHei"/>
          <w:szCs w:val="24"/>
        </w:rPr>
        <w:t xml:space="preserve"> (Marfisi y Salaguer, 2004).</w:t>
      </w:r>
    </w:p>
    <w:p w:rsidR="003A6929" w:rsidRPr="003A7A12" w:rsidRDefault="003A6929" w:rsidP="003A6929">
      <w:pPr>
        <w:spacing w:line="360" w:lineRule="auto"/>
        <w:jc w:val="both"/>
        <w:rPr>
          <w:rFonts w:eastAsia="Microsoft YaHei"/>
          <w:sz w:val="20"/>
        </w:rPr>
      </w:pPr>
      <w:r w:rsidRPr="00A94D0B">
        <w:rPr>
          <w:color w:val="000000"/>
          <w:szCs w:val="24"/>
        </w:rPr>
        <w:tab/>
        <w:t xml:space="preserve">Existe otro fenómeno importante que resulta de aplicar un campo eléctrico a una emulsión </w:t>
      </w:r>
      <w:r w:rsidRPr="001E51FA">
        <w:rPr>
          <w:color w:val="000000"/>
          <w:szCs w:val="24"/>
        </w:rPr>
        <w:t>agua en crudo, producto de la polarización de las gotas. Este fenómeno es la distorsión de la gota o deformación (</w:t>
      </w:r>
      <w:r w:rsidRPr="001E51FA">
        <w:rPr>
          <w:szCs w:val="24"/>
        </w:rPr>
        <w:t>Taylor, 1988)</w:t>
      </w:r>
      <w:r>
        <w:rPr>
          <w:szCs w:val="24"/>
        </w:rPr>
        <w:t>.</w:t>
      </w:r>
    </w:p>
    <w:p w:rsidR="003A6929" w:rsidRPr="001E51FA" w:rsidRDefault="003A6929" w:rsidP="003A6929">
      <w:pPr>
        <w:spacing w:line="360" w:lineRule="auto"/>
        <w:jc w:val="both"/>
        <w:rPr>
          <w:szCs w:val="24"/>
        </w:rPr>
      </w:pPr>
      <w:r w:rsidRPr="00A94D0B">
        <w:rPr>
          <w:color w:val="000000"/>
          <w:szCs w:val="24"/>
        </w:rPr>
        <w:tab/>
        <w:t xml:space="preserve">Cuando se habla de distorsión de la gota se hace referencia a que la desestabilización toma lugar debido a la elongación de la gota en la dirección de </w:t>
      </w:r>
      <w:r w:rsidRPr="001E51FA">
        <w:rPr>
          <w:color w:val="000000"/>
          <w:szCs w:val="24"/>
        </w:rPr>
        <w:t>mayor intensidad del campo y su oscilación a una frecuencia dos veces mayor a la del campo, aunque esta oscilación variará de acuerdo al tipo de corriente del campo eléctrico aplicado (</w:t>
      </w:r>
      <w:r w:rsidR="00320110">
        <w:rPr>
          <w:szCs w:val="24"/>
        </w:rPr>
        <w:t>Lundgaard y otros</w:t>
      </w:r>
      <w:r w:rsidRPr="001E51FA">
        <w:rPr>
          <w:szCs w:val="24"/>
        </w:rPr>
        <w:t xml:space="preserve">, 2006). </w:t>
      </w:r>
    </w:p>
    <w:p w:rsidR="003A6929" w:rsidRPr="001E51FA" w:rsidRDefault="003A6929" w:rsidP="003A6929">
      <w:pPr>
        <w:autoSpaceDE w:val="0"/>
        <w:autoSpaceDN w:val="0"/>
        <w:adjustRightInd w:val="0"/>
        <w:spacing w:line="360" w:lineRule="auto"/>
        <w:jc w:val="both"/>
        <w:rPr>
          <w:szCs w:val="24"/>
        </w:rPr>
      </w:pPr>
      <w:r w:rsidRPr="001E51FA">
        <w:rPr>
          <w:color w:val="000000"/>
          <w:szCs w:val="24"/>
        </w:rPr>
        <w:tab/>
        <w:t>El equilibrio esférico de una gota en un campo eléctrico puede verse solo afectado si hay un desbalance entre el estrés inducido por el campo eléctrico y una diferencia de presión variable entre la zona externa e interna de la gota d</w:t>
      </w:r>
      <w:r>
        <w:rPr>
          <w:color w:val="000000"/>
          <w:szCs w:val="24"/>
        </w:rPr>
        <w:t>ebido al movimiento de la gota (</w:t>
      </w:r>
      <w:r w:rsidRPr="003E1771">
        <w:rPr>
          <w:color w:val="000000"/>
          <w:szCs w:val="24"/>
        </w:rPr>
        <w:t xml:space="preserve">Taylor, </w:t>
      </w:r>
      <w:r>
        <w:rPr>
          <w:color w:val="000000"/>
          <w:szCs w:val="24"/>
        </w:rPr>
        <w:t>1966).</w:t>
      </w:r>
    </w:p>
    <w:p w:rsidR="003A6929" w:rsidRPr="003E1771" w:rsidRDefault="003A6929" w:rsidP="003A6929">
      <w:pPr>
        <w:autoSpaceDE w:val="0"/>
        <w:autoSpaceDN w:val="0"/>
        <w:adjustRightInd w:val="0"/>
        <w:spacing w:line="360" w:lineRule="auto"/>
        <w:jc w:val="both"/>
        <w:rPr>
          <w:i/>
          <w:sz w:val="20"/>
        </w:rPr>
      </w:pPr>
      <w:r w:rsidRPr="00A94D0B">
        <w:rPr>
          <w:color w:val="000000"/>
          <w:szCs w:val="24"/>
        </w:rPr>
        <w:tab/>
        <w:t>El grado de deformación de la gota dependerá del patrón de flujo de la emulsión alrededor de la gota y de las propiedades físicas de la fase continua como la densidad, la viscosidad, la tensión interfacial, la velocidad de flujo y el tamaño de la gota. Muchas veces la deformación de la gota puede llevar a una ruptura de la gota, sobre todo cuando la magnitud del campo eléctrico aplicado es bastante alta, lo cual es desfavorable para la coalescencia</w:t>
      </w:r>
      <w:r>
        <w:rPr>
          <w:color w:val="000000"/>
          <w:szCs w:val="24"/>
        </w:rPr>
        <w:t xml:space="preserve"> (Eow y Ghadiri, 2001).</w:t>
      </w:r>
    </w:p>
    <w:p w:rsidR="003A6929" w:rsidRPr="00A94D0B" w:rsidRDefault="003A6929" w:rsidP="00A22DA7">
      <w:pPr>
        <w:spacing w:after="240" w:line="360" w:lineRule="auto"/>
        <w:jc w:val="both"/>
        <w:rPr>
          <w:szCs w:val="24"/>
        </w:rPr>
      </w:pPr>
      <w:r w:rsidRPr="003E1771">
        <w:rPr>
          <w:szCs w:val="24"/>
        </w:rPr>
        <w:tab/>
      </w:r>
      <w:r w:rsidRPr="00A94D0B">
        <w:rPr>
          <w:szCs w:val="24"/>
        </w:rPr>
        <w:t xml:space="preserve">Existen </w:t>
      </w:r>
      <w:r>
        <w:rPr>
          <w:szCs w:val="24"/>
        </w:rPr>
        <w:t xml:space="preserve">La fuerzas que inducen </w:t>
      </w:r>
      <w:r w:rsidRPr="00A94D0B">
        <w:rPr>
          <w:szCs w:val="24"/>
        </w:rPr>
        <w:t>la interacción dinámica entre las gotas de agua y el campo eléctrico aplicado son las fuerzas electroforéticas o electroforesis y las fuerzas dielectroforéticas o dielectroforésis, que se definen a continuación:</w:t>
      </w:r>
    </w:p>
    <w:p w:rsidR="00405CA1" w:rsidRDefault="00405CA1" w:rsidP="00A22DA7">
      <w:pPr>
        <w:spacing w:line="360" w:lineRule="auto"/>
        <w:jc w:val="both"/>
        <w:rPr>
          <w:b/>
        </w:rPr>
      </w:pPr>
    </w:p>
    <w:p w:rsidR="00405CA1" w:rsidRDefault="00405CA1" w:rsidP="00A22DA7">
      <w:pPr>
        <w:spacing w:line="360" w:lineRule="auto"/>
        <w:jc w:val="both"/>
        <w:rPr>
          <w:b/>
        </w:rPr>
      </w:pPr>
    </w:p>
    <w:p w:rsidR="007B2232" w:rsidRPr="007B2232" w:rsidRDefault="003A6929" w:rsidP="00A22DA7">
      <w:pPr>
        <w:spacing w:line="360" w:lineRule="auto"/>
        <w:jc w:val="both"/>
        <w:rPr>
          <w:b/>
        </w:rPr>
      </w:pPr>
      <w:r w:rsidRPr="007B2232">
        <w:rPr>
          <w:b/>
        </w:rPr>
        <w:lastRenderedPageBreak/>
        <w:t>Electroforesis</w:t>
      </w:r>
    </w:p>
    <w:p w:rsidR="003A6929" w:rsidRPr="00A94D0B" w:rsidRDefault="007B2232" w:rsidP="00DE63EB">
      <w:pPr>
        <w:spacing w:line="360" w:lineRule="auto"/>
        <w:jc w:val="both"/>
        <w:rPr>
          <w:szCs w:val="24"/>
        </w:rPr>
      </w:pPr>
      <w:r>
        <w:rPr>
          <w:szCs w:val="24"/>
        </w:rPr>
        <w:tab/>
      </w:r>
      <w:r w:rsidR="003A6929" w:rsidRPr="00A94D0B">
        <w:rPr>
          <w:szCs w:val="24"/>
        </w:rPr>
        <w:t>El término de electroforésis se refiere al movimiento de partículas cargadas a través de un fluido estacionario bajo la influencia de un campo eléctrico. El principio fundamental de la electroforésis es la separación de las cargas entre la superficie del fluido y el fluido inmediatamente circundante. La movilidad electroforética se define como la velocidad de la partícula entre la magnitud del campo eléctrico aplicado.</w:t>
      </w:r>
    </w:p>
    <w:p w:rsidR="007B2232" w:rsidRDefault="003A6929" w:rsidP="00DE63EB">
      <w:pPr>
        <w:spacing w:before="240" w:line="360" w:lineRule="auto"/>
        <w:jc w:val="both"/>
        <w:rPr>
          <w:b/>
          <w:szCs w:val="24"/>
        </w:rPr>
      </w:pPr>
      <w:r w:rsidRPr="00320110">
        <w:rPr>
          <w:b/>
          <w:szCs w:val="24"/>
        </w:rPr>
        <w:t>Dielectroforési</w:t>
      </w:r>
      <w:r w:rsidR="00320110" w:rsidRPr="00320110">
        <w:rPr>
          <w:b/>
          <w:szCs w:val="24"/>
        </w:rPr>
        <w:t>s</w:t>
      </w:r>
    </w:p>
    <w:p w:rsidR="003A6929" w:rsidRDefault="007B2232" w:rsidP="007B2232">
      <w:pPr>
        <w:spacing w:after="240" w:line="360" w:lineRule="auto"/>
        <w:jc w:val="both"/>
        <w:rPr>
          <w:rFonts w:eastAsia="Microsoft YaHei"/>
          <w:szCs w:val="24"/>
        </w:rPr>
      </w:pPr>
      <w:r>
        <w:rPr>
          <w:szCs w:val="24"/>
        </w:rPr>
        <w:tab/>
      </w:r>
      <w:r w:rsidR="003A6929" w:rsidRPr="00320110">
        <w:rPr>
          <w:szCs w:val="24"/>
        </w:rPr>
        <w:t>La dielectroforesis</w:t>
      </w:r>
      <w:r w:rsidR="003A6929" w:rsidRPr="00A94D0B">
        <w:rPr>
          <w:szCs w:val="24"/>
        </w:rPr>
        <w:t xml:space="preserve"> es definida como el movimiento de la materia causado por efectos de polarización en un campo eléctrico no uniforme. Para gotas con una permitividad mayor que el medio de suspensión, tal como ocurre con las emulsiones </w:t>
      </w:r>
      <w:r w:rsidR="003A6929">
        <w:rPr>
          <w:szCs w:val="24"/>
        </w:rPr>
        <w:t>W/O</w:t>
      </w:r>
      <w:r w:rsidR="003A6929" w:rsidRPr="00A94D0B">
        <w:rPr>
          <w:szCs w:val="24"/>
        </w:rPr>
        <w:t>, estas se moverán en la dirección de mayor intensidad del campo eléctrico aplicado. Esto no requiere de partículas cargadas y depende de la fuerza a la que están sometidos todos los materiales polares asociados a la emulsión cuando se encuentran en presencia de un campo eléctrico no uniforme. En estos materiales se formarán entonces dipolos, los cuales tendrán una separación finita de igual cantidad de cargas positivas y negativas</w:t>
      </w:r>
      <w:r w:rsidR="003A6929">
        <w:rPr>
          <w:szCs w:val="24"/>
        </w:rPr>
        <w:t>,</w:t>
      </w:r>
      <w:r w:rsidR="003A6929" w:rsidRPr="00A94D0B">
        <w:rPr>
          <w:szCs w:val="24"/>
        </w:rPr>
        <w:t xml:space="preserve"> y estarán alineados con las líneas de flujo del campo eléctrico. </w:t>
      </w:r>
      <w:r>
        <w:rPr>
          <w:szCs w:val="24"/>
        </w:rPr>
        <w:tab/>
      </w:r>
      <w:r w:rsidR="003A6929" w:rsidRPr="00A94D0B">
        <w:rPr>
          <w:szCs w:val="24"/>
        </w:rPr>
        <w:t xml:space="preserve">En las zonas en las que el campo no es uniforme, la carga de uno de los extremos de estos dipolos sufrirá un desbalance resultando en una carga parcial menor a la del otro extremo del dipolo, originando así el movimiento de este a la zona de mayor intensidad de campo. La fuerza dielectroforética generada será </w:t>
      </w:r>
      <w:r w:rsidR="003A6929">
        <w:rPr>
          <w:szCs w:val="24"/>
        </w:rPr>
        <w:t>in</w:t>
      </w:r>
      <w:r w:rsidR="003A6929" w:rsidRPr="00A94D0B">
        <w:rPr>
          <w:szCs w:val="24"/>
        </w:rPr>
        <w:t>dependiente de la distancia inter-gota pero dependiente de las variaciones en la intensidad del campo aplicado en las zonas más divergentes. En situaciones en las cuales las gotas adquieren una carga parcial mu</w:t>
      </w:r>
      <w:r w:rsidR="003A6929">
        <w:rPr>
          <w:szCs w:val="24"/>
        </w:rPr>
        <w:t>y baja o insignificante debido</w:t>
      </w:r>
      <w:r w:rsidR="003A6929" w:rsidRPr="00A94D0B">
        <w:rPr>
          <w:szCs w:val="24"/>
        </w:rPr>
        <w:t xml:space="preserve"> al uso por ejemplo de electrodos aislados, la dielectroforesis pasará a ser la primera fuerza que regirá la coalescencia </w:t>
      </w:r>
      <w:r w:rsidR="003A6929" w:rsidRPr="003E1771">
        <w:rPr>
          <w:szCs w:val="24"/>
        </w:rPr>
        <w:t>(Eow, Ghadiri, Sharif y Williams, 2001)</w:t>
      </w:r>
      <w:r w:rsidR="003A6929" w:rsidRPr="003E1771">
        <w:rPr>
          <w:rFonts w:eastAsia="Microsoft YaHei"/>
          <w:szCs w:val="24"/>
        </w:rPr>
        <w:t>.</w:t>
      </w:r>
    </w:p>
    <w:p w:rsidR="00041E85" w:rsidRPr="000378CE" w:rsidRDefault="00041E85" w:rsidP="000378CE">
      <w:pPr>
        <w:spacing w:line="360" w:lineRule="auto"/>
        <w:jc w:val="both"/>
        <w:rPr>
          <w:b/>
        </w:rPr>
      </w:pPr>
      <w:r w:rsidRPr="000378CE">
        <w:rPr>
          <w:b/>
        </w:rPr>
        <w:t>Inducción-interacción dipolo-dipolo</w:t>
      </w:r>
    </w:p>
    <w:p w:rsidR="00041E85" w:rsidRPr="00A94D0B" w:rsidRDefault="00041E85" w:rsidP="00041E85">
      <w:pPr>
        <w:spacing w:line="360" w:lineRule="auto"/>
        <w:ind w:firstLine="720"/>
        <w:jc w:val="both"/>
        <w:rPr>
          <w:rFonts w:eastAsia="Microsoft YaHei"/>
          <w:szCs w:val="24"/>
        </w:rPr>
      </w:pPr>
      <w:r w:rsidRPr="00A94D0B">
        <w:rPr>
          <w:rStyle w:val="apple-style-span"/>
          <w:color w:val="000000"/>
          <w:szCs w:val="24"/>
          <w:shd w:val="clear" w:color="auto" w:fill="FFFFFF"/>
        </w:rPr>
        <w:t>Un</w:t>
      </w:r>
      <w:r>
        <w:rPr>
          <w:rStyle w:val="apple-style-span"/>
          <w:color w:val="000000"/>
          <w:szCs w:val="24"/>
          <w:shd w:val="clear" w:color="auto" w:fill="FFFFFF"/>
        </w:rPr>
        <w:t xml:space="preserve"> </w:t>
      </w:r>
      <w:r w:rsidRPr="00A94D0B">
        <w:rPr>
          <w:rStyle w:val="apple-style-span"/>
          <w:bCs/>
          <w:color w:val="000000"/>
          <w:szCs w:val="24"/>
          <w:shd w:val="clear" w:color="auto" w:fill="FFFFFF"/>
        </w:rPr>
        <w:t>dipolo eléctrico</w:t>
      </w:r>
      <w:r>
        <w:rPr>
          <w:rStyle w:val="apple-style-span"/>
          <w:bCs/>
          <w:color w:val="000000"/>
          <w:szCs w:val="24"/>
          <w:shd w:val="clear" w:color="auto" w:fill="FFFFFF"/>
        </w:rPr>
        <w:t xml:space="preserve"> </w:t>
      </w:r>
      <w:r w:rsidRPr="00A94D0B">
        <w:rPr>
          <w:rStyle w:val="apple-style-span"/>
          <w:color w:val="000000"/>
          <w:szCs w:val="24"/>
          <w:shd w:val="clear" w:color="auto" w:fill="FFFFFF"/>
        </w:rPr>
        <w:t>es un sistema de dos cargas de signo opuesto e igual magnitud cercanas entre sí, por lo tanto c</w:t>
      </w:r>
      <w:r w:rsidRPr="00A94D0B">
        <w:rPr>
          <w:rFonts w:eastAsia="Microsoft YaHei"/>
          <w:szCs w:val="24"/>
        </w:rPr>
        <w:t xml:space="preserve">ualquier dipolo tendrá una separación finita de igualdad cantidad de cargas positivas y negativas en él. Cuando el campo eléctrico </w:t>
      </w:r>
      <w:r w:rsidRPr="00A94D0B">
        <w:rPr>
          <w:rFonts w:eastAsia="Microsoft YaHei"/>
          <w:szCs w:val="24"/>
        </w:rPr>
        <w:lastRenderedPageBreak/>
        <w:t>no es uniforme, la distribución de cargas en la partícula no será uniforme resultando esto en una fuerza neta, que empuja al dipolo hacia el lugar de mayor intensidad de campo. Por esto la dirección de las gotas dependerá de la carga y polaridad del campo eléctrico.</w:t>
      </w:r>
    </w:p>
    <w:p w:rsidR="00041E85" w:rsidRPr="00A94D0B" w:rsidRDefault="00041E85" w:rsidP="00041E85">
      <w:pPr>
        <w:spacing w:line="360" w:lineRule="auto"/>
        <w:jc w:val="both"/>
        <w:rPr>
          <w:rFonts w:eastAsia="Microsoft YaHei"/>
          <w:szCs w:val="24"/>
        </w:rPr>
      </w:pPr>
      <w:r w:rsidRPr="00A94D0B">
        <w:rPr>
          <w:rFonts w:eastAsia="Microsoft YaHei"/>
          <w:szCs w:val="24"/>
        </w:rPr>
        <w:tab/>
        <w:t xml:space="preserve">Cuando gotas de agua están dispersas en un aceite y el sistema se somete a un campo eléctrico externo, la redistribución de las cargas de la gota creará una polarización interfacial e inducirá un momento dipolar en ellas. </w:t>
      </w:r>
      <w:r w:rsidRPr="00A94D0B">
        <w:rPr>
          <w:szCs w:val="24"/>
        </w:rPr>
        <w:t>Esta polarización interfacial se debe a una redistribución de cargas en la superficie de las gotas por efecto del campo eléctrico.</w:t>
      </w:r>
      <w:r w:rsidRPr="00A94D0B">
        <w:rPr>
          <w:rFonts w:eastAsia="Microsoft YaHei"/>
          <w:szCs w:val="24"/>
        </w:rPr>
        <w:t xml:space="preserve"> Las variaciones de los dipolos inducidos en las gotas variarán de acuerdo al campo eléctrico aplicado, es decir, de acuerdo a su magnitud y dirección.</w:t>
      </w:r>
    </w:p>
    <w:p w:rsidR="00041E85" w:rsidRPr="00A94D0B" w:rsidRDefault="00041E85" w:rsidP="00041E85">
      <w:pPr>
        <w:spacing w:line="360" w:lineRule="auto"/>
        <w:jc w:val="both"/>
        <w:rPr>
          <w:rFonts w:eastAsia="Microsoft YaHei"/>
          <w:szCs w:val="24"/>
        </w:rPr>
      </w:pPr>
      <w:r w:rsidRPr="00A94D0B">
        <w:rPr>
          <w:rFonts w:eastAsia="Microsoft YaHei"/>
          <w:szCs w:val="24"/>
        </w:rPr>
        <w:tab/>
        <w:t>Una vez inducido el momento dipolar en las gotas, una fuerza atractiva dielectroforética hará que las gotas se atraigan unas otras y posteriormente colisionen. La dielectroforésis es la responsable del movimiento de las gotas producto de su polarización, o como ya se ha mencionado antes, de su inducción dipolar.</w:t>
      </w:r>
    </w:p>
    <w:p w:rsidR="00041E85" w:rsidRPr="00A94D0B" w:rsidRDefault="00041E85" w:rsidP="00041E85">
      <w:pPr>
        <w:spacing w:line="360" w:lineRule="auto"/>
        <w:jc w:val="both"/>
        <w:rPr>
          <w:szCs w:val="24"/>
        </w:rPr>
      </w:pPr>
      <w:r w:rsidRPr="00A94D0B">
        <w:rPr>
          <w:szCs w:val="24"/>
        </w:rPr>
        <w:tab/>
        <w:t>La fuerza de la interacción dipolo-dipolo depende del tamaño de la gota de agua y del espacio entre las gotas, tendiendo a disminuir mientras mayor separación se encuentre entre ellas. Por lo tanto, a medida que las gotas de agua coalescen aumenta el espacio existente entre las gotas la interacción dipolo-dipolo tiende a disminuir rápidamente.</w:t>
      </w:r>
    </w:p>
    <w:p w:rsidR="00041E85" w:rsidRPr="00A94D0B" w:rsidRDefault="00041E85" w:rsidP="00041E85">
      <w:pPr>
        <w:autoSpaceDE w:val="0"/>
        <w:autoSpaceDN w:val="0"/>
        <w:adjustRightInd w:val="0"/>
        <w:spacing w:after="240" w:line="360" w:lineRule="auto"/>
        <w:ind w:firstLine="567"/>
        <w:jc w:val="both"/>
        <w:rPr>
          <w:szCs w:val="24"/>
        </w:rPr>
      </w:pPr>
      <w:r w:rsidRPr="00A94D0B">
        <w:rPr>
          <w:szCs w:val="24"/>
        </w:rPr>
        <w:t xml:space="preserve">Algunos investigadores han considerado que la primera fuerza de coalescencia, independientemente del tipo de campo </w:t>
      </w:r>
      <w:r w:rsidRPr="00F31F4B">
        <w:rPr>
          <w:szCs w:val="24"/>
        </w:rPr>
        <w:t>al que se someta la emulsión, es la coalescencia por efecto de una interacción dipolo-dipolo (Eow y Ghadiri, 2001).</w:t>
      </w:r>
    </w:p>
    <w:p w:rsidR="003A6929" w:rsidRPr="000378CE" w:rsidRDefault="003A6929" w:rsidP="000378CE">
      <w:pPr>
        <w:spacing w:line="360" w:lineRule="auto"/>
        <w:jc w:val="both"/>
        <w:rPr>
          <w:b/>
        </w:rPr>
      </w:pPr>
      <w:r w:rsidRPr="000378CE">
        <w:rPr>
          <w:b/>
        </w:rPr>
        <w:t>Campo elé</w:t>
      </w:r>
      <w:r w:rsidR="00320110" w:rsidRPr="000378CE">
        <w:rPr>
          <w:b/>
        </w:rPr>
        <w:t>ctrico de corriente continua (A</w:t>
      </w:r>
      <w:r w:rsidRPr="000378CE">
        <w:rPr>
          <w:b/>
        </w:rPr>
        <w:t>C)</w:t>
      </w:r>
    </w:p>
    <w:p w:rsidR="00CD4FFF" w:rsidRDefault="003A6929" w:rsidP="007B2232">
      <w:pPr>
        <w:spacing w:line="360" w:lineRule="auto"/>
        <w:jc w:val="both"/>
        <w:rPr>
          <w:i/>
          <w:sz w:val="20"/>
        </w:rPr>
      </w:pPr>
      <w:r>
        <w:rPr>
          <w:b/>
          <w:i/>
          <w:szCs w:val="24"/>
        </w:rPr>
        <w:tab/>
        <w:t xml:space="preserve"> </w:t>
      </w:r>
      <w:r w:rsidRPr="00A94D0B">
        <w:rPr>
          <w:rFonts w:eastAsia="Microsoft YaHei"/>
          <w:szCs w:val="24"/>
        </w:rPr>
        <w:t>En e</w:t>
      </w:r>
      <w:r w:rsidR="00CD4FFF">
        <w:rPr>
          <w:rFonts w:eastAsia="Microsoft YaHei"/>
          <w:szCs w:val="24"/>
        </w:rPr>
        <w:t>l caso de corriente continua (A</w:t>
      </w:r>
      <w:r w:rsidRPr="00A94D0B">
        <w:rPr>
          <w:rFonts w:eastAsia="Microsoft YaHei"/>
          <w:szCs w:val="24"/>
        </w:rPr>
        <w:t xml:space="preserve">C), una gota cargada tenderá a oscilar en una posición media entre los electrodos. Cuando se </w:t>
      </w:r>
      <w:r>
        <w:rPr>
          <w:rFonts w:eastAsia="Microsoft YaHei"/>
          <w:szCs w:val="24"/>
        </w:rPr>
        <w:t>a</w:t>
      </w:r>
      <w:r w:rsidRPr="00A94D0B">
        <w:rPr>
          <w:rFonts w:eastAsia="Microsoft YaHei"/>
          <w:szCs w:val="24"/>
        </w:rPr>
        <w:t>plican campos de corriente continua</w:t>
      </w:r>
      <w:r>
        <w:rPr>
          <w:rFonts w:eastAsia="Microsoft YaHei"/>
          <w:szCs w:val="24"/>
        </w:rPr>
        <w:t>,</w:t>
      </w:r>
      <w:r w:rsidRPr="00A94D0B">
        <w:rPr>
          <w:rFonts w:eastAsia="Microsoft YaHei"/>
          <w:szCs w:val="24"/>
        </w:rPr>
        <w:t xml:space="preserve"> la dielectroforésis es de prim</w:t>
      </w:r>
      <w:r>
        <w:rPr>
          <w:rFonts w:eastAsia="Microsoft YaHei"/>
          <w:szCs w:val="24"/>
        </w:rPr>
        <w:t>er</w:t>
      </w:r>
      <w:r w:rsidRPr="00A94D0B">
        <w:rPr>
          <w:rFonts w:eastAsia="Microsoft YaHei"/>
          <w:szCs w:val="24"/>
        </w:rPr>
        <w:t xml:space="preserve">a importancia </w:t>
      </w:r>
      <w:r>
        <w:rPr>
          <w:rFonts w:eastAsia="Microsoft YaHei"/>
          <w:szCs w:val="24"/>
        </w:rPr>
        <w:t xml:space="preserve">para dar paso a la coalescencia </w:t>
      </w:r>
      <w:r w:rsidRPr="00F31F4B">
        <w:rPr>
          <w:rFonts w:eastAsia="Microsoft YaHei"/>
          <w:szCs w:val="24"/>
        </w:rPr>
        <w:t>(Eow y Ghadiri 2001).</w:t>
      </w:r>
      <w:r w:rsidRPr="00A94D0B">
        <w:rPr>
          <w:szCs w:val="24"/>
        </w:rPr>
        <w:t xml:space="preserve"> La aplicación de voltaje </w:t>
      </w:r>
      <w:r w:rsidRPr="00F31F4B">
        <w:rPr>
          <w:szCs w:val="24"/>
        </w:rPr>
        <w:t xml:space="preserve">AC permite que coalescan las gotas grandes, pero no es muy efectivo para gotas pequeñas (1 a 2 </w:t>
      </w:r>
      <w:r w:rsidRPr="00F31F4B">
        <w:rPr>
          <w:szCs w:val="24"/>
        </w:rPr>
        <w:sym w:font="Symbol" w:char="F06D"/>
      </w:r>
      <w:r w:rsidRPr="00F31F4B">
        <w:rPr>
          <w:szCs w:val="24"/>
        </w:rPr>
        <w:t>m) (Marfisi, 2005).</w:t>
      </w:r>
    </w:p>
    <w:p w:rsidR="003A6929" w:rsidRPr="000378CE" w:rsidRDefault="003A6929" w:rsidP="000378CE">
      <w:pPr>
        <w:spacing w:before="240" w:line="360" w:lineRule="auto"/>
        <w:jc w:val="both"/>
        <w:rPr>
          <w:b/>
        </w:rPr>
      </w:pPr>
      <w:r w:rsidRPr="000378CE">
        <w:rPr>
          <w:b/>
        </w:rPr>
        <w:lastRenderedPageBreak/>
        <w:t>Campo el</w:t>
      </w:r>
      <w:r w:rsidR="00320110" w:rsidRPr="000378CE">
        <w:rPr>
          <w:b/>
        </w:rPr>
        <w:t>éctrico de corriente directa (D</w:t>
      </w:r>
      <w:r w:rsidRPr="000378CE">
        <w:rPr>
          <w:b/>
        </w:rPr>
        <w:t>C</w:t>
      </w:r>
      <w:r w:rsidR="00320110" w:rsidRPr="000378CE">
        <w:rPr>
          <w:b/>
        </w:rPr>
        <w:t>)</w:t>
      </w:r>
    </w:p>
    <w:p w:rsidR="005941B6" w:rsidRDefault="005941B6" w:rsidP="005941B6">
      <w:pPr>
        <w:spacing w:line="360" w:lineRule="auto"/>
        <w:jc w:val="both"/>
        <w:rPr>
          <w:rFonts w:eastAsia="Microsoft YaHei"/>
          <w:szCs w:val="24"/>
        </w:rPr>
      </w:pPr>
      <w:r>
        <w:rPr>
          <w:rFonts w:eastAsia="Microsoft YaHei"/>
          <w:szCs w:val="24"/>
        </w:rPr>
        <w:tab/>
      </w:r>
      <w:r w:rsidR="003A6929" w:rsidRPr="00A94D0B">
        <w:rPr>
          <w:rFonts w:eastAsia="Microsoft YaHei"/>
          <w:szCs w:val="24"/>
        </w:rPr>
        <w:t xml:space="preserve">En investigaciones realizadas se ha podido estudiar el fenómeno que hace que los voltajes D.C. sean tan efectivos y permitan remover grandes cantidades de agua </w:t>
      </w:r>
      <w:r w:rsidR="003A6929" w:rsidRPr="00F31F4B">
        <w:rPr>
          <w:rFonts w:eastAsia="Microsoft YaHei"/>
          <w:szCs w:val="24"/>
        </w:rPr>
        <w:t>(Burris</w:t>
      </w:r>
      <w:r w:rsidR="00320110">
        <w:rPr>
          <w:rFonts w:eastAsia="Microsoft YaHei"/>
          <w:szCs w:val="24"/>
        </w:rPr>
        <w:t>,</w:t>
      </w:r>
      <w:r w:rsidR="003A6929" w:rsidRPr="00F31F4B">
        <w:rPr>
          <w:rFonts w:eastAsia="Microsoft YaHei"/>
          <w:szCs w:val="24"/>
        </w:rPr>
        <w:t xml:space="preserve"> 1977).</w:t>
      </w:r>
      <w:r w:rsidR="003A6929" w:rsidRPr="00A94D0B">
        <w:rPr>
          <w:rFonts w:eastAsia="Microsoft YaHei"/>
          <w:szCs w:val="24"/>
        </w:rPr>
        <w:t xml:space="preserve"> Este principio se esquematiza en la </w:t>
      </w:r>
      <w:r w:rsidR="003E7EDD">
        <w:rPr>
          <w:rFonts w:eastAsia="Microsoft YaHei"/>
          <w:szCs w:val="24"/>
        </w:rPr>
        <w:t>figura N° 18</w:t>
      </w:r>
      <w:r w:rsidR="003A6929">
        <w:rPr>
          <w:rFonts w:eastAsia="Microsoft YaHei"/>
          <w:szCs w:val="24"/>
        </w:rPr>
        <w:t xml:space="preserve">, donde </w:t>
      </w:r>
      <w:r w:rsidR="003A6929" w:rsidRPr="00A94D0B">
        <w:rPr>
          <w:rFonts w:eastAsia="Microsoft YaHei"/>
          <w:szCs w:val="24"/>
        </w:rPr>
        <w:t>se representa un crudo fluyendo verticalmente con una sola gota de agua presente. A medida que la gota entra en el alto gradiente D.C. entre los electrodos, éste le induce una carga a la superficie de la gota, que es igual a la del electrodo más cercano, por lo que inmediatamente ambos se repelen y la gota es atraída hacia el electrodo de carga contraria.</w:t>
      </w:r>
    </w:p>
    <w:p w:rsidR="003A6929" w:rsidRPr="00A94D0B" w:rsidRDefault="00A73CD2" w:rsidP="003A6929">
      <w:pPr>
        <w:spacing w:line="360" w:lineRule="auto"/>
        <w:jc w:val="center"/>
        <w:rPr>
          <w:i/>
          <w:szCs w:val="24"/>
        </w:rPr>
      </w:pPr>
      <w:r>
        <w:rPr>
          <w:i/>
          <w:noProof/>
          <w:szCs w:val="24"/>
          <w:lang w:val="en-US"/>
        </w:rPr>
        <w:pict>
          <v:shape id="_x0000_s1371" type="#_x0000_t202" style="position:absolute;left:0;text-align:left;margin-left:248.9pt;margin-top:14pt;width:54.45pt;height:24.55pt;z-index:251769344;mso-width-relative:margin;mso-height-relative:margin" filled="f" stroked="f">
            <v:textbox style="mso-next-textbox:#_x0000_s1371">
              <w:txbxContent>
                <w:p w:rsidR="004134A0" w:rsidRPr="00A2031D" w:rsidRDefault="004134A0" w:rsidP="003A6929">
                  <w:pPr>
                    <w:jc w:val="center"/>
                    <w:rPr>
                      <w:rFonts w:eastAsia="BatangChe"/>
                      <w:b/>
                      <w:sz w:val="20"/>
                      <w:lang w:val="en-US"/>
                    </w:rPr>
                  </w:pPr>
                  <w:r w:rsidRPr="00A2031D">
                    <w:rPr>
                      <w:rFonts w:eastAsia="BatangChe"/>
                      <w:b/>
                      <w:sz w:val="20"/>
                    </w:rPr>
                    <w:t>Ánodo</w:t>
                  </w:r>
                </w:p>
              </w:txbxContent>
            </v:textbox>
          </v:shape>
        </w:pict>
      </w:r>
      <w:r>
        <w:rPr>
          <w:i/>
          <w:noProof/>
          <w:szCs w:val="24"/>
          <w:lang w:val="en-US"/>
        </w:rPr>
        <w:pict>
          <v:shape id="_x0000_s1370" type="#_x0000_t202" style="position:absolute;left:0;text-align:left;margin-left:108.65pt;margin-top:14pt;width:63.75pt;height:24.55pt;z-index:251768320;mso-width-relative:margin;mso-height-relative:margin" filled="f" stroked="f">
            <v:textbox style="mso-next-textbox:#_x0000_s1370">
              <w:txbxContent>
                <w:p w:rsidR="004134A0" w:rsidRPr="00A2031D" w:rsidRDefault="004134A0" w:rsidP="003A6929">
                  <w:pPr>
                    <w:jc w:val="center"/>
                    <w:rPr>
                      <w:rFonts w:eastAsia="BatangChe"/>
                      <w:b/>
                      <w:sz w:val="20"/>
                      <w:lang w:val="en-US"/>
                    </w:rPr>
                  </w:pPr>
                  <w:r w:rsidRPr="00A2031D">
                    <w:rPr>
                      <w:rFonts w:eastAsia="BatangChe"/>
                      <w:b/>
                      <w:sz w:val="20"/>
                    </w:rPr>
                    <w:t>Cátodo</w:t>
                  </w:r>
                </w:p>
              </w:txbxContent>
            </v:textbox>
          </v:shape>
        </w:pict>
      </w:r>
      <w:r>
        <w:rPr>
          <w:i/>
          <w:noProof/>
          <w:szCs w:val="24"/>
          <w:lang w:val="en-US"/>
        </w:rPr>
        <w:pict>
          <v:shape id="_x0000_s1372" type="#_x0000_t202" style="position:absolute;left:0;text-align:left;margin-left:172.4pt;margin-top:143.45pt;width:76.5pt;height:24.55pt;z-index:251770368;mso-width-relative:margin;mso-height-relative:margin" filled="f" stroked="f">
            <v:textbox style="mso-next-textbox:#_x0000_s1372">
              <w:txbxContent>
                <w:p w:rsidR="004134A0" w:rsidRPr="00C119C6" w:rsidRDefault="004134A0" w:rsidP="003A6929">
                  <w:pPr>
                    <w:jc w:val="center"/>
                    <w:rPr>
                      <w:rFonts w:eastAsia="BatangChe"/>
                      <w:b/>
                      <w:sz w:val="20"/>
                      <w:lang w:val="en-US"/>
                    </w:rPr>
                  </w:pPr>
                  <w:r w:rsidRPr="00C119C6">
                    <w:rPr>
                      <w:rFonts w:eastAsia="BatangChe"/>
                      <w:b/>
                      <w:sz w:val="20"/>
                    </w:rPr>
                    <w:t>Campo D.C.</w:t>
                  </w:r>
                </w:p>
              </w:txbxContent>
            </v:textbox>
          </v:shape>
        </w:pict>
      </w:r>
      <w:r w:rsidR="003A6929">
        <w:rPr>
          <w:i/>
          <w:noProof/>
          <w:szCs w:val="24"/>
          <w:lang w:val="en-US" w:eastAsia="en-US"/>
        </w:rPr>
        <w:drawing>
          <wp:inline distT="0" distB="0" distL="0" distR="0">
            <wp:extent cx="1605280" cy="2158365"/>
            <wp:effectExtent l="19050" t="0" r="0"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0" cstate="print"/>
                    <a:srcRect/>
                    <a:stretch>
                      <a:fillRect/>
                    </a:stretch>
                  </pic:blipFill>
                  <pic:spPr bwMode="auto">
                    <a:xfrm>
                      <a:off x="0" y="0"/>
                      <a:ext cx="1605280" cy="2158365"/>
                    </a:xfrm>
                    <a:prstGeom prst="rect">
                      <a:avLst/>
                    </a:prstGeom>
                    <a:noFill/>
                    <a:ln w="9525">
                      <a:noFill/>
                      <a:miter lim="800000"/>
                      <a:headEnd/>
                      <a:tailEnd/>
                    </a:ln>
                  </pic:spPr>
                </pic:pic>
              </a:graphicData>
            </a:graphic>
          </wp:inline>
        </w:drawing>
      </w:r>
    </w:p>
    <w:p w:rsidR="003A6929" w:rsidRDefault="00A22DA7" w:rsidP="00107EE1">
      <w:pPr>
        <w:pStyle w:val="Epgrafe"/>
        <w:rPr>
          <w:bCs w:val="0"/>
        </w:rPr>
      </w:pPr>
      <w:bookmarkStart w:id="84" w:name="_Toc327481430"/>
      <w:r>
        <w:t xml:space="preserve">Figura N° </w:t>
      </w:r>
      <w:fldSimple w:instr=" SEQ Figura_N° \* ARABIC ">
        <w:r w:rsidR="004A5F6F">
          <w:rPr>
            <w:noProof/>
          </w:rPr>
          <w:t>18</w:t>
        </w:r>
      </w:fldSimple>
      <w:r w:rsidR="003A6929" w:rsidRPr="00B55BB7">
        <w:rPr>
          <w:bCs w:val="0"/>
        </w:rPr>
        <w:t xml:space="preserve">: Movimiento de una gota de agua en un campo </w:t>
      </w:r>
      <w:r w:rsidR="00107EE1">
        <w:rPr>
          <w:bCs w:val="0"/>
        </w:rPr>
        <w:t xml:space="preserve">DC </w:t>
      </w:r>
      <w:r w:rsidR="003A6929" w:rsidRPr="00F31F4B">
        <w:rPr>
          <w:bCs w:val="0"/>
        </w:rPr>
        <w:t>(Marfisi y Salaguer, 2004)</w:t>
      </w:r>
      <w:r w:rsidR="00320110">
        <w:rPr>
          <w:bCs w:val="0"/>
        </w:rPr>
        <w:t>.</w:t>
      </w:r>
      <w:bookmarkEnd w:id="84"/>
    </w:p>
    <w:p w:rsidR="003A6929" w:rsidRPr="00A94D0B" w:rsidRDefault="003A6929" w:rsidP="00320110">
      <w:pPr>
        <w:autoSpaceDE w:val="0"/>
        <w:autoSpaceDN w:val="0"/>
        <w:adjustRightInd w:val="0"/>
        <w:spacing w:line="360" w:lineRule="auto"/>
        <w:jc w:val="both"/>
        <w:rPr>
          <w:rFonts w:eastAsia="Microsoft YaHei"/>
          <w:szCs w:val="24"/>
        </w:rPr>
      </w:pPr>
      <w:r w:rsidRPr="00A94D0B">
        <w:rPr>
          <w:rFonts w:eastAsia="Microsoft YaHei"/>
          <w:szCs w:val="24"/>
        </w:rPr>
        <w:tab/>
      </w:r>
      <w:r w:rsidRPr="00A94D0B">
        <w:rPr>
          <w:szCs w:val="24"/>
        </w:rPr>
        <w:t>Considerando esto para un sistema de una emulsión W/O con miles de gotas de agua, las gotas polarizadas (</w:t>
      </w:r>
      <w:r>
        <w:rPr>
          <w:szCs w:val="24"/>
        </w:rPr>
        <w:t xml:space="preserve">con </w:t>
      </w:r>
      <w:r w:rsidRPr="00A94D0B">
        <w:rPr>
          <w:szCs w:val="24"/>
        </w:rPr>
        <w:t>carga</w:t>
      </w:r>
      <w:r>
        <w:rPr>
          <w:szCs w:val="24"/>
        </w:rPr>
        <w:t xml:space="preserve"> </w:t>
      </w:r>
      <w:r w:rsidRPr="00A94D0B">
        <w:rPr>
          <w:szCs w:val="24"/>
        </w:rPr>
        <w:t>mitad positiva y mitad negativa) tenderán a colisionar entre sí, por lo cual la co</w:t>
      </w:r>
      <w:r>
        <w:rPr>
          <w:szCs w:val="24"/>
        </w:rPr>
        <w:t>alescencia ocurrirá más rápido.</w:t>
      </w:r>
    </w:p>
    <w:p w:rsidR="007B2232" w:rsidRPr="000378CE" w:rsidRDefault="003A6929" w:rsidP="000378CE">
      <w:pPr>
        <w:spacing w:before="240" w:line="360" w:lineRule="auto"/>
        <w:jc w:val="both"/>
        <w:rPr>
          <w:b/>
        </w:rPr>
      </w:pPr>
      <w:r w:rsidRPr="000378CE">
        <w:rPr>
          <w:b/>
        </w:rPr>
        <w:t>Migración de las gotas</w:t>
      </w:r>
    </w:p>
    <w:p w:rsidR="003A6929" w:rsidRDefault="00041E85" w:rsidP="00041E85">
      <w:pPr>
        <w:spacing w:line="360" w:lineRule="auto"/>
        <w:jc w:val="both"/>
        <w:rPr>
          <w:szCs w:val="24"/>
        </w:rPr>
      </w:pPr>
      <w:r>
        <w:rPr>
          <w:szCs w:val="24"/>
        </w:rPr>
        <w:tab/>
      </w:r>
      <w:r w:rsidR="003A6929" w:rsidRPr="00320110">
        <w:rPr>
          <w:szCs w:val="24"/>
        </w:rPr>
        <w:t>La</w:t>
      </w:r>
      <w:r w:rsidR="003A6929" w:rsidRPr="00A94D0B">
        <w:rPr>
          <w:szCs w:val="24"/>
        </w:rPr>
        <w:t xml:space="preserve"> migración de las gotas está regida por la fuerza electroforética, es decir, se basa en el movimiento que ocurre por efecto de la carga adquirida por las gotas dispersas en el crudo.</w:t>
      </w:r>
      <w:r w:rsidR="003A6929">
        <w:rPr>
          <w:szCs w:val="24"/>
        </w:rPr>
        <w:t xml:space="preserve"> </w:t>
      </w:r>
      <w:r w:rsidR="003A6929" w:rsidRPr="00A94D0B">
        <w:rPr>
          <w:szCs w:val="24"/>
        </w:rPr>
        <w:t>Inicialmente una gota puede tener una carga parcial debida a la presencia de una doble capa eléctrica interfacial. Esta carga está dada por:</w:t>
      </w:r>
    </w:p>
    <w:p w:rsidR="003A6929" w:rsidRPr="00A94D0B" w:rsidRDefault="00A73CD2" w:rsidP="00405CA1">
      <w:pPr>
        <w:spacing w:line="360" w:lineRule="auto"/>
        <w:ind w:left="270"/>
        <w:jc w:val="center"/>
        <w:rPr>
          <w:szCs w:val="24"/>
        </w:rPr>
      </w:pPr>
      <m:oMath>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d</m:t>
            </m:r>
          </m:sub>
        </m:sSub>
        <m:r>
          <w:rPr>
            <w:rFonts w:ascii="Cambria Math"/>
            <w:sz w:val="32"/>
            <w:szCs w:val="32"/>
          </w:rPr>
          <m:t>=</m:t>
        </m:r>
        <m:f>
          <m:fPr>
            <m:ctrlPr>
              <w:rPr>
                <w:rFonts w:ascii="Cambria Math" w:hAnsi="Cambria Math"/>
                <w:i/>
                <w:sz w:val="32"/>
                <w:szCs w:val="32"/>
              </w:rPr>
            </m:ctrlPr>
          </m:fPr>
          <m:num>
            <m:r>
              <w:rPr>
                <w:rFonts w:ascii="Cambria Math"/>
                <w:sz w:val="32"/>
                <w:szCs w:val="32"/>
              </w:rPr>
              <m:t>4</m:t>
            </m:r>
            <m:r>
              <w:rPr>
                <w:rFonts w:ascii="Cambria Math" w:hAnsi="Cambria Math"/>
                <w:sz w:val="32"/>
                <w:szCs w:val="32"/>
              </w:rPr>
              <m:t>π</m:t>
            </m:r>
            <m:sSub>
              <m:sSubPr>
                <m:ctrlPr>
                  <w:rPr>
                    <w:rFonts w:ascii="Cambria Math" w:hAnsi="Cambria Math"/>
                    <w:i/>
                    <w:sz w:val="32"/>
                    <w:szCs w:val="32"/>
                  </w:rPr>
                </m:ctrlPr>
              </m:sSubPr>
              <m:e>
                <m:r>
                  <w:rPr>
                    <w:rFonts w:ascii="Cambria Math" w:hAnsi="Cambria Math"/>
                    <w:sz w:val="32"/>
                    <w:szCs w:val="32"/>
                  </w:rPr>
                  <m:t>ϵ</m:t>
                </m:r>
              </m:e>
              <m:sub>
                <m:r>
                  <w:rPr>
                    <w:rFonts w:ascii="Cambria Math"/>
                    <w:sz w:val="32"/>
                    <w:szCs w:val="32"/>
                  </w:rPr>
                  <m:t>1</m:t>
                </m:r>
              </m:sub>
            </m:sSub>
            <m:sSub>
              <m:sSubPr>
                <m:ctrlPr>
                  <w:rPr>
                    <w:rFonts w:ascii="Cambria Math" w:hAnsi="Cambria Math"/>
                    <w:i/>
                    <w:sz w:val="32"/>
                    <w:szCs w:val="32"/>
                  </w:rPr>
                </m:ctrlPr>
              </m:sSubPr>
              <m:e>
                <m:r>
                  <w:rPr>
                    <w:rFonts w:ascii="Cambria Math" w:hAnsi="Cambria Math"/>
                    <w:sz w:val="32"/>
                    <w:szCs w:val="32"/>
                  </w:rPr>
                  <m:t>ϵ</m:t>
                </m:r>
              </m:e>
              <m:sub>
                <m:r>
                  <w:rPr>
                    <w:rFonts w:ascii="Cambria Math"/>
                    <w:sz w:val="32"/>
                    <w:szCs w:val="32"/>
                  </w:rPr>
                  <m:t>0</m:t>
                </m:r>
              </m:sub>
            </m:sSub>
            <m:r>
              <m:rPr>
                <m:sty m:val="p"/>
              </m:rPr>
              <w:rPr>
                <w:sz w:val="32"/>
                <w:szCs w:val="32"/>
              </w:rPr>
              <m:t>ζ</m:t>
            </m:r>
          </m:num>
          <m:den>
            <m:sSub>
              <m:sSubPr>
                <m:ctrlPr>
                  <w:rPr>
                    <w:rFonts w:ascii="Cambria Math" w:hAnsi="Cambria Math"/>
                    <w:i/>
                    <w:sz w:val="32"/>
                    <w:szCs w:val="32"/>
                  </w:rPr>
                </m:ctrlPr>
              </m:sSubPr>
              <m:e>
                <m:r>
                  <w:rPr>
                    <w:rFonts w:ascii="Cambria Math" w:hAnsi="Cambria Math"/>
                    <w:sz w:val="32"/>
                    <w:szCs w:val="32"/>
                  </w:rPr>
                  <m:t>δ</m:t>
                </m:r>
              </m:e>
              <m:sub>
                <m:r>
                  <w:rPr>
                    <w:rFonts w:ascii="Cambria Math" w:hAnsi="Cambria Math"/>
                    <w:sz w:val="32"/>
                    <w:szCs w:val="32"/>
                  </w:rPr>
                  <m:t>DL</m:t>
                </m:r>
              </m:sub>
            </m:sSub>
          </m:den>
        </m:f>
      </m:oMath>
      <w:r w:rsidR="003A6929">
        <w:rPr>
          <w:szCs w:val="24"/>
        </w:rPr>
        <w:t xml:space="preserve"> </w:t>
      </w:r>
      <w:r w:rsidR="003A6929" w:rsidRPr="005C534A">
        <w:rPr>
          <w:sz w:val="20"/>
        </w:rPr>
        <w:t>Ecuación (</w:t>
      </w:r>
      <w:r w:rsidR="00405CA1">
        <w:rPr>
          <w:sz w:val="20"/>
        </w:rPr>
        <w:t>2</w:t>
      </w:r>
      <w:r w:rsidR="003A6929" w:rsidRPr="005C534A">
        <w:rPr>
          <w:sz w:val="20"/>
        </w:rPr>
        <w:t>)</w:t>
      </w:r>
    </w:p>
    <w:p w:rsidR="003A6929" w:rsidRDefault="003A6929" w:rsidP="003A6929">
      <w:pPr>
        <w:spacing w:line="360" w:lineRule="auto"/>
        <w:jc w:val="both"/>
        <w:rPr>
          <w:szCs w:val="24"/>
        </w:rPr>
      </w:pPr>
      <w:r>
        <w:rPr>
          <w:szCs w:val="24"/>
        </w:rPr>
        <w:lastRenderedPageBreak/>
        <w:tab/>
      </w:r>
      <w:r w:rsidRPr="00A94D0B">
        <w:rPr>
          <w:szCs w:val="24"/>
        </w:rPr>
        <w:t>La carga en la gota puede originarse además al entrar en contacto con el electrodo, y se expresa como:</w:t>
      </w:r>
    </w:p>
    <w:p w:rsidR="003A6929" w:rsidRPr="005C534A" w:rsidRDefault="00A73CD2" w:rsidP="00405CA1">
      <w:pPr>
        <w:tabs>
          <w:tab w:val="left" w:pos="3960"/>
          <w:tab w:val="left" w:pos="4770"/>
        </w:tabs>
        <w:spacing w:before="240" w:after="240" w:line="360" w:lineRule="auto"/>
        <w:jc w:val="center"/>
        <w:rPr>
          <w:szCs w:val="24"/>
        </w:rPr>
      </w:pPr>
      <m:oMath>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i</m:t>
            </m:r>
          </m:sub>
        </m:sSub>
        <m:r>
          <w:rPr>
            <w:rFonts w:ascii="Cambria Math"/>
            <w:sz w:val="32"/>
            <w:szCs w:val="32"/>
          </w:rPr>
          <m:t>=</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π</m:t>
                </m:r>
              </m:num>
              <m:den>
                <m:r>
                  <w:rPr>
                    <w:rFonts w:ascii="Cambria Math"/>
                    <w:sz w:val="32"/>
                    <w:szCs w:val="32"/>
                  </w:rPr>
                  <m:t>6</m:t>
                </m:r>
              </m:den>
            </m:f>
          </m:e>
        </m:d>
        <m:r>
          <w:rPr>
            <w:rFonts w:ascii="Cambria Math"/>
            <w:sz w:val="32"/>
            <w:szCs w:val="32"/>
          </w:rPr>
          <m:t>4</m:t>
        </m:r>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rPr>
              <m:t>r</m:t>
            </m:r>
          </m:e>
          <m:sup>
            <m:r>
              <w:rPr>
                <w:rFonts w:ascii="Cambria Math"/>
                <w:sz w:val="32"/>
                <w:szCs w:val="32"/>
              </w:rPr>
              <m:t>2</m:t>
            </m:r>
          </m:sup>
        </m:sSup>
        <m:sSub>
          <m:sSubPr>
            <m:ctrlPr>
              <w:rPr>
                <w:rFonts w:ascii="Cambria Math" w:hAnsi="Cambria Math"/>
                <w:i/>
                <w:sz w:val="32"/>
                <w:szCs w:val="32"/>
              </w:rPr>
            </m:ctrlPr>
          </m:sSubPr>
          <m:e>
            <m:r>
              <w:rPr>
                <w:rFonts w:ascii="Cambria Math" w:hAnsi="Cambria Math"/>
                <w:sz w:val="32"/>
                <w:szCs w:val="32"/>
              </w:rPr>
              <m:t>ε</m:t>
            </m:r>
          </m:e>
          <m:sub>
            <m:r>
              <w:rPr>
                <w:rFonts w:ascii="Cambria Math"/>
                <w:sz w:val="32"/>
                <w:szCs w:val="32"/>
              </w:rPr>
              <m:t>1</m:t>
            </m:r>
          </m:sub>
        </m:sSub>
        <m:sSub>
          <m:sSubPr>
            <m:ctrlPr>
              <w:rPr>
                <w:rFonts w:ascii="Cambria Math" w:hAnsi="Cambria Math"/>
                <w:i/>
                <w:sz w:val="32"/>
                <w:szCs w:val="32"/>
              </w:rPr>
            </m:ctrlPr>
          </m:sSubPr>
          <m:e>
            <m:r>
              <w:rPr>
                <w:rFonts w:ascii="Cambria Math" w:hAnsi="Cambria Math"/>
                <w:sz w:val="32"/>
                <w:szCs w:val="32"/>
              </w:rPr>
              <m:t>ε</m:t>
            </m:r>
          </m:e>
          <m:sub>
            <m:r>
              <w:rPr>
                <w:rFonts w:ascii="Cambria Math"/>
                <w:sz w:val="32"/>
                <w:szCs w:val="32"/>
              </w:rPr>
              <m:t>0</m:t>
            </m:r>
          </m:sub>
        </m:sSub>
        <m:sSub>
          <m:sSubPr>
            <m:ctrlPr>
              <w:rPr>
                <w:rFonts w:ascii="Cambria Math" w:hAnsi="Cambria Math"/>
                <w:i/>
                <w:sz w:val="32"/>
                <w:szCs w:val="32"/>
              </w:rPr>
            </m:ctrlPr>
          </m:sSubPr>
          <m:e>
            <m:r>
              <w:rPr>
                <w:rFonts w:ascii="Cambria Math" w:hAnsi="Cambria Math"/>
                <w:sz w:val="32"/>
                <w:szCs w:val="32"/>
              </w:rPr>
              <m:t>E</m:t>
            </m:r>
          </m:e>
          <m:sub>
            <m:r>
              <w:rPr>
                <w:rFonts w:ascii="Cambria Math"/>
                <w:sz w:val="32"/>
                <w:szCs w:val="32"/>
              </w:rPr>
              <m:t>0</m:t>
            </m:r>
          </m:sub>
        </m:sSub>
      </m:oMath>
      <w:r w:rsidR="00405CA1">
        <w:rPr>
          <w:szCs w:val="24"/>
        </w:rPr>
        <w:t xml:space="preserve"> </w:t>
      </w:r>
      <w:r w:rsidR="003A6929" w:rsidRPr="005C534A">
        <w:rPr>
          <w:sz w:val="20"/>
        </w:rPr>
        <w:t>Ecuación (</w:t>
      </w:r>
      <w:r w:rsidR="00DE63EB">
        <w:rPr>
          <w:sz w:val="20"/>
        </w:rPr>
        <w:t>3</w:t>
      </w:r>
      <w:r w:rsidR="003A6929" w:rsidRPr="005C534A">
        <w:rPr>
          <w:sz w:val="20"/>
        </w:rPr>
        <w:t>)</w:t>
      </w:r>
    </w:p>
    <w:p w:rsidR="003A6929" w:rsidRPr="00764E07" w:rsidRDefault="003A6929" w:rsidP="00CD4FFF">
      <w:pPr>
        <w:spacing w:line="360" w:lineRule="auto"/>
        <w:jc w:val="both"/>
        <w:rPr>
          <w:sz w:val="20"/>
        </w:rPr>
      </w:pPr>
      <w:r w:rsidRPr="00A94D0B">
        <w:rPr>
          <w:szCs w:val="24"/>
        </w:rPr>
        <w:tab/>
        <w:t xml:space="preserve">La carga inducida por los electrodos origina que las gotas, por efecto de la electroforesis, recorran la distancia entre los electrodos en la dirección del campo eléctrico. Generalmente la migración o movimiento tiene lugar bajo la presencia de un campo eléctrico </w:t>
      </w:r>
      <w:r w:rsidRPr="005C534A">
        <w:rPr>
          <w:szCs w:val="24"/>
        </w:rPr>
        <w:t>unidireccional. (Eow y Ghadiri, 2001).</w:t>
      </w:r>
    </w:p>
    <w:p w:rsidR="003A6929" w:rsidRDefault="00CD4FFF" w:rsidP="00CD4FFF">
      <w:pPr>
        <w:autoSpaceDE w:val="0"/>
        <w:autoSpaceDN w:val="0"/>
        <w:adjustRightInd w:val="0"/>
        <w:spacing w:after="240" w:line="360" w:lineRule="auto"/>
        <w:jc w:val="both"/>
        <w:rPr>
          <w:i/>
          <w:sz w:val="20"/>
        </w:rPr>
      </w:pPr>
      <w:r>
        <w:rPr>
          <w:szCs w:val="24"/>
        </w:rPr>
        <w:tab/>
      </w:r>
      <w:r w:rsidR="003A6929" w:rsidRPr="00A94D0B">
        <w:rPr>
          <w:szCs w:val="24"/>
        </w:rPr>
        <w:t xml:space="preserve">La presencia de un campo eléctrico externo induce cargas de signo opuesto en los extremos de dos gotas de agua que se encuentran cerca una de otra. La presencia de una de ellas afecta el potencial de la otra. Esto causa una resistencia hidrodinámica en cada gota, resultando en que fluya una gota alrededor de la otra. Más si estas gotas están lo suficientemente cerca, la fuerzas de atracción de van der Waals, pueden desempeñar un papel importante ayudando a halar gotas cercanas y mantenerlas en contacto durante la coalescencia, debido a la tendencia de la tensión interfacial de minimizar el área de contacto entre las </w:t>
      </w:r>
      <w:r w:rsidR="003A6929" w:rsidRPr="0023759A">
        <w:rPr>
          <w:szCs w:val="24"/>
        </w:rPr>
        <w:t>gotas (X. Zhang, Basaran, Wham, 1995).</w:t>
      </w:r>
    </w:p>
    <w:p w:rsidR="003A6929" w:rsidRPr="000378CE" w:rsidRDefault="003A6929" w:rsidP="000378CE">
      <w:pPr>
        <w:spacing w:line="360" w:lineRule="auto"/>
        <w:jc w:val="both"/>
        <w:rPr>
          <w:rFonts w:eastAsia="Microsoft YaHei"/>
          <w:b/>
        </w:rPr>
      </w:pPr>
      <w:r w:rsidRPr="000378CE">
        <w:rPr>
          <w:rFonts w:eastAsia="Microsoft YaHei"/>
          <w:b/>
        </w:rPr>
        <w:t>Etapa 2: Adelgazamiento/drenado de la película</w:t>
      </w:r>
    </w:p>
    <w:p w:rsidR="003A6929" w:rsidRPr="00014485" w:rsidRDefault="003A6929" w:rsidP="00CD4FFF">
      <w:pPr>
        <w:autoSpaceDE w:val="0"/>
        <w:autoSpaceDN w:val="0"/>
        <w:adjustRightInd w:val="0"/>
        <w:spacing w:line="360" w:lineRule="auto"/>
        <w:jc w:val="both"/>
        <w:rPr>
          <w:rFonts w:eastAsia="Microsoft YaHei"/>
          <w:szCs w:val="24"/>
        </w:rPr>
      </w:pPr>
      <w:r w:rsidRPr="00A94D0B">
        <w:rPr>
          <w:szCs w:val="24"/>
        </w:rPr>
        <w:tab/>
        <w:t>Al final de la etapa</w:t>
      </w:r>
      <w:r>
        <w:rPr>
          <w:szCs w:val="24"/>
        </w:rPr>
        <w:t xml:space="preserve"> de acercamiento</w:t>
      </w:r>
      <w:r w:rsidRPr="00A94D0B">
        <w:rPr>
          <w:szCs w:val="24"/>
        </w:rPr>
        <w:t xml:space="preserve">, las gotas se deforman y se genera una </w:t>
      </w:r>
      <w:r w:rsidRPr="00A94D0B">
        <w:rPr>
          <w:bCs/>
          <w:szCs w:val="24"/>
        </w:rPr>
        <w:t>película inter-gota</w:t>
      </w:r>
      <w:r w:rsidRPr="00A94D0B">
        <w:rPr>
          <w:szCs w:val="24"/>
        </w:rPr>
        <w:t xml:space="preserve">, dando inicio así a la segunda etapa del proceso llamada “drenaje de la película”, donde están involucrados fenómenos interfaciales relacionados con la presencia de surfactantes adsorbidos. </w:t>
      </w:r>
      <w:r w:rsidRPr="00A94D0B">
        <w:rPr>
          <w:rFonts w:eastAsia="Microsoft YaHei"/>
          <w:szCs w:val="24"/>
        </w:rPr>
        <w:t>Esta es la etapa controlante del proceso</w:t>
      </w:r>
      <w:r w:rsidRPr="00A94D0B">
        <w:rPr>
          <w:szCs w:val="24"/>
        </w:rPr>
        <w:t xml:space="preserve"> </w:t>
      </w:r>
      <w:r w:rsidRPr="00014485">
        <w:rPr>
          <w:rFonts w:eastAsia="Microsoft YaHei"/>
          <w:szCs w:val="24"/>
        </w:rPr>
        <w:t>(</w:t>
      </w:r>
      <w:r w:rsidRPr="00014485">
        <w:rPr>
          <w:szCs w:val="24"/>
        </w:rPr>
        <w:t>Jeffreys y Davies, 1971)</w:t>
      </w:r>
      <w:r w:rsidRPr="00014485">
        <w:rPr>
          <w:rFonts w:eastAsia="Microsoft YaHei"/>
          <w:szCs w:val="24"/>
        </w:rPr>
        <w:t>.</w:t>
      </w:r>
    </w:p>
    <w:p w:rsidR="003A6929" w:rsidRPr="00A94D0B" w:rsidRDefault="003A6929" w:rsidP="003A6929">
      <w:pPr>
        <w:autoSpaceDE w:val="0"/>
        <w:autoSpaceDN w:val="0"/>
        <w:adjustRightInd w:val="0"/>
        <w:spacing w:line="360" w:lineRule="auto"/>
        <w:jc w:val="both"/>
        <w:rPr>
          <w:szCs w:val="24"/>
        </w:rPr>
      </w:pPr>
      <w:r w:rsidRPr="00A94D0B">
        <w:rPr>
          <w:szCs w:val="24"/>
        </w:rPr>
        <w:tab/>
        <w:t xml:space="preserve">Una vez que dos gotas se acercan, se produce una deformación de su superficie (adelgazamiento del orden de 0,1 </w:t>
      </w:r>
      <w:r>
        <w:rPr>
          <w:szCs w:val="24"/>
        </w:rPr>
        <w:sym w:font="Symbol" w:char="F06D"/>
      </w:r>
      <w:r>
        <w:rPr>
          <w:szCs w:val="24"/>
        </w:rPr>
        <w:t>m</w:t>
      </w:r>
      <w:r w:rsidRPr="00A94D0B">
        <w:rPr>
          <w:szCs w:val="24"/>
        </w:rPr>
        <w:t xml:space="preserve"> o menos) y se crea una película de fluido entre las mismas, con un espesor alrededor de 500 Å. </w:t>
      </w:r>
    </w:p>
    <w:p w:rsidR="003A6929" w:rsidRPr="00A94D0B" w:rsidRDefault="003A6929" w:rsidP="003A6929">
      <w:pPr>
        <w:autoSpaceDE w:val="0"/>
        <w:autoSpaceDN w:val="0"/>
        <w:adjustRightInd w:val="0"/>
        <w:spacing w:line="360" w:lineRule="auto"/>
        <w:jc w:val="both"/>
        <w:rPr>
          <w:szCs w:val="24"/>
        </w:rPr>
      </w:pPr>
      <w:r w:rsidRPr="00A94D0B">
        <w:rPr>
          <w:szCs w:val="24"/>
        </w:rPr>
        <w:tab/>
        <w:t>La velocidad de drenaje de la película depende de las fuerzas que actúan en la interfase de la película. Cuando dos gotas de</w:t>
      </w:r>
      <w:r>
        <w:rPr>
          <w:szCs w:val="24"/>
        </w:rPr>
        <w:t xml:space="preserve"> la</w:t>
      </w:r>
      <w:r w:rsidRPr="00A94D0B">
        <w:rPr>
          <w:szCs w:val="24"/>
        </w:rPr>
        <w:t xml:space="preserve"> fase interna de una emulsión se aproximan una a la otra debido a las fuerzas gravitacionales, convección térmica o </w:t>
      </w:r>
      <w:r w:rsidRPr="00A94D0B">
        <w:rPr>
          <w:szCs w:val="24"/>
        </w:rPr>
        <w:lastRenderedPageBreak/>
        <w:t>agitación, se crea un flujo de líquido entre ambas interfases y el esp</w:t>
      </w:r>
      <w:r>
        <w:rPr>
          <w:szCs w:val="24"/>
        </w:rPr>
        <w:t>esor de la película disminuye.</w:t>
      </w:r>
    </w:p>
    <w:p w:rsidR="003A6929" w:rsidRDefault="003A6929" w:rsidP="003A6929">
      <w:pPr>
        <w:autoSpaceDE w:val="0"/>
        <w:autoSpaceDN w:val="0"/>
        <w:adjustRightInd w:val="0"/>
        <w:spacing w:line="360" w:lineRule="auto"/>
        <w:jc w:val="both"/>
        <w:rPr>
          <w:szCs w:val="24"/>
        </w:rPr>
      </w:pPr>
      <w:r w:rsidRPr="00A94D0B">
        <w:rPr>
          <w:szCs w:val="24"/>
        </w:rPr>
        <w:tab/>
        <w:t>El flujo de líquido de la película trae consigo moléculas de surfactantes naturales adsorbidas debido al flujo convectivo creando un gradiente de concentración en la interfase.</w:t>
      </w:r>
      <w:r>
        <w:rPr>
          <w:szCs w:val="24"/>
        </w:rPr>
        <w:t xml:space="preserve"> </w:t>
      </w:r>
      <w:r w:rsidRPr="00A94D0B">
        <w:rPr>
          <w:szCs w:val="24"/>
        </w:rPr>
        <w:tab/>
        <w:t>Este gradiente de concentración produce una variación en el valor local de la tensión interfacial (gradiente de tensión) que genera una fuerza opuesta al flujo de líquido fuera de la película.</w:t>
      </w:r>
    </w:p>
    <w:p w:rsidR="00CD4FFF" w:rsidRPr="00A94D0B" w:rsidRDefault="00CD4FFF" w:rsidP="003A6929">
      <w:pPr>
        <w:autoSpaceDE w:val="0"/>
        <w:autoSpaceDN w:val="0"/>
        <w:adjustRightInd w:val="0"/>
        <w:spacing w:line="360" w:lineRule="auto"/>
        <w:jc w:val="both"/>
        <w:rPr>
          <w:szCs w:val="24"/>
        </w:rPr>
      </w:pPr>
    </w:p>
    <w:p w:rsidR="003A6929" w:rsidRPr="00A94D0B" w:rsidRDefault="00DE63EB" w:rsidP="003A6929">
      <w:pPr>
        <w:autoSpaceDE w:val="0"/>
        <w:autoSpaceDN w:val="0"/>
        <w:adjustRightInd w:val="0"/>
        <w:spacing w:line="360" w:lineRule="auto"/>
        <w:jc w:val="center"/>
        <w:rPr>
          <w:szCs w:val="24"/>
        </w:rPr>
      </w:pPr>
      <w:r>
        <w:rPr>
          <w:noProof/>
          <w:szCs w:val="24"/>
          <w:lang w:val="en-US" w:eastAsia="en-US"/>
        </w:rPr>
        <w:drawing>
          <wp:inline distT="0" distB="0" distL="0" distR="0">
            <wp:extent cx="2876550" cy="2543175"/>
            <wp:effectExtent l="1905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876550" cy="2543175"/>
                    </a:xfrm>
                    <a:prstGeom prst="rect">
                      <a:avLst/>
                    </a:prstGeom>
                    <a:noFill/>
                    <a:ln w="9525">
                      <a:noFill/>
                      <a:miter lim="800000"/>
                      <a:headEnd/>
                      <a:tailEnd/>
                    </a:ln>
                  </pic:spPr>
                </pic:pic>
              </a:graphicData>
            </a:graphic>
          </wp:inline>
        </w:drawing>
      </w:r>
    </w:p>
    <w:p w:rsidR="003A6929" w:rsidRPr="00674AB1" w:rsidRDefault="00A22DA7" w:rsidP="00A22DA7">
      <w:pPr>
        <w:pStyle w:val="Epgrafe"/>
        <w:spacing w:line="360" w:lineRule="auto"/>
      </w:pPr>
      <w:bookmarkStart w:id="85" w:name="_Toc327481431"/>
      <w:r>
        <w:t xml:space="preserve">Figura N° </w:t>
      </w:r>
      <w:fldSimple w:instr=" SEQ Figura_N° \* ARABIC ">
        <w:r w:rsidR="004A5F6F">
          <w:rPr>
            <w:noProof/>
          </w:rPr>
          <w:t>19</w:t>
        </w:r>
      </w:fldSimple>
      <w:r w:rsidR="003A6929" w:rsidRPr="00674AB1">
        <w:rPr>
          <w:bCs w:val="0"/>
        </w:rPr>
        <w:t xml:space="preserve">: (a) Efecto del drenaje de la película sobre la concentración de surfactantes naturales. (b) Efecto de la concentración superficial sobre la variación en la tensión interfacial en el </w:t>
      </w:r>
      <w:r w:rsidR="003A6929">
        <w:rPr>
          <w:bCs w:val="0"/>
        </w:rPr>
        <w:t>interior de la película drenada (Marfisi y Salaguer, 2004).</w:t>
      </w:r>
      <w:bookmarkEnd w:id="85"/>
    </w:p>
    <w:p w:rsidR="003A6929" w:rsidRPr="00A94D0B" w:rsidRDefault="003A6929" w:rsidP="00CD4FFF">
      <w:pPr>
        <w:autoSpaceDE w:val="0"/>
        <w:autoSpaceDN w:val="0"/>
        <w:adjustRightInd w:val="0"/>
        <w:spacing w:line="360" w:lineRule="auto"/>
        <w:jc w:val="both"/>
        <w:rPr>
          <w:szCs w:val="24"/>
        </w:rPr>
      </w:pPr>
      <w:r w:rsidRPr="00A94D0B">
        <w:rPr>
          <w:szCs w:val="24"/>
        </w:rPr>
        <w:tab/>
        <w:t>El esfuerzo de corte asociado con el drenaje tiende a concentrar la mayor parte de las moléculas de surfactante natural fuera de la película y a disminuir su concentración en el interior de la</w:t>
      </w:r>
      <w:r w:rsidR="00CD4FFF">
        <w:rPr>
          <w:szCs w:val="24"/>
        </w:rPr>
        <w:t xml:space="preserve"> película. Las moléculas de de</w:t>
      </w:r>
      <w:r w:rsidRPr="00A94D0B">
        <w:rPr>
          <w:szCs w:val="24"/>
        </w:rPr>
        <w:t>mulsionantes son adsorbidas en los espacios dejados por los surfactantes naturales en la película.</w:t>
      </w:r>
      <w:r>
        <w:rPr>
          <w:szCs w:val="24"/>
        </w:rPr>
        <w:t xml:space="preserve"> </w:t>
      </w:r>
      <w:r w:rsidRPr="00A94D0B">
        <w:rPr>
          <w:szCs w:val="24"/>
        </w:rPr>
        <w:t>Cuando la película llega a ser muy delgada y debido a la proximidad de la fase dispersa, las fuerzas de atracción de Van der Waals dominan y ocurre la coalescencia.</w:t>
      </w:r>
    </w:p>
    <w:p w:rsidR="003A6929" w:rsidRPr="00674AB1" w:rsidRDefault="003A6929" w:rsidP="00CD4FFF">
      <w:pPr>
        <w:autoSpaceDE w:val="0"/>
        <w:autoSpaceDN w:val="0"/>
        <w:adjustRightInd w:val="0"/>
        <w:spacing w:after="240" w:line="360" w:lineRule="auto"/>
        <w:jc w:val="both"/>
        <w:rPr>
          <w:sz w:val="20"/>
        </w:rPr>
      </w:pPr>
      <w:r w:rsidRPr="00A94D0B">
        <w:rPr>
          <w:szCs w:val="24"/>
        </w:rPr>
        <w:tab/>
        <w:t>Una vez que ocurre el acercamiento de las gotas se pueden presentar varios tipos de interacciones entre ellas</w:t>
      </w:r>
      <w:r>
        <w:rPr>
          <w:szCs w:val="24"/>
        </w:rPr>
        <w:t>,</w:t>
      </w:r>
      <w:r w:rsidRPr="00A94D0B">
        <w:rPr>
          <w:szCs w:val="24"/>
        </w:rPr>
        <w:t xml:space="preserve"> que retras</w:t>
      </w:r>
      <w:r>
        <w:rPr>
          <w:szCs w:val="24"/>
        </w:rPr>
        <w:t>a</w:t>
      </w:r>
      <w:r w:rsidRPr="00A94D0B">
        <w:rPr>
          <w:szCs w:val="24"/>
        </w:rPr>
        <w:t>n o aceler</w:t>
      </w:r>
      <w:r>
        <w:rPr>
          <w:szCs w:val="24"/>
        </w:rPr>
        <w:t>a</w:t>
      </w:r>
      <w:r w:rsidRPr="00A94D0B">
        <w:rPr>
          <w:szCs w:val="24"/>
        </w:rPr>
        <w:t xml:space="preserve">n el drenaje de la película, </w:t>
      </w:r>
      <w:r>
        <w:rPr>
          <w:szCs w:val="24"/>
        </w:rPr>
        <w:t>tal es el caso de</w:t>
      </w:r>
      <w:r w:rsidRPr="00A94D0B">
        <w:rPr>
          <w:szCs w:val="24"/>
        </w:rPr>
        <w:t xml:space="preserve"> fenómenos electrocinéticos como el efecto electroviscoso denominado </w:t>
      </w:r>
      <w:r w:rsidRPr="00A94D0B">
        <w:rPr>
          <w:szCs w:val="24"/>
        </w:rPr>
        <w:lastRenderedPageBreak/>
        <w:t>“potencial de flujo” (fuerza opuesta al drenaje de la película) y/o un aumento de la viscosidad interfacial (formación de una película interfacial rígida e inmovilización de la capa de aceite que</w:t>
      </w:r>
      <w:r>
        <w:rPr>
          <w:szCs w:val="24"/>
        </w:rPr>
        <w:t xml:space="preserve"> solvata las colas lipofílicas) (Marfisi y Salaguer, 2004).</w:t>
      </w:r>
    </w:p>
    <w:p w:rsidR="003A6929" w:rsidRPr="005B74B4" w:rsidRDefault="003A6929" w:rsidP="005B74B4">
      <w:pPr>
        <w:spacing w:line="360" w:lineRule="auto"/>
        <w:rPr>
          <w:rFonts w:eastAsia="Microsoft YaHei"/>
          <w:b/>
        </w:rPr>
      </w:pPr>
      <w:r w:rsidRPr="005B74B4">
        <w:rPr>
          <w:rFonts w:eastAsia="Microsoft YaHei"/>
          <w:b/>
        </w:rPr>
        <w:t>Etapa 3: Formación de cade</w:t>
      </w:r>
      <w:r w:rsidR="005B74B4">
        <w:rPr>
          <w:rFonts w:eastAsia="Microsoft YaHei"/>
          <w:b/>
        </w:rPr>
        <w:t>nas y mecanismo de coalescencia</w:t>
      </w:r>
    </w:p>
    <w:p w:rsidR="003A6929" w:rsidRPr="00A94D0B" w:rsidRDefault="003A6929" w:rsidP="00CD4FFF">
      <w:pPr>
        <w:spacing w:line="360" w:lineRule="auto"/>
        <w:jc w:val="both"/>
        <w:rPr>
          <w:szCs w:val="24"/>
        </w:rPr>
      </w:pPr>
      <w:r w:rsidRPr="00A94D0B">
        <w:rPr>
          <w:szCs w:val="24"/>
        </w:rPr>
        <w:tab/>
        <w:t>Se han propuesto d</w:t>
      </w:r>
      <w:r>
        <w:rPr>
          <w:szCs w:val="24"/>
        </w:rPr>
        <w:t>o</w:t>
      </w:r>
      <w:r w:rsidRPr="00A94D0B">
        <w:rPr>
          <w:szCs w:val="24"/>
        </w:rPr>
        <w:t xml:space="preserve">s mecanismos para explicar la formación de cadenas y coalescencia </w:t>
      </w:r>
      <w:r>
        <w:rPr>
          <w:szCs w:val="24"/>
        </w:rPr>
        <w:t>en las</w:t>
      </w:r>
      <w:r w:rsidRPr="00A94D0B">
        <w:rPr>
          <w:szCs w:val="24"/>
        </w:rPr>
        <w:t xml:space="preserve"> dispersiones </w:t>
      </w:r>
      <w:r>
        <w:rPr>
          <w:szCs w:val="24"/>
        </w:rPr>
        <w:t>W/O</w:t>
      </w:r>
      <w:r w:rsidRPr="00A94D0B">
        <w:rPr>
          <w:szCs w:val="24"/>
        </w:rPr>
        <w:t>, los cuales se ven influenciados por un cierto número de factores, incluidos la</w:t>
      </w:r>
      <w:r>
        <w:rPr>
          <w:szCs w:val="24"/>
        </w:rPr>
        <w:t xml:space="preserve"> viscosidad de la fase continua</w:t>
      </w:r>
      <w:r w:rsidRPr="00A94D0B">
        <w:rPr>
          <w:szCs w:val="24"/>
        </w:rPr>
        <w:t>, el volumen de la fase dispersa y la fuerza del campo eléctrico aplicado. Est</w:t>
      </w:r>
      <w:r>
        <w:rPr>
          <w:szCs w:val="24"/>
        </w:rPr>
        <w:t>os</w:t>
      </w:r>
      <w:r w:rsidRPr="00A94D0B">
        <w:rPr>
          <w:szCs w:val="24"/>
        </w:rPr>
        <w:t xml:space="preserve"> mecanismo</w:t>
      </w:r>
      <w:r>
        <w:rPr>
          <w:szCs w:val="24"/>
        </w:rPr>
        <w:t>s</w:t>
      </w:r>
      <w:r w:rsidRPr="00A94D0B">
        <w:rPr>
          <w:szCs w:val="24"/>
        </w:rPr>
        <w:t xml:space="preserve"> ha</w:t>
      </w:r>
      <w:r>
        <w:rPr>
          <w:szCs w:val="24"/>
        </w:rPr>
        <w:t>n</w:t>
      </w:r>
      <w:r w:rsidRPr="00A94D0B">
        <w:rPr>
          <w:szCs w:val="24"/>
        </w:rPr>
        <w:t xml:space="preserve"> sido observado</w:t>
      </w:r>
      <w:r>
        <w:rPr>
          <w:szCs w:val="24"/>
        </w:rPr>
        <w:t>s</w:t>
      </w:r>
      <w:r w:rsidRPr="00A94D0B">
        <w:rPr>
          <w:szCs w:val="24"/>
        </w:rPr>
        <w:t xml:space="preserve"> con campos de corriente </w:t>
      </w:r>
      <w:r w:rsidR="00CD4FFF">
        <w:rPr>
          <w:szCs w:val="24"/>
        </w:rPr>
        <w:t>DC</w:t>
      </w:r>
      <w:r>
        <w:rPr>
          <w:szCs w:val="24"/>
        </w:rPr>
        <w:t xml:space="preserve"> y AC</w:t>
      </w:r>
      <w:r w:rsidRPr="00A94D0B">
        <w:rPr>
          <w:szCs w:val="24"/>
        </w:rPr>
        <w:t xml:space="preserve">. </w:t>
      </w:r>
    </w:p>
    <w:p w:rsidR="003A6929" w:rsidRPr="00E24A29" w:rsidRDefault="003A6929" w:rsidP="003A6929">
      <w:pPr>
        <w:spacing w:line="360" w:lineRule="auto"/>
        <w:jc w:val="both"/>
        <w:rPr>
          <w:i/>
          <w:szCs w:val="24"/>
        </w:rPr>
      </w:pPr>
      <w:r w:rsidRPr="00A94D0B">
        <w:rPr>
          <w:szCs w:val="24"/>
        </w:rPr>
        <w:tab/>
        <w:t xml:space="preserve">Las cadenas de gotas se forman por el movimiento de las gotas individuales, debido a una diferencia de potencial entre las gotas como resultado de las cargas inducidas presentes en ellas. Las cadenas se alinean en la dirección de la máxima fuerza de campo y no siempre comienzan o terminan en los electrodos y pueden no estar en contacto con ellos. </w:t>
      </w:r>
      <w:r>
        <w:rPr>
          <w:szCs w:val="24"/>
        </w:rPr>
        <w:t>En este caso e</w:t>
      </w:r>
      <w:r w:rsidRPr="00A94D0B">
        <w:rPr>
          <w:szCs w:val="24"/>
        </w:rPr>
        <w:t xml:space="preserve">l proceso de coalescencia depende de dos factores: La rotura dieléctrica de la película de fase continua entre dos gotas adyacentes y la fuerza atractiva entre dos gotas debida a su diferencia de potencial. </w:t>
      </w:r>
      <w:r w:rsidRPr="00F31F4B">
        <w:rPr>
          <w:szCs w:val="24"/>
        </w:rPr>
        <w:t>(Eow y Ghadiri, 2001).</w:t>
      </w:r>
    </w:p>
    <w:p w:rsidR="003A6929" w:rsidRPr="00F31F4B" w:rsidRDefault="003A6929" w:rsidP="003A6929">
      <w:pPr>
        <w:autoSpaceDE w:val="0"/>
        <w:autoSpaceDN w:val="0"/>
        <w:adjustRightInd w:val="0"/>
        <w:spacing w:line="360" w:lineRule="auto"/>
        <w:jc w:val="both"/>
        <w:rPr>
          <w:szCs w:val="24"/>
        </w:rPr>
      </w:pPr>
      <w:r w:rsidRPr="00E24A29">
        <w:rPr>
          <w:szCs w:val="24"/>
        </w:rPr>
        <w:tab/>
      </w:r>
      <w:r w:rsidRPr="00F31F4B">
        <w:rPr>
          <w:szCs w:val="24"/>
        </w:rPr>
        <w:t>Taylor reporta dos tipos de comportamiento (Taylor, 1988):</w:t>
      </w:r>
    </w:p>
    <w:p w:rsidR="003A6929" w:rsidRPr="00BA698C" w:rsidRDefault="003A6929" w:rsidP="003A6929">
      <w:pPr>
        <w:spacing w:line="360" w:lineRule="auto"/>
        <w:jc w:val="both"/>
        <w:rPr>
          <w:szCs w:val="24"/>
        </w:rPr>
      </w:pPr>
      <w:r w:rsidRPr="00F31F4B">
        <w:rPr>
          <w:szCs w:val="24"/>
        </w:rPr>
        <w:tab/>
      </w:r>
      <w:r>
        <w:rPr>
          <w:szCs w:val="24"/>
        </w:rPr>
        <w:t xml:space="preserve">- </w:t>
      </w:r>
      <w:r w:rsidRPr="00041E85">
        <w:rPr>
          <w:b/>
          <w:szCs w:val="24"/>
        </w:rPr>
        <w:t>Tipo I</w:t>
      </w:r>
      <w:r w:rsidRPr="00041E85">
        <w:rPr>
          <w:b/>
          <w:i/>
          <w:szCs w:val="24"/>
        </w:rPr>
        <w:t>:</w:t>
      </w:r>
      <w:r w:rsidRPr="00BA698C">
        <w:rPr>
          <w:szCs w:val="24"/>
        </w:rPr>
        <w:t xml:space="preserve"> Una cadena gotas muy estable se forma entre los electrodos producto de la aplicación de un campo eléctrico de corriente continua, resultando en una fuga (de corriente) a través de las cadenas.</w:t>
      </w:r>
      <w:r w:rsidRPr="00BA698C">
        <w:rPr>
          <w:szCs w:val="24"/>
        </w:rPr>
        <w:tab/>
      </w:r>
    </w:p>
    <w:p w:rsidR="003A6929" w:rsidRPr="00A94D0B" w:rsidRDefault="003A6929" w:rsidP="003A6929">
      <w:pPr>
        <w:spacing w:line="360" w:lineRule="auto"/>
        <w:jc w:val="both"/>
        <w:rPr>
          <w:szCs w:val="24"/>
        </w:rPr>
      </w:pPr>
      <w:r w:rsidRPr="00BA698C">
        <w:rPr>
          <w:szCs w:val="24"/>
        </w:rPr>
        <w:tab/>
      </w:r>
      <w:r>
        <w:rPr>
          <w:szCs w:val="24"/>
        </w:rPr>
        <w:t xml:space="preserve">- </w:t>
      </w:r>
      <w:r w:rsidRPr="00041E85">
        <w:rPr>
          <w:b/>
          <w:szCs w:val="24"/>
        </w:rPr>
        <w:t xml:space="preserve">Tipo II: </w:t>
      </w:r>
      <w:r w:rsidRPr="00BA698C">
        <w:rPr>
          <w:szCs w:val="24"/>
        </w:rPr>
        <w:t>Ocurre una coalescencia rápida, indicando ausencia de cualquier cadena y un mejoramiento</w:t>
      </w:r>
      <w:r w:rsidRPr="00A94D0B">
        <w:rPr>
          <w:szCs w:val="24"/>
        </w:rPr>
        <w:t xml:space="preserve"> de la movilidad de la película interfacial. Sin una película rígida, las gotas vecinas tienden a coalescer y formar gotas más grandes. Esta coalescencia tiende a ocurrir después de la formación de las cadenas, cuando la película interfacial es compresible.</w:t>
      </w:r>
    </w:p>
    <w:p w:rsidR="003A6929" w:rsidRPr="007B2232" w:rsidRDefault="00C8552B" w:rsidP="007B2232">
      <w:pPr>
        <w:pStyle w:val="Ttulo3"/>
        <w:spacing w:line="360" w:lineRule="auto"/>
        <w:jc w:val="both"/>
        <w:rPr>
          <w:rFonts w:ascii="Times New Roman" w:hAnsi="Times New Roman" w:cs="Times New Roman"/>
          <w:color w:val="auto"/>
        </w:rPr>
      </w:pPr>
      <w:bookmarkStart w:id="86" w:name="_Toc327478019"/>
      <w:r>
        <w:rPr>
          <w:rFonts w:ascii="Times New Roman" w:hAnsi="Times New Roman" w:cs="Times New Roman"/>
          <w:color w:val="auto"/>
        </w:rPr>
        <w:t xml:space="preserve">2.8 </w:t>
      </w:r>
      <w:r w:rsidR="003A6929" w:rsidRPr="007B2232">
        <w:rPr>
          <w:rFonts w:ascii="Times New Roman" w:hAnsi="Times New Roman" w:cs="Times New Roman"/>
          <w:color w:val="auto"/>
        </w:rPr>
        <w:t>Mojabilidad</w:t>
      </w:r>
      <w:bookmarkEnd w:id="86"/>
    </w:p>
    <w:p w:rsidR="003A6929" w:rsidRPr="00C634C0" w:rsidRDefault="003A6929" w:rsidP="003A6929">
      <w:pPr>
        <w:autoSpaceDE w:val="0"/>
        <w:autoSpaceDN w:val="0"/>
        <w:adjustRightInd w:val="0"/>
        <w:spacing w:line="360" w:lineRule="auto"/>
        <w:jc w:val="both"/>
        <w:rPr>
          <w:szCs w:val="24"/>
        </w:rPr>
      </w:pPr>
      <w:r>
        <w:rPr>
          <w:szCs w:val="24"/>
        </w:rPr>
        <w:tab/>
      </w:r>
      <w:r w:rsidRPr="00C634C0">
        <w:rPr>
          <w:szCs w:val="24"/>
        </w:rPr>
        <w:t>La mojabilidad se define como la tendencia de un fluido a esparcirse o adherirse a</w:t>
      </w:r>
      <w:r>
        <w:rPr>
          <w:szCs w:val="24"/>
        </w:rPr>
        <w:t xml:space="preserve"> </w:t>
      </w:r>
      <w:r w:rsidRPr="00C634C0">
        <w:rPr>
          <w:szCs w:val="24"/>
        </w:rPr>
        <w:t xml:space="preserve">una superficie sólida en presencia de otros fluidos inmiscibles (Anderson, </w:t>
      </w:r>
      <w:r w:rsidRPr="00C634C0">
        <w:rPr>
          <w:szCs w:val="24"/>
        </w:rPr>
        <w:lastRenderedPageBreak/>
        <w:t xml:space="preserve">1986). En </w:t>
      </w:r>
      <w:r w:rsidRPr="00C634C0">
        <w:rPr>
          <w:szCs w:val="24"/>
          <w:lang w:val="es-VE"/>
        </w:rPr>
        <w:t xml:space="preserve">un sistema sólido/líquido/líquido </w:t>
      </w:r>
      <w:r w:rsidRPr="00C634C0">
        <w:rPr>
          <w:szCs w:val="24"/>
        </w:rPr>
        <w:t xml:space="preserve">la mojabilidad </w:t>
      </w:r>
      <w:r w:rsidRPr="00C634C0">
        <w:rPr>
          <w:szCs w:val="24"/>
          <w:lang w:val="es-VE"/>
        </w:rPr>
        <w:t>se puede definir como la</w:t>
      </w:r>
      <w:r>
        <w:rPr>
          <w:szCs w:val="24"/>
        </w:rPr>
        <w:t xml:space="preserve"> </w:t>
      </w:r>
      <w:r w:rsidRPr="00C634C0">
        <w:rPr>
          <w:szCs w:val="24"/>
          <w:lang w:val="es-VE"/>
        </w:rPr>
        <w:t>tendencia de un fluido a adherirse a la superficie de un sólido en presencia de otro fluido,</w:t>
      </w:r>
      <w:r w:rsidRPr="00C634C0">
        <w:rPr>
          <w:szCs w:val="24"/>
        </w:rPr>
        <w:t xml:space="preserve"> </w:t>
      </w:r>
      <w:r w:rsidRPr="00C634C0">
        <w:rPr>
          <w:szCs w:val="24"/>
          <w:lang w:val="es-VE"/>
        </w:rPr>
        <w:t>siendo las distintas fases del sistema inmiscibles una en la otra</w:t>
      </w:r>
      <w:r>
        <w:rPr>
          <w:szCs w:val="24"/>
        </w:rPr>
        <w:t xml:space="preserve"> (Anderson, 1986).</w:t>
      </w:r>
    </w:p>
    <w:p w:rsidR="003A6929" w:rsidRPr="00C634C0" w:rsidRDefault="003A6929" w:rsidP="003A6929">
      <w:pPr>
        <w:autoSpaceDE w:val="0"/>
        <w:autoSpaceDN w:val="0"/>
        <w:adjustRightInd w:val="0"/>
        <w:spacing w:line="360" w:lineRule="auto"/>
        <w:jc w:val="both"/>
        <w:rPr>
          <w:szCs w:val="24"/>
          <w:lang w:val="es-VE"/>
        </w:rPr>
      </w:pPr>
      <w:r>
        <w:rPr>
          <w:szCs w:val="24"/>
        </w:rPr>
        <w:tab/>
      </w:r>
      <w:r w:rsidRPr="00C634C0">
        <w:rPr>
          <w:szCs w:val="24"/>
          <w:lang w:val="es-VE"/>
        </w:rPr>
        <w:t>En un sistema</w:t>
      </w:r>
      <w:r w:rsidRPr="00C634C0">
        <w:rPr>
          <w:szCs w:val="24"/>
        </w:rPr>
        <w:t xml:space="preserve"> sólido/emulsión: W/O, </w:t>
      </w:r>
      <w:r w:rsidRPr="00C634C0">
        <w:rPr>
          <w:szCs w:val="24"/>
          <w:lang w:val="es-VE"/>
        </w:rPr>
        <w:t xml:space="preserve">la mojabilidad es una medida de la preferencia que </w:t>
      </w:r>
      <w:r w:rsidRPr="00C634C0">
        <w:rPr>
          <w:szCs w:val="24"/>
        </w:rPr>
        <w:t>tiene el sólido</w:t>
      </w:r>
      <w:r w:rsidRPr="00C634C0">
        <w:rPr>
          <w:szCs w:val="24"/>
          <w:lang w:val="es-VE"/>
        </w:rPr>
        <w:t xml:space="preserve"> tiene hacia</w:t>
      </w:r>
      <w:r w:rsidRPr="00C634C0">
        <w:rPr>
          <w:szCs w:val="24"/>
        </w:rPr>
        <w:t xml:space="preserve"> </w:t>
      </w:r>
      <w:r w:rsidRPr="00C634C0">
        <w:rPr>
          <w:szCs w:val="24"/>
          <w:lang w:val="es-VE"/>
        </w:rPr>
        <w:t xml:space="preserve">el agua o hacia el </w:t>
      </w:r>
      <w:r w:rsidRPr="00C634C0">
        <w:rPr>
          <w:szCs w:val="24"/>
        </w:rPr>
        <w:t>crudo</w:t>
      </w:r>
      <w:r w:rsidRPr="00C634C0">
        <w:rPr>
          <w:szCs w:val="24"/>
          <w:lang w:val="es-VE"/>
        </w:rPr>
        <w:t xml:space="preserve">. Cuando </w:t>
      </w:r>
      <w:r w:rsidRPr="00C634C0">
        <w:rPr>
          <w:szCs w:val="24"/>
        </w:rPr>
        <w:t xml:space="preserve">el sólido es más afín al agua </w:t>
      </w:r>
      <w:r w:rsidRPr="00C634C0">
        <w:rPr>
          <w:szCs w:val="24"/>
          <w:lang w:val="es-VE"/>
        </w:rPr>
        <w:t>se observa una</w:t>
      </w:r>
      <w:r w:rsidRPr="00C634C0">
        <w:rPr>
          <w:szCs w:val="24"/>
        </w:rPr>
        <w:t xml:space="preserve"> </w:t>
      </w:r>
      <w:r w:rsidRPr="00C634C0">
        <w:rPr>
          <w:szCs w:val="24"/>
          <w:lang w:val="es-VE"/>
        </w:rPr>
        <w:t>tendencia natural de que el agua entre e</w:t>
      </w:r>
      <w:r w:rsidRPr="00C634C0">
        <w:rPr>
          <w:szCs w:val="24"/>
        </w:rPr>
        <w:t xml:space="preserve">n contacto con la superficie del sólido </w:t>
      </w:r>
      <w:r w:rsidRPr="00C634C0">
        <w:rPr>
          <w:szCs w:val="24"/>
          <w:lang w:val="es-VE"/>
        </w:rPr>
        <w:t>y ocupe el</w:t>
      </w:r>
      <w:r w:rsidRPr="00C634C0">
        <w:rPr>
          <w:szCs w:val="24"/>
        </w:rPr>
        <w:t xml:space="preserve"> la superficie del mismo. Si el sólido es bastante poroso, el potencial adsortivo del sólido será más intenso</w:t>
      </w:r>
      <w:r>
        <w:rPr>
          <w:szCs w:val="24"/>
        </w:rPr>
        <w:t xml:space="preserve"> (Oren, 1995). </w:t>
      </w:r>
      <w:r w:rsidRPr="00C634C0">
        <w:rPr>
          <w:szCs w:val="24"/>
          <w:lang w:val="es-VE"/>
        </w:rPr>
        <w:t xml:space="preserve">Análogamente, cuando </w:t>
      </w:r>
      <w:r w:rsidRPr="00C634C0">
        <w:rPr>
          <w:szCs w:val="24"/>
        </w:rPr>
        <w:t>el</w:t>
      </w:r>
      <w:r w:rsidRPr="00C634C0">
        <w:rPr>
          <w:szCs w:val="24"/>
          <w:lang w:val="es-VE"/>
        </w:rPr>
        <w:t xml:space="preserve"> </w:t>
      </w:r>
      <w:r w:rsidRPr="00C634C0">
        <w:rPr>
          <w:szCs w:val="24"/>
        </w:rPr>
        <w:t xml:space="preserve">sólido es más afín a la fase oleosa </w:t>
      </w:r>
      <w:r w:rsidRPr="00C634C0">
        <w:rPr>
          <w:szCs w:val="24"/>
          <w:lang w:val="es-VE"/>
        </w:rPr>
        <w:t xml:space="preserve">que al agua, la tendencia natural es que sea el </w:t>
      </w:r>
      <w:r w:rsidRPr="00C634C0">
        <w:rPr>
          <w:szCs w:val="24"/>
        </w:rPr>
        <w:t>crudo</w:t>
      </w:r>
      <w:r w:rsidRPr="00C634C0">
        <w:rPr>
          <w:szCs w:val="24"/>
          <w:lang w:val="es-VE"/>
        </w:rPr>
        <w:t xml:space="preserve"> el que entre en contacto con </w:t>
      </w:r>
      <w:r w:rsidRPr="00C634C0">
        <w:rPr>
          <w:szCs w:val="24"/>
        </w:rPr>
        <w:t>el sólido</w:t>
      </w:r>
      <w:r w:rsidRPr="00C634C0">
        <w:rPr>
          <w:szCs w:val="24"/>
          <w:lang w:val="es-VE"/>
        </w:rPr>
        <w:t>.</w:t>
      </w:r>
      <w:r w:rsidRPr="00C634C0">
        <w:rPr>
          <w:szCs w:val="24"/>
        </w:rPr>
        <w:t xml:space="preserve"> </w:t>
      </w:r>
      <w:r w:rsidRPr="00C634C0">
        <w:rPr>
          <w:szCs w:val="24"/>
          <w:lang w:val="es-VE"/>
        </w:rPr>
        <w:t>También existen casos en los que no hay una preferencia definida del sólido por alguno de</w:t>
      </w:r>
      <w:r w:rsidRPr="00C634C0">
        <w:rPr>
          <w:szCs w:val="24"/>
        </w:rPr>
        <w:t xml:space="preserve"> </w:t>
      </w:r>
      <w:r w:rsidRPr="00C634C0">
        <w:rPr>
          <w:szCs w:val="24"/>
          <w:lang w:val="es-VE"/>
        </w:rPr>
        <w:t xml:space="preserve">los fluidos, bajo este </w:t>
      </w:r>
      <w:r w:rsidR="000D6816" w:rsidRPr="00C634C0">
        <w:rPr>
          <w:szCs w:val="24"/>
          <w:lang w:val="es-VE"/>
        </w:rPr>
        <w:t>comportamiento</w:t>
      </w:r>
      <w:r w:rsidRPr="00C634C0">
        <w:rPr>
          <w:szCs w:val="24"/>
          <w:lang w:val="es-VE"/>
        </w:rPr>
        <w:t xml:space="preserve"> se dice que la mojabilidad es intermedia.</w:t>
      </w:r>
    </w:p>
    <w:p w:rsidR="003A6929" w:rsidRPr="00C634C0" w:rsidRDefault="003A6929" w:rsidP="003A6929">
      <w:pPr>
        <w:autoSpaceDE w:val="0"/>
        <w:autoSpaceDN w:val="0"/>
        <w:adjustRightInd w:val="0"/>
        <w:spacing w:line="360" w:lineRule="auto"/>
        <w:jc w:val="both"/>
        <w:rPr>
          <w:szCs w:val="24"/>
        </w:rPr>
      </w:pPr>
      <w:r>
        <w:rPr>
          <w:szCs w:val="24"/>
        </w:rPr>
        <w:tab/>
      </w:r>
      <w:r w:rsidRPr="00C634C0">
        <w:rPr>
          <w:szCs w:val="24"/>
        </w:rPr>
        <w:t>El caso de mojabilidad referido anteriormente está caracterizado</w:t>
      </w:r>
      <w:r w:rsidRPr="00C634C0">
        <w:rPr>
          <w:szCs w:val="24"/>
          <w:lang w:val="es-VE"/>
        </w:rPr>
        <w:t xml:space="preserve"> por un comportamiento espacialmente homogéneo. </w:t>
      </w:r>
      <w:r w:rsidRPr="00C634C0">
        <w:rPr>
          <w:szCs w:val="24"/>
        </w:rPr>
        <w:t xml:space="preserve">Existen casos en los que ciertos sistemas la mojabilidad es </w:t>
      </w:r>
      <w:r w:rsidRPr="00C634C0">
        <w:rPr>
          <w:szCs w:val="24"/>
          <w:lang w:val="es-VE"/>
        </w:rPr>
        <w:t>espacialmente heterogénea. En efecto, las causas</w:t>
      </w:r>
      <w:r w:rsidRPr="00C634C0">
        <w:rPr>
          <w:szCs w:val="24"/>
        </w:rPr>
        <w:t xml:space="preserve"> </w:t>
      </w:r>
      <w:r w:rsidRPr="00C634C0">
        <w:rPr>
          <w:szCs w:val="24"/>
          <w:lang w:val="es-VE"/>
        </w:rPr>
        <w:t>principales de esta conducta son la topología y la composición química</w:t>
      </w:r>
      <w:r w:rsidRPr="00C634C0">
        <w:rPr>
          <w:szCs w:val="24"/>
        </w:rPr>
        <w:t xml:space="preserve"> </w:t>
      </w:r>
      <w:r w:rsidRPr="00C634C0">
        <w:rPr>
          <w:szCs w:val="24"/>
          <w:lang w:val="es-VE"/>
        </w:rPr>
        <w:t xml:space="preserve">de las superficies sólidas. </w:t>
      </w:r>
    </w:p>
    <w:p w:rsidR="003A6929" w:rsidRPr="00C634C0" w:rsidRDefault="003A6929" w:rsidP="003A6929">
      <w:pPr>
        <w:autoSpaceDE w:val="0"/>
        <w:autoSpaceDN w:val="0"/>
        <w:adjustRightInd w:val="0"/>
        <w:spacing w:line="360" w:lineRule="auto"/>
        <w:jc w:val="both"/>
        <w:rPr>
          <w:szCs w:val="24"/>
        </w:rPr>
      </w:pPr>
      <w:r w:rsidRPr="00C634C0">
        <w:rPr>
          <w:szCs w:val="24"/>
        </w:rPr>
        <w:t xml:space="preserve">La mojabilidad de un sistema sólido/emulsión: W/O, </w:t>
      </w:r>
      <w:r w:rsidRPr="00C634C0">
        <w:rPr>
          <w:szCs w:val="24"/>
          <w:lang w:val="es-VE"/>
        </w:rPr>
        <w:t>es principalmente alterada por</w:t>
      </w:r>
      <w:r w:rsidRPr="00C634C0">
        <w:rPr>
          <w:szCs w:val="24"/>
        </w:rPr>
        <w:t xml:space="preserve"> </w:t>
      </w:r>
      <w:r w:rsidRPr="00C634C0">
        <w:rPr>
          <w:szCs w:val="24"/>
          <w:lang w:val="es-VE"/>
        </w:rPr>
        <w:t>la adsorción de compuestos orgánicos.</w:t>
      </w:r>
      <w:r w:rsidRPr="00C634C0">
        <w:rPr>
          <w:szCs w:val="24"/>
        </w:rPr>
        <w:t xml:space="preserve"> </w:t>
      </w:r>
      <w:r w:rsidRPr="00C634C0">
        <w:rPr>
          <w:szCs w:val="24"/>
          <w:lang w:val="es-VE"/>
        </w:rPr>
        <w:t xml:space="preserve">Existe evidencia experimental de que </w:t>
      </w:r>
      <w:r w:rsidRPr="00C634C0">
        <w:rPr>
          <w:szCs w:val="24"/>
        </w:rPr>
        <w:t xml:space="preserve">la intensidad de esta adsorción </w:t>
      </w:r>
      <w:r w:rsidRPr="00C634C0">
        <w:rPr>
          <w:szCs w:val="24"/>
          <w:lang w:val="es-VE"/>
        </w:rPr>
        <w:t>depende de la composición del aceite, naturaleza del mineral, cambios de presión o de</w:t>
      </w:r>
      <w:r w:rsidRPr="00C634C0">
        <w:rPr>
          <w:szCs w:val="24"/>
        </w:rPr>
        <w:t xml:space="preserve"> </w:t>
      </w:r>
      <w:r w:rsidRPr="00C634C0">
        <w:rPr>
          <w:szCs w:val="24"/>
          <w:lang w:val="es-VE"/>
        </w:rPr>
        <w:t xml:space="preserve">temperatura en </w:t>
      </w:r>
      <w:r w:rsidRPr="00C634C0">
        <w:rPr>
          <w:szCs w:val="24"/>
        </w:rPr>
        <w:t xml:space="preserve">el sistema y a la </w:t>
      </w:r>
      <w:r w:rsidRPr="00C634C0">
        <w:rPr>
          <w:szCs w:val="24"/>
          <w:lang w:val="es-VE"/>
        </w:rPr>
        <w:t>composición química de la salmuera (particularmente la fuerza</w:t>
      </w:r>
      <w:r w:rsidRPr="00C634C0">
        <w:rPr>
          <w:szCs w:val="24"/>
        </w:rPr>
        <w:t xml:space="preserve"> </w:t>
      </w:r>
      <w:r w:rsidRPr="00C634C0">
        <w:rPr>
          <w:szCs w:val="24"/>
          <w:lang w:val="es-VE"/>
        </w:rPr>
        <w:t>iónica y el pH)</w:t>
      </w:r>
      <w:r w:rsidRPr="00C634C0">
        <w:rPr>
          <w:szCs w:val="24"/>
        </w:rPr>
        <w:t>.</w:t>
      </w:r>
    </w:p>
    <w:p w:rsidR="003A6929" w:rsidRPr="005B74B4" w:rsidRDefault="00C8552B" w:rsidP="005B74B4">
      <w:pPr>
        <w:pStyle w:val="Ttulo3"/>
        <w:spacing w:line="360" w:lineRule="auto"/>
        <w:jc w:val="both"/>
        <w:rPr>
          <w:rFonts w:ascii="Times New Roman" w:hAnsi="Times New Roman" w:cs="Times New Roman"/>
          <w:color w:val="auto"/>
        </w:rPr>
      </w:pPr>
      <w:bookmarkStart w:id="87" w:name="_Toc327478020"/>
      <w:r w:rsidRPr="005B74B4">
        <w:rPr>
          <w:rFonts w:ascii="Times New Roman" w:hAnsi="Times New Roman" w:cs="Times New Roman"/>
          <w:color w:val="auto"/>
        </w:rPr>
        <w:t xml:space="preserve">2.8.1 </w:t>
      </w:r>
      <w:r w:rsidR="003A6929" w:rsidRPr="005B74B4">
        <w:rPr>
          <w:rFonts w:ascii="Times New Roman" w:hAnsi="Times New Roman" w:cs="Times New Roman"/>
          <w:color w:val="auto"/>
        </w:rPr>
        <w:t>Mojabilidad de un sistema ideal sólido/líquido/líquido y ángulo de contacto</w:t>
      </w:r>
      <w:bookmarkEnd w:id="87"/>
    </w:p>
    <w:p w:rsidR="003A6929" w:rsidRPr="00C634C0" w:rsidRDefault="003A6929" w:rsidP="00831B44">
      <w:pPr>
        <w:autoSpaceDE w:val="0"/>
        <w:autoSpaceDN w:val="0"/>
        <w:adjustRightInd w:val="0"/>
        <w:spacing w:line="360" w:lineRule="auto"/>
        <w:jc w:val="both"/>
        <w:rPr>
          <w:szCs w:val="24"/>
          <w:lang w:val="es-VE"/>
        </w:rPr>
      </w:pPr>
      <w:r>
        <w:rPr>
          <w:szCs w:val="24"/>
        </w:rPr>
        <w:tab/>
      </w:r>
      <w:r w:rsidRPr="00C634C0">
        <w:rPr>
          <w:szCs w:val="24"/>
        </w:rPr>
        <w:t>Para u</w:t>
      </w:r>
      <w:r w:rsidRPr="00C634C0">
        <w:rPr>
          <w:szCs w:val="24"/>
          <w:lang w:val="es-VE"/>
        </w:rPr>
        <w:t>n sistema ideal sólido/líquido/líquido, constituido por una superficie sólida,</w:t>
      </w:r>
      <w:r w:rsidRPr="00C634C0">
        <w:rPr>
          <w:szCs w:val="24"/>
        </w:rPr>
        <w:t xml:space="preserve"> </w:t>
      </w:r>
      <w:r w:rsidRPr="00C634C0">
        <w:rPr>
          <w:szCs w:val="24"/>
          <w:lang w:val="es-VE"/>
        </w:rPr>
        <w:t>lisa, plana, químicamente inerte (no reacciona con las demás fases), homogénea y no</w:t>
      </w:r>
      <w:r w:rsidRPr="00C634C0">
        <w:rPr>
          <w:szCs w:val="24"/>
        </w:rPr>
        <w:t xml:space="preserve"> </w:t>
      </w:r>
      <w:r w:rsidRPr="00C634C0">
        <w:rPr>
          <w:szCs w:val="24"/>
          <w:lang w:val="es-VE"/>
        </w:rPr>
        <w:t>deformable, y dos fases líquid</w:t>
      </w:r>
      <w:r w:rsidRPr="00C634C0">
        <w:rPr>
          <w:szCs w:val="24"/>
        </w:rPr>
        <w:t xml:space="preserve">as puras no miscibles entre sí, </w:t>
      </w:r>
      <w:r w:rsidRPr="00C634C0">
        <w:rPr>
          <w:szCs w:val="24"/>
          <w:lang w:val="es-VE"/>
        </w:rPr>
        <w:t>la</w:t>
      </w:r>
      <w:r w:rsidRPr="00C634C0">
        <w:rPr>
          <w:szCs w:val="24"/>
        </w:rPr>
        <w:t xml:space="preserve"> </w:t>
      </w:r>
      <w:r w:rsidRPr="00C634C0">
        <w:rPr>
          <w:szCs w:val="24"/>
          <w:lang w:val="es-VE"/>
        </w:rPr>
        <w:t>mojabilidad se interpreta en términos del ángulo de contacto q.</w:t>
      </w:r>
      <w:r w:rsidRPr="00C634C0">
        <w:rPr>
          <w:szCs w:val="24"/>
        </w:rPr>
        <w:t xml:space="preserve"> E</w:t>
      </w:r>
      <w:r w:rsidRPr="00C634C0">
        <w:rPr>
          <w:szCs w:val="24"/>
          <w:lang w:val="es-VE"/>
        </w:rPr>
        <w:t>l ángulo de</w:t>
      </w:r>
      <w:r>
        <w:rPr>
          <w:szCs w:val="24"/>
        </w:rPr>
        <w:t xml:space="preserve"> </w:t>
      </w:r>
      <w:r w:rsidRPr="00C634C0">
        <w:rPr>
          <w:szCs w:val="24"/>
          <w:lang w:val="es-VE"/>
        </w:rPr>
        <w:t>contacto es un reflejo de la energía libre superficial de la fase sólida, pudiéndose distinguir</w:t>
      </w:r>
      <w:r w:rsidRPr="00C634C0">
        <w:rPr>
          <w:szCs w:val="24"/>
        </w:rPr>
        <w:t xml:space="preserve"> </w:t>
      </w:r>
      <w:r w:rsidRPr="00C634C0">
        <w:rPr>
          <w:szCs w:val="24"/>
          <w:lang w:val="es-VE"/>
        </w:rPr>
        <w:t xml:space="preserve">superficies de baja energía (superficies de sólidos con energía libre específica menor </w:t>
      </w:r>
      <w:r w:rsidRPr="00C634C0">
        <w:rPr>
          <w:szCs w:val="24"/>
          <w:lang w:val="es-VE"/>
        </w:rPr>
        <w:lastRenderedPageBreak/>
        <w:t>a</w:t>
      </w:r>
      <w:r w:rsidRPr="00C634C0">
        <w:rPr>
          <w:szCs w:val="24"/>
        </w:rPr>
        <w:t xml:space="preserve"> </w:t>
      </w:r>
      <w:r w:rsidRPr="00C634C0">
        <w:rPr>
          <w:szCs w:val="24"/>
          <w:lang w:val="es-VE"/>
        </w:rPr>
        <w:t xml:space="preserve">100 </w:t>
      </w:r>
      <w:r w:rsidRPr="00C634C0">
        <w:rPr>
          <w:szCs w:val="24"/>
        </w:rPr>
        <w:t>erg</w:t>
      </w:r>
      <w:r w:rsidRPr="00C634C0">
        <w:rPr>
          <w:szCs w:val="24"/>
          <w:lang w:val="es-VE"/>
        </w:rPr>
        <w:t>/cm</w:t>
      </w:r>
      <w:r w:rsidRPr="00C634C0">
        <w:rPr>
          <w:szCs w:val="24"/>
          <w:vertAlign w:val="superscript"/>
        </w:rPr>
        <w:t>2</w:t>
      </w:r>
      <w:r w:rsidRPr="00C634C0">
        <w:rPr>
          <w:szCs w:val="24"/>
          <w:lang w:val="es-VE"/>
        </w:rPr>
        <w:t>) y de alta energía (superficies que son mojables por líquidos de alta</w:t>
      </w:r>
      <w:r w:rsidRPr="00C634C0">
        <w:rPr>
          <w:szCs w:val="24"/>
        </w:rPr>
        <w:t xml:space="preserve"> </w:t>
      </w:r>
      <w:r w:rsidRPr="00C634C0">
        <w:rPr>
          <w:szCs w:val="24"/>
          <w:lang w:val="es-VE"/>
        </w:rPr>
        <w:t>tensión superficial)</w:t>
      </w:r>
      <w:r>
        <w:rPr>
          <w:szCs w:val="24"/>
        </w:rPr>
        <w:t xml:space="preserve"> (Serrano, 2002)</w:t>
      </w:r>
      <w:r w:rsidRPr="00C634C0">
        <w:rPr>
          <w:szCs w:val="24"/>
          <w:lang w:val="es-VE"/>
        </w:rPr>
        <w:t>.</w:t>
      </w:r>
    </w:p>
    <w:p w:rsidR="003A6929" w:rsidRPr="00C634C0" w:rsidRDefault="003A6929" w:rsidP="00831B44">
      <w:pPr>
        <w:autoSpaceDE w:val="0"/>
        <w:autoSpaceDN w:val="0"/>
        <w:adjustRightInd w:val="0"/>
        <w:spacing w:line="360" w:lineRule="auto"/>
        <w:jc w:val="both"/>
        <w:rPr>
          <w:szCs w:val="24"/>
        </w:rPr>
      </w:pPr>
      <w:r>
        <w:rPr>
          <w:szCs w:val="24"/>
        </w:rPr>
        <w:tab/>
      </w:r>
      <w:r w:rsidRPr="00C634C0">
        <w:rPr>
          <w:szCs w:val="24"/>
          <w:lang w:val="es-VE"/>
        </w:rPr>
        <w:t>Cuando una gota de agua entra en contacto con una superficie sólida sumergida en</w:t>
      </w:r>
      <w:r>
        <w:rPr>
          <w:szCs w:val="24"/>
        </w:rPr>
        <w:t xml:space="preserve"> </w:t>
      </w:r>
      <w:r w:rsidRPr="00C634C0">
        <w:rPr>
          <w:szCs w:val="24"/>
          <w:lang w:val="es-VE"/>
        </w:rPr>
        <w:t>aceite, la interfase agua/aceite intercepta a la superficie sólida con un ángulo</w:t>
      </w:r>
      <w:r>
        <w:rPr>
          <w:szCs w:val="24"/>
        </w:rPr>
        <w:t xml:space="preserve"> </w:t>
      </w:r>
      <w:r w:rsidRPr="00C634C0">
        <w:rPr>
          <w:szCs w:val="24"/>
          <w:lang w:val="es-VE"/>
        </w:rPr>
        <w:t>de contacto q, medido a través de la fase acuosa, entre la superficie sólida y la recta</w:t>
      </w:r>
      <w:r>
        <w:rPr>
          <w:szCs w:val="24"/>
        </w:rPr>
        <w:t xml:space="preserve"> </w:t>
      </w:r>
      <w:r w:rsidRPr="00C634C0">
        <w:rPr>
          <w:szCs w:val="24"/>
          <w:lang w:val="es-VE"/>
        </w:rPr>
        <w:t>tangente a la interfase agua/aceite en la línea de contacto</w:t>
      </w:r>
      <w:r w:rsidRPr="00C634C0">
        <w:rPr>
          <w:szCs w:val="24"/>
        </w:rPr>
        <w:t>:</w:t>
      </w:r>
    </w:p>
    <w:p w:rsidR="003A6929" w:rsidRPr="00C634C0" w:rsidRDefault="003A6929" w:rsidP="003A6929">
      <w:pPr>
        <w:autoSpaceDE w:val="0"/>
        <w:autoSpaceDN w:val="0"/>
        <w:adjustRightInd w:val="0"/>
        <w:spacing w:line="360" w:lineRule="auto"/>
        <w:jc w:val="both"/>
        <w:rPr>
          <w:szCs w:val="24"/>
          <w:lang w:val="es-VE"/>
        </w:rPr>
      </w:pPr>
      <w:r w:rsidRPr="00C634C0">
        <w:rPr>
          <w:noProof/>
          <w:szCs w:val="24"/>
          <w:lang w:val="en-US" w:eastAsia="en-US"/>
        </w:rPr>
        <w:drawing>
          <wp:inline distT="0" distB="0" distL="0" distR="0">
            <wp:extent cx="5241718" cy="3005849"/>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t="4745" b="2877"/>
                    <a:stretch>
                      <a:fillRect/>
                    </a:stretch>
                  </pic:blipFill>
                  <pic:spPr bwMode="auto">
                    <a:xfrm>
                      <a:off x="0" y="0"/>
                      <a:ext cx="5241718" cy="3005849"/>
                    </a:xfrm>
                    <a:prstGeom prst="rect">
                      <a:avLst/>
                    </a:prstGeom>
                    <a:noFill/>
                    <a:ln w="9525">
                      <a:noFill/>
                      <a:miter lim="800000"/>
                      <a:headEnd/>
                      <a:tailEnd/>
                    </a:ln>
                  </pic:spPr>
                </pic:pic>
              </a:graphicData>
            </a:graphic>
          </wp:inline>
        </w:drawing>
      </w:r>
    </w:p>
    <w:p w:rsidR="003A6929" w:rsidRPr="00972334" w:rsidRDefault="00A22DA7" w:rsidP="00A22DA7">
      <w:pPr>
        <w:pStyle w:val="Epgrafe"/>
        <w:spacing w:line="360" w:lineRule="auto"/>
      </w:pPr>
      <w:bookmarkStart w:id="88" w:name="_Toc327481432"/>
      <w:r>
        <w:t xml:space="preserve">Figura N° </w:t>
      </w:r>
      <w:fldSimple w:instr=" SEQ Figura_N° \* ARABIC ">
        <w:r w:rsidR="004A5F6F">
          <w:rPr>
            <w:noProof/>
          </w:rPr>
          <w:t>20</w:t>
        </w:r>
      </w:fldSimple>
      <w:r w:rsidR="003A6929" w:rsidRPr="00972334">
        <w:t xml:space="preserve">: </w:t>
      </w:r>
      <w:r w:rsidR="003A6929" w:rsidRPr="00972334">
        <w:rPr>
          <w:lang w:val="es-VE"/>
        </w:rPr>
        <w:t>Definición de ángulo de contacto en un sistema ideal</w:t>
      </w:r>
      <w:r w:rsidR="003A6929" w:rsidRPr="00972334">
        <w:t xml:space="preserve"> s</w:t>
      </w:r>
      <w:r w:rsidR="003A6929" w:rsidRPr="00972334">
        <w:rPr>
          <w:lang w:val="es-VE"/>
        </w:rPr>
        <w:t>ólido/líquido/líquido. Si q &lt; p/3 rad, se dice que la superficie es de afinidad</w:t>
      </w:r>
      <w:r w:rsidR="003A6929" w:rsidRPr="00972334">
        <w:t xml:space="preserve"> </w:t>
      </w:r>
      <w:r w:rsidR="003A6929" w:rsidRPr="00972334">
        <w:rPr>
          <w:lang w:val="es-VE"/>
        </w:rPr>
        <w:t>preferencial hacia el agua, mientras que para valores de q &gt; p/2 rad, la superficie</w:t>
      </w:r>
      <w:r w:rsidR="003A6929" w:rsidRPr="00972334">
        <w:t xml:space="preserve"> </w:t>
      </w:r>
      <w:r w:rsidR="003A6929" w:rsidRPr="00972334">
        <w:rPr>
          <w:lang w:val="es-VE"/>
        </w:rPr>
        <w:t>es de mojabilidad por aceite. Finalmente para valores p/3 &lt; q &lt; p/2 rad, se dice</w:t>
      </w:r>
      <w:r w:rsidR="003A6929" w:rsidRPr="00972334">
        <w:t xml:space="preserve"> </w:t>
      </w:r>
      <w:r w:rsidR="003A6929" w:rsidRPr="00972334">
        <w:rPr>
          <w:lang w:val="es-VE"/>
        </w:rPr>
        <w:t>que la superficie presenta una mojabilidad neutral y no tiene preferencia</w:t>
      </w:r>
      <w:r w:rsidR="003A6929" w:rsidRPr="00972334">
        <w:t xml:space="preserve"> </w:t>
      </w:r>
      <w:r w:rsidR="003A6929" w:rsidRPr="00972334">
        <w:rPr>
          <w:lang w:val="es-VE"/>
        </w:rPr>
        <w:t>significativa por ningún líquido (Carey, 1992).</w:t>
      </w:r>
      <w:bookmarkEnd w:id="88"/>
    </w:p>
    <w:p w:rsidR="003A6929" w:rsidRPr="005B74B4" w:rsidRDefault="00C8552B" w:rsidP="005B74B4">
      <w:pPr>
        <w:pStyle w:val="Ttulo3"/>
        <w:spacing w:line="360" w:lineRule="auto"/>
        <w:jc w:val="both"/>
        <w:rPr>
          <w:rFonts w:ascii="Times New Roman" w:hAnsi="Times New Roman" w:cs="Times New Roman"/>
          <w:color w:val="auto"/>
        </w:rPr>
      </w:pPr>
      <w:bookmarkStart w:id="89" w:name="_Toc327478021"/>
      <w:r w:rsidRPr="005B74B4">
        <w:rPr>
          <w:rFonts w:ascii="Times New Roman" w:hAnsi="Times New Roman" w:cs="Times New Roman"/>
          <w:color w:val="auto"/>
        </w:rPr>
        <w:t xml:space="preserve">2.8.2 </w:t>
      </w:r>
      <w:r w:rsidR="003A6929" w:rsidRPr="005B74B4">
        <w:rPr>
          <w:rFonts w:ascii="Times New Roman" w:hAnsi="Times New Roman" w:cs="Times New Roman"/>
          <w:color w:val="auto"/>
        </w:rPr>
        <w:t>Variabilidad del ángulo de contacto producto de la adsorción de un surfactante</w:t>
      </w:r>
      <w:bookmarkEnd w:id="89"/>
    </w:p>
    <w:p w:rsidR="003A6929" w:rsidRDefault="003A6929" w:rsidP="00972334">
      <w:pPr>
        <w:autoSpaceDE w:val="0"/>
        <w:autoSpaceDN w:val="0"/>
        <w:adjustRightInd w:val="0"/>
        <w:spacing w:line="360" w:lineRule="auto"/>
        <w:jc w:val="both"/>
        <w:rPr>
          <w:szCs w:val="24"/>
        </w:rPr>
      </w:pPr>
      <w:r>
        <w:rPr>
          <w:szCs w:val="24"/>
        </w:rPr>
        <w:tab/>
      </w:r>
      <w:r w:rsidRPr="00C634C0">
        <w:rPr>
          <w:szCs w:val="24"/>
          <w:lang w:val="es-VE"/>
        </w:rPr>
        <w:t>La presencia de un agente surfactante en una interfase produce en general un</w:t>
      </w:r>
      <w:r w:rsidRPr="00C634C0">
        <w:rPr>
          <w:szCs w:val="24"/>
        </w:rPr>
        <w:t xml:space="preserve"> </w:t>
      </w:r>
      <w:r w:rsidRPr="00C634C0">
        <w:rPr>
          <w:szCs w:val="24"/>
          <w:lang w:val="es-VE"/>
        </w:rPr>
        <w:t>cambio de tensi</w:t>
      </w:r>
      <w:r w:rsidRPr="00C634C0">
        <w:rPr>
          <w:szCs w:val="24"/>
        </w:rPr>
        <w:t xml:space="preserve">ón, lo que equivale a </w:t>
      </w:r>
      <w:r>
        <w:rPr>
          <w:szCs w:val="24"/>
        </w:rPr>
        <w:t>una variación</w:t>
      </w:r>
      <w:r w:rsidRPr="00C634C0">
        <w:rPr>
          <w:szCs w:val="24"/>
        </w:rPr>
        <w:t xml:space="preserve"> del ángulo de contacto.</w:t>
      </w:r>
      <w:r>
        <w:rPr>
          <w:szCs w:val="24"/>
        </w:rPr>
        <w:t xml:space="preserve"> Esta variación dependerá de las propiedades y características del sistema trifásico y de la molécula de surfactante.</w:t>
      </w:r>
    </w:p>
    <w:p w:rsidR="003A6929" w:rsidRPr="00C634C0" w:rsidRDefault="003A6929" w:rsidP="00972334">
      <w:pPr>
        <w:autoSpaceDE w:val="0"/>
        <w:autoSpaceDN w:val="0"/>
        <w:adjustRightInd w:val="0"/>
        <w:spacing w:line="360" w:lineRule="auto"/>
        <w:jc w:val="both"/>
        <w:rPr>
          <w:szCs w:val="24"/>
          <w:lang w:val="es-VE"/>
        </w:rPr>
      </w:pPr>
      <w:r>
        <w:rPr>
          <w:szCs w:val="24"/>
        </w:rPr>
        <w:lastRenderedPageBreak/>
        <w:tab/>
      </w:r>
      <w:r w:rsidRPr="00C634C0">
        <w:rPr>
          <w:szCs w:val="24"/>
          <w:lang w:val="es-VE"/>
        </w:rPr>
        <w:t>En la literatura existen modelos de adsorción de surfactantes en sistemas líquido/</w:t>
      </w:r>
      <w:r w:rsidRPr="00C634C0">
        <w:rPr>
          <w:szCs w:val="24"/>
        </w:rPr>
        <w:t>v</w:t>
      </w:r>
      <w:r w:rsidRPr="00C634C0">
        <w:rPr>
          <w:szCs w:val="24"/>
          <w:lang w:val="es-VE"/>
        </w:rPr>
        <w:t>apor</w:t>
      </w:r>
      <w:r>
        <w:rPr>
          <w:szCs w:val="24"/>
        </w:rPr>
        <w:t xml:space="preserve">, </w:t>
      </w:r>
      <w:r w:rsidRPr="00C634C0">
        <w:rPr>
          <w:szCs w:val="24"/>
          <w:lang w:val="es-VE"/>
        </w:rPr>
        <w:t xml:space="preserve"> que interpretan y predicen</w:t>
      </w:r>
      <w:r>
        <w:rPr>
          <w:szCs w:val="24"/>
        </w:rPr>
        <w:t xml:space="preserve"> la variación del ángulo de contacto de acuerdo a</w:t>
      </w:r>
      <w:r w:rsidRPr="00C634C0">
        <w:rPr>
          <w:szCs w:val="24"/>
          <w:lang w:val="es-VE"/>
        </w:rPr>
        <w:t>l comportamiento de la tensión, del exceso</w:t>
      </w:r>
      <w:r w:rsidRPr="00C634C0">
        <w:rPr>
          <w:szCs w:val="24"/>
        </w:rPr>
        <w:t xml:space="preserve"> </w:t>
      </w:r>
      <w:r w:rsidRPr="00C634C0">
        <w:rPr>
          <w:szCs w:val="24"/>
          <w:lang w:val="es-VE"/>
        </w:rPr>
        <w:t>superficial y de la distribución de los iones en la interfase a través de la teoría de la doble</w:t>
      </w:r>
      <w:r w:rsidRPr="00C634C0">
        <w:rPr>
          <w:szCs w:val="24"/>
        </w:rPr>
        <w:t xml:space="preserve"> </w:t>
      </w:r>
      <w:r w:rsidRPr="00C634C0">
        <w:rPr>
          <w:szCs w:val="24"/>
          <w:lang w:val="es-VE"/>
        </w:rPr>
        <w:t xml:space="preserve">capa eléctrica </w:t>
      </w:r>
      <w:r w:rsidRPr="00C634C0">
        <w:rPr>
          <w:szCs w:val="24"/>
        </w:rPr>
        <w:t>interfacial</w:t>
      </w:r>
      <w:r w:rsidRPr="00C634C0">
        <w:rPr>
          <w:szCs w:val="24"/>
          <w:lang w:val="es-VE"/>
        </w:rPr>
        <w:t>. Sin embargo estos modelos asumen muchas hipótesis</w:t>
      </w:r>
      <w:r>
        <w:rPr>
          <w:szCs w:val="24"/>
        </w:rPr>
        <w:t xml:space="preserve"> </w:t>
      </w:r>
      <w:r w:rsidRPr="00C634C0">
        <w:rPr>
          <w:szCs w:val="24"/>
          <w:lang w:val="es-VE"/>
        </w:rPr>
        <w:t>sobre el comportamiento de la densidad de carga superficial. Para acceder a ellos, es</w:t>
      </w:r>
      <w:r>
        <w:rPr>
          <w:szCs w:val="24"/>
        </w:rPr>
        <w:t xml:space="preserve"> </w:t>
      </w:r>
      <w:r w:rsidRPr="00C634C0">
        <w:rPr>
          <w:szCs w:val="24"/>
          <w:lang w:val="es-VE"/>
        </w:rPr>
        <w:t>necesario contar con una extensa cantidad de propiedades del sistema (constantes de</w:t>
      </w:r>
      <w:r>
        <w:rPr>
          <w:szCs w:val="24"/>
        </w:rPr>
        <w:t xml:space="preserve"> </w:t>
      </w:r>
      <w:r w:rsidRPr="00C634C0">
        <w:rPr>
          <w:szCs w:val="24"/>
          <w:lang w:val="es-VE"/>
        </w:rPr>
        <w:t>actividad iónica, potenciales superficiales, potenciales eléctricos etc.) y varias de las</w:t>
      </w:r>
      <w:r>
        <w:rPr>
          <w:szCs w:val="24"/>
        </w:rPr>
        <w:t xml:space="preserve"> </w:t>
      </w:r>
      <w:r w:rsidRPr="00C634C0">
        <w:rPr>
          <w:szCs w:val="24"/>
          <w:lang w:val="es-VE"/>
        </w:rPr>
        <w:t>propiedades no son medibles</w:t>
      </w:r>
      <w:r w:rsidRPr="00C634C0">
        <w:rPr>
          <w:szCs w:val="24"/>
        </w:rPr>
        <w:t>. Esto conlleva a que la predicción del ángulo de contacto para un sistema trifásico y un surfactante sea sumamente complicada de determinar, más aún si se tiene en consideración que en el crudo existen numerosas moléculas de sur</w:t>
      </w:r>
      <w:r>
        <w:rPr>
          <w:szCs w:val="24"/>
        </w:rPr>
        <w:t>factante de distinta naturaleza cuyo comportamiento bajo la influencia de un campo eléctrico es bastante indeterminado (Serrano, 2002).</w:t>
      </w:r>
    </w:p>
    <w:p w:rsidR="003A6929" w:rsidRDefault="003A6929" w:rsidP="005B74B4">
      <w:pPr>
        <w:pStyle w:val="Ttulo1"/>
      </w:pPr>
    </w:p>
    <w:p w:rsidR="00E12857" w:rsidRDefault="00E12857">
      <w:pPr>
        <w:rPr>
          <w:lang w:val="es-VE"/>
        </w:rPr>
      </w:pPr>
      <w:r>
        <w:rPr>
          <w:lang w:val="es-VE"/>
        </w:rPr>
        <w:br w:type="page"/>
      </w:r>
    </w:p>
    <w:p w:rsidR="00796D8D" w:rsidRPr="008B7F54" w:rsidRDefault="00E12857" w:rsidP="005B74B4">
      <w:pPr>
        <w:pStyle w:val="Ttulo1"/>
      </w:pPr>
      <w:bookmarkStart w:id="90" w:name="_Toc306491478"/>
      <w:bookmarkStart w:id="91" w:name="_Toc327478022"/>
      <w:r>
        <w:lastRenderedPageBreak/>
        <w:t>CA</w:t>
      </w:r>
      <w:r w:rsidR="00796D8D" w:rsidRPr="008B7F54">
        <w:t>PÍTULO III</w:t>
      </w:r>
      <w:bookmarkEnd w:id="90"/>
      <w:bookmarkEnd w:id="91"/>
    </w:p>
    <w:p w:rsidR="00796D8D" w:rsidRPr="005B74B4" w:rsidRDefault="00796D8D" w:rsidP="005B74B4">
      <w:pPr>
        <w:pStyle w:val="Ttulo2"/>
        <w:spacing w:line="360" w:lineRule="auto"/>
        <w:jc w:val="center"/>
        <w:rPr>
          <w:rFonts w:ascii="Times New Roman" w:hAnsi="Times New Roman" w:cs="Times New Roman"/>
          <w:color w:val="auto"/>
          <w:sz w:val="24"/>
          <w:szCs w:val="24"/>
        </w:rPr>
      </w:pPr>
      <w:bookmarkStart w:id="92" w:name="_Toc327478023"/>
      <w:r w:rsidRPr="005B74B4">
        <w:rPr>
          <w:rFonts w:ascii="Times New Roman" w:hAnsi="Times New Roman" w:cs="Times New Roman"/>
          <w:color w:val="auto"/>
          <w:sz w:val="24"/>
          <w:szCs w:val="24"/>
        </w:rPr>
        <w:t>MARCO METODOLOGICO</w:t>
      </w:r>
      <w:bookmarkEnd w:id="92"/>
    </w:p>
    <w:p w:rsidR="00796D8D" w:rsidRPr="005B74B4" w:rsidRDefault="00C8552B" w:rsidP="005B74B4">
      <w:pPr>
        <w:pStyle w:val="Ttulo3"/>
        <w:jc w:val="both"/>
        <w:rPr>
          <w:rFonts w:ascii="Times New Roman" w:hAnsi="Times New Roman" w:cs="Times New Roman"/>
          <w:color w:val="auto"/>
        </w:rPr>
      </w:pPr>
      <w:bookmarkStart w:id="93" w:name="_Toc306491479"/>
      <w:bookmarkStart w:id="94" w:name="_Toc327478024"/>
      <w:r w:rsidRPr="005B74B4">
        <w:rPr>
          <w:rFonts w:ascii="Times New Roman" w:hAnsi="Times New Roman" w:cs="Times New Roman"/>
          <w:color w:val="auto"/>
        </w:rPr>
        <w:t xml:space="preserve">3.1 </w:t>
      </w:r>
      <w:r w:rsidR="00796D8D" w:rsidRPr="005B74B4">
        <w:rPr>
          <w:rFonts w:ascii="Times New Roman" w:hAnsi="Times New Roman" w:cs="Times New Roman"/>
          <w:color w:val="auto"/>
        </w:rPr>
        <w:t>DESCRIPCIÓN DE EQUIPOS</w:t>
      </w:r>
      <w:bookmarkEnd w:id="93"/>
      <w:bookmarkEnd w:id="94"/>
    </w:p>
    <w:p w:rsidR="00796D8D" w:rsidRPr="008B4C43" w:rsidRDefault="00C8552B" w:rsidP="00A67F53">
      <w:pPr>
        <w:spacing w:before="240" w:after="120"/>
        <w:rPr>
          <w:b/>
        </w:rPr>
      </w:pPr>
      <w:bookmarkStart w:id="95" w:name="_Toc289271193"/>
      <w:r>
        <w:rPr>
          <w:b/>
        </w:rPr>
        <w:t>3.1.1 Microscopio óptico Nikon MED</w:t>
      </w:r>
      <w:r w:rsidR="00796D8D" w:rsidRPr="008B4C43">
        <w:rPr>
          <w:b/>
        </w:rPr>
        <w:t>-600</w:t>
      </w:r>
      <w:bookmarkEnd w:id="95"/>
    </w:p>
    <w:p w:rsidR="00851EBC" w:rsidRDefault="005941B6" w:rsidP="00851EBC">
      <w:pPr>
        <w:autoSpaceDE w:val="0"/>
        <w:autoSpaceDN w:val="0"/>
        <w:adjustRightInd w:val="0"/>
        <w:spacing w:before="240" w:after="120" w:line="360" w:lineRule="auto"/>
        <w:ind w:firstLine="600"/>
        <w:jc w:val="both"/>
        <w:rPr>
          <w:szCs w:val="24"/>
        </w:rPr>
      </w:pPr>
      <w:r w:rsidRPr="005941B6">
        <w:rPr>
          <w:szCs w:val="24"/>
        </w:rPr>
        <w:t>El </w:t>
      </w:r>
      <w:r w:rsidRPr="001F12B0">
        <w:rPr>
          <w:bCs/>
          <w:szCs w:val="24"/>
        </w:rPr>
        <w:t>microscopio</w:t>
      </w:r>
      <w:r w:rsidRPr="005941B6">
        <w:rPr>
          <w:szCs w:val="24"/>
        </w:rPr>
        <w:t> </w:t>
      </w:r>
      <w:r w:rsidR="001F12B0">
        <w:rPr>
          <w:szCs w:val="24"/>
        </w:rPr>
        <w:t>óptico del Laboratorio de Separaciones Mecánicas posee 5 lentes para proporcionar aumentos de 5 X, 10 X, 20 X, 50 X y 100 X. El microscopio está conformado por tres sistemas básicamente:</w:t>
      </w:r>
    </w:p>
    <w:p w:rsidR="00851EBC" w:rsidRPr="00A579EB" w:rsidRDefault="00851EBC" w:rsidP="00851EBC">
      <w:pPr>
        <w:numPr>
          <w:ilvl w:val="0"/>
          <w:numId w:val="10"/>
        </w:numPr>
        <w:autoSpaceDE w:val="0"/>
        <w:autoSpaceDN w:val="0"/>
        <w:adjustRightInd w:val="0"/>
        <w:spacing w:line="360" w:lineRule="auto"/>
        <w:ind w:left="993" w:hanging="426"/>
        <w:jc w:val="both"/>
        <w:rPr>
          <w:szCs w:val="24"/>
        </w:rPr>
      </w:pPr>
      <w:r>
        <w:rPr>
          <w:szCs w:val="24"/>
        </w:rPr>
        <w:t>S</w:t>
      </w:r>
      <w:r w:rsidRPr="00A579EB">
        <w:rPr>
          <w:szCs w:val="24"/>
        </w:rPr>
        <w:t>istema mecánico</w:t>
      </w:r>
      <w:r>
        <w:rPr>
          <w:szCs w:val="24"/>
        </w:rPr>
        <w:t>:</w:t>
      </w:r>
      <w:r w:rsidRPr="00A579EB">
        <w:rPr>
          <w:szCs w:val="24"/>
        </w:rPr>
        <w:t xml:space="preserve"> </w:t>
      </w:r>
      <w:r w:rsidR="006311AD">
        <w:rPr>
          <w:szCs w:val="24"/>
        </w:rPr>
        <w:t>C</w:t>
      </w:r>
      <w:r w:rsidRPr="00A579EB">
        <w:rPr>
          <w:szCs w:val="24"/>
        </w:rPr>
        <w:t>onstituido por piezas en las que van instaladas las lentes que permiten el movimiento para el enfoque. La parte mecánica del microscopio comprende: el pie, el tubo, el revólver, el asa, la platina, el carro, el tornillo macrométrico y el tornillo micrométrico.</w:t>
      </w:r>
    </w:p>
    <w:p w:rsidR="00851EBC" w:rsidRPr="00A579EB" w:rsidRDefault="00851EBC" w:rsidP="00851EBC">
      <w:pPr>
        <w:numPr>
          <w:ilvl w:val="0"/>
          <w:numId w:val="10"/>
        </w:numPr>
        <w:autoSpaceDE w:val="0"/>
        <w:autoSpaceDN w:val="0"/>
        <w:adjustRightInd w:val="0"/>
        <w:spacing w:line="360" w:lineRule="auto"/>
        <w:ind w:left="993" w:hanging="426"/>
        <w:jc w:val="both"/>
        <w:rPr>
          <w:szCs w:val="24"/>
        </w:rPr>
      </w:pPr>
      <w:r>
        <w:rPr>
          <w:szCs w:val="24"/>
        </w:rPr>
        <w:t>S</w:t>
      </w:r>
      <w:r w:rsidRPr="00A579EB">
        <w:rPr>
          <w:szCs w:val="24"/>
        </w:rPr>
        <w:t>istema óptico</w:t>
      </w:r>
      <w:r w:rsidR="006311AD">
        <w:rPr>
          <w:szCs w:val="24"/>
        </w:rPr>
        <w:t>:</w:t>
      </w:r>
      <w:r w:rsidRPr="00A579EB">
        <w:rPr>
          <w:szCs w:val="24"/>
        </w:rPr>
        <w:t xml:space="preserve"> </w:t>
      </w:r>
      <w:r w:rsidR="006311AD">
        <w:rPr>
          <w:szCs w:val="24"/>
        </w:rPr>
        <w:t>C</w:t>
      </w:r>
      <w:r>
        <w:rPr>
          <w:szCs w:val="24"/>
        </w:rPr>
        <w:t xml:space="preserve">onformado por los objetivos y oculares. </w:t>
      </w:r>
    </w:p>
    <w:p w:rsidR="00851EBC" w:rsidRDefault="00851EBC" w:rsidP="00851EBC">
      <w:pPr>
        <w:numPr>
          <w:ilvl w:val="0"/>
          <w:numId w:val="10"/>
        </w:numPr>
        <w:autoSpaceDE w:val="0"/>
        <w:autoSpaceDN w:val="0"/>
        <w:adjustRightInd w:val="0"/>
        <w:spacing w:line="360" w:lineRule="auto"/>
        <w:ind w:left="993" w:hanging="426"/>
        <w:jc w:val="both"/>
        <w:rPr>
          <w:b/>
        </w:rPr>
      </w:pPr>
      <w:r>
        <w:rPr>
          <w:szCs w:val="24"/>
        </w:rPr>
        <w:t>S</w:t>
      </w:r>
      <w:r w:rsidRPr="00796D8D">
        <w:rPr>
          <w:szCs w:val="24"/>
        </w:rPr>
        <w:t>istema de iluminación</w:t>
      </w:r>
      <w:r>
        <w:rPr>
          <w:szCs w:val="24"/>
        </w:rPr>
        <w:t>.</w:t>
      </w:r>
    </w:p>
    <w:p w:rsidR="00851EBC" w:rsidRDefault="00851EBC" w:rsidP="00A67F53">
      <w:pPr>
        <w:autoSpaceDE w:val="0"/>
        <w:autoSpaceDN w:val="0"/>
        <w:adjustRightInd w:val="0"/>
        <w:spacing w:before="240" w:after="120" w:line="360" w:lineRule="auto"/>
        <w:ind w:firstLine="600"/>
        <w:jc w:val="both"/>
        <w:rPr>
          <w:szCs w:val="24"/>
        </w:rPr>
      </w:pPr>
      <w:r>
        <w:rPr>
          <w:szCs w:val="24"/>
        </w:rPr>
        <w:t>En la siguiente figura se observa el microscopio óptico a utilizar:</w:t>
      </w:r>
    </w:p>
    <w:p w:rsidR="00796D8D" w:rsidRDefault="00A73CD2" w:rsidP="00DB7237">
      <w:pPr>
        <w:keepNext/>
        <w:autoSpaceDE w:val="0"/>
        <w:autoSpaceDN w:val="0"/>
        <w:adjustRightInd w:val="0"/>
        <w:spacing w:line="360" w:lineRule="auto"/>
        <w:ind w:firstLine="600"/>
        <w:jc w:val="center"/>
      </w:pPr>
      <w:r>
        <w:rPr>
          <w:noProof/>
          <w:lang w:val="en-US" w:eastAsia="en-US"/>
        </w:rPr>
        <w:pict>
          <v:shape id="_x0000_s1658" type="#_x0000_t202" style="position:absolute;left:0;text-align:left;margin-left:333.1pt;margin-top:68.25pt;width:87.5pt;height:34.8pt;z-index:251877888;mso-height-percent:200;mso-height-percent:200;mso-width-relative:margin;mso-height-relative:margin" stroked="f">
            <v:textbox style="mso-fit-shape-to-text:t">
              <w:txbxContent>
                <w:p w:rsidR="004134A0" w:rsidRPr="00DB7237" w:rsidRDefault="004134A0" w:rsidP="00DB7237">
                  <w:pPr>
                    <w:jc w:val="center"/>
                    <w:rPr>
                      <w:lang w:val="en-US"/>
                    </w:rPr>
                  </w:pPr>
                  <w:r>
                    <w:t>Microscopio óptico</w:t>
                  </w:r>
                </w:p>
              </w:txbxContent>
            </v:textbox>
          </v:shape>
        </w:pict>
      </w:r>
      <w:r>
        <w:rPr>
          <w:noProof/>
          <w:lang w:val="en-US" w:eastAsia="zh-TW"/>
        </w:rPr>
        <w:pict>
          <v:shape id="_x0000_s1655" type="#_x0000_t202" style="position:absolute;left:0;text-align:left;margin-left:13.85pt;margin-top:58.05pt;width:87.5pt;height:21pt;z-index:251874816;mso-height-percent:200;mso-height-percent:200;mso-width-relative:margin;mso-height-relative:margin" stroked="f">
            <v:textbox style="mso-fit-shape-to-text:t">
              <w:txbxContent>
                <w:p w:rsidR="004134A0" w:rsidRPr="00DB7237" w:rsidRDefault="004134A0" w:rsidP="00DB7237">
                  <w:pPr>
                    <w:jc w:val="center"/>
                    <w:rPr>
                      <w:lang w:val="en-US"/>
                    </w:rPr>
                  </w:pPr>
                  <w:r>
                    <w:t>Cámara CCD</w:t>
                  </w:r>
                </w:p>
              </w:txbxContent>
            </v:textbox>
          </v:shape>
        </w:pict>
      </w:r>
      <w:r>
        <w:rPr>
          <w:noProof/>
          <w:lang w:val="en-US" w:eastAsia="en-US"/>
        </w:rPr>
        <w:pict>
          <v:shape id="_x0000_s1657" type="#_x0000_t32" style="position:absolute;left:0;text-align:left;margin-left:234.35pt;margin-top:87.15pt;width:104pt;height:15.9pt;flip:x;z-index:251876864" o:connectortype="straight">
            <v:stroke endarrow="block"/>
          </v:shape>
        </w:pict>
      </w:r>
      <w:r>
        <w:rPr>
          <w:noProof/>
          <w:lang w:val="en-US" w:eastAsia="en-US"/>
        </w:rPr>
        <w:pict>
          <v:shape id="_x0000_s1656" type="#_x0000_t32" style="position:absolute;left:0;text-align:left;margin-left:101.35pt;margin-top:43.6pt;width:87.15pt;height:23.45pt;flip:y;z-index:251875840" o:connectortype="straight">
            <v:stroke endarrow="block"/>
          </v:shape>
        </w:pict>
      </w:r>
      <w:r w:rsidR="00A8565C">
        <w:rPr>
          <w:noProof/>
          <w:lang w:val="en-US" w:eastAsia="en-US"/>
        </w:rPr>
        <w:drawing>
          <wp:inline distT="0" distB="0" distL="0" distR="0">
            <wp:extent cx="2186064" cy="2915322"/>
            <wp:effectExtent l="19050" t="19050" r="23736" b="18378"/>
            <wp:docPr id="65" name="Imagen 53" descr="F:\DCIM\113SSCAM\SDC1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DCIM\113SSCAM\SDC11636.JPG"/>
                    <pic:cNvPicPr>
                      <a:picLocks noChangeAspect="1" noChangeArrowheads="1"/>
                    </pic:cNvPicPr>
                  </pic:nvPicPr>
                  <pic:blipFill>
                    <a:blip r:embed="rId33" cstate="print"/>
                    <a:srcRect/>
                    <a:stretch>
                      <a:fillRect/>
                    </a:stretch>
                  </pic:blipFill>
                  <pic:spPr bwMode="auto">
                    <a:xfrm>
                      <a:off x="0" y="0"/>
                      <a:ext cx="2185029" cy="2913941"/>
                    </a:xfrm>
                    <a:prstGeom prst="rect">
                      <a:avLst/>
                    </a:prstGeom>
                    <a:noFill/>
                    <a:ln w="9525">
                      <a:solidFill>
                        <a:srgbClr val="000000"/>
                      </a:solidFill>
                      <a:miter lim="800000"/>
                      <a:headEnd/>
                      <a:tailEnd/>
                    </a:ln>
                  </pic:spPr>
                </pic:pic>
              </a:graphicData>
            </a:graphic>
          </wp:inline>
        </w:drawing>
      </w:r>
    </w:p>
    <w:p w:rsidR="00796D8D" w:rsidRPr="00A579EB" w:rsidRDefault="003F4126" w:rsidP="00DB7237">
      <w:pPr>
        <w:pStyle w:val="Epgrafe"/>
        <w:rPr>
          <w:szCs w:val="24"/>
        </w:rPr>
      </w:pPr>
      <w:bookmarkStart w:id="96" w:name="_Toc306490679"/>
      <w:bookmarkStart w:id="97" w:name="_Toc327481433"/>
      <w:r>
        <w:t xml:space="preserve">Figura N° </w:t>
      </w:r>
      <w:fldSimple w:instr=" SEQ Figura_N° \* ARABIC ">
        <w:r w:rsidR="004A5F6F">
          <w:rPr>
            <w:noProof/>
          </w:rPr>
          <w:t>21</w:t>
        </w:r>
      </w:fldSimple>
      <w:r w:rsidR="00796D8D">
        <w:t xml:space="preserve">: </w:t>
      </w:r>
      <w:r w:rsidR="00796D8D" w:rsidRPr="00855173">
        <w:t>Microscopio óptico NIKON MED-600</w:t>
      </w:r>
      <w:bookmarkEnd w:id="96"/>
      <w:r w:rsidR="008B509B">
        <w:t xml:space="preserve"> </w:t>
      </w:r>
      <w:r w:rsidR="00107EE1">
        <w:t>(</w:t>
      </w:r>
      <w:r w:rsidR="008B509B">
        <w:t>LSM</w:t>
      </w:r>
      <w:r w:rsidR="00107EE1">
        <w:t>)</w:t>
      </w:r>
      <w:r w:rsidR="008B509B">
        <w:t>.</w:t>
      </w:r>
      <w:bookmarkEnd w:id="97"/>
    </w:p>
    <w:p w:rsidR="00A67F53" w:rsidRPr="001F12B0" w:rsidRDefault="001F12B0" w:rsidP="006311AD">
      <w:pPr>
        <w:autoSpaceDE w:val="0"/>
        <w:autoSpaceDN w:val="0"/>
        <w:adjustRightInd w:val="0"/>
        <w:spacing w:before="240" w:after="240" w:line="360" w:lineRule="auto"/>
        <w:jc w:val="both"/>
      </w:pPr>
      <w:bookmarkStart w:id="98" w:name="_Toc289271194"/>
      <w:r w:rsidRPr="001F12B0">
        <w:lastRenderedPageBreak/>
        <w:tab/>
        <w:t>Este instrumento se utilizó en combinación con una cámara captadora de imágenes CCD y un software de análisis de imágenes.</w:t>
      </w:r>
    </w:p>
    <w:bookmarkEnd w:id="98"/>
    <w:p w:rsidR="00796D8D" w:rsidRPr="00826D53" w:rsidRDefault="00C8552B" w:rsidP="00826D53">
      <w:pPr>
        <w:autoSpaceDE w:val="0"/>
        <w:autoSpaceDN w:val="0"/>
        <w:adjustRightInd w:val="0"/>
        <w:spacing w:line="360" w:lineRule="auto"/>
        <w:jc w:val="both"/>
        <w:rPr>
          <w:b/>
        </w:rPr>
      </w:pPr>
      <w:r>
        <w:rPr>
          <w:b/>
        </w:rPr>
        <w:t xml:space="preserve">3.1.2 </w:t>
      </w:r>
      <w:r w:rsidR="00AC75D6">
        <w:rPr>
          <w:b/>
        </w:rPr>
        <w:t>Cámara captadora de imágenes (CCD)</w:t>
      </w:r>
    </w:p>
    <w:p w:rsidR="00796D8D" w:rsidRPr="00A579EB" w:rsidRDefault="00796D8D" w:rsidP="00796D8D">
      <w:pPr>
        <w:autoSpaceDE w:val="0"/>
        <w:autoSpaceDN w:val="0"/>
        <w:adjustRightInd w:val="0"/>
        <w:spacing w:after="120" w:line="360" w:lineRule="auto"/>
        <w:ind w:firstLine="600"/>
        <w:jc w:val="both"/>
        <w:rPr>
          <w:szCs w:val="24"/>
        </w:rPr>
      </w:pPr>
      <w:r w:rsidRPr="00A579EB">
        <w:rPr>
          <w:szCs w:val="24"/>
        </w:rPr>
        <w:t xml:space="preserve">Esta cámara permite </w:t>
      </w:r>
      <w:r>
        <w:rPr>
          <w:szCs w:val="24"/>
        </w:rPr>
        <w:t>capturar</w:t>
      </w:r>
      <w:r w:rsidRPr="00A579EB">
        <w:rPr>
          <w:szCs w:val="24"/>
        </w:rPr>
        <w:t xml:space="preserve"> fotos </w:t>
      </w:r>
      <w:r>
        <w:rPr>
          <w:szCs w:val="24"/>
        </w:rPr>
        <w:t xml:space="preserve">y videos </w:t>
      </w:r>
      <w:r w:rsidR="00AC75D6">
        <w:rPr>
          <w:szCs w:val="24"/>
        </w:rPr>
        <w:t xml:space="preserve">de la muestra que se </w:t>
      </w:r>
      <w:r w:rsidR="002E4CC3">
        <w:rPr>
          <w:szCs w:val="24"/>
        </w:rPr>
        <w:t>analiza en el microscopio.</w:t>
      </w:r>
      <w:r w:rsidR="00851EBC">
        <w:rPr>
          <w:szCs w:val="24"/>
        </w:rPr>
        <w:t xml:space="preserve"> </w:t>
      </w:r>
    </w:p>
    <w:p w:rsidR="00796D8D" w:rsidRPr="00DB7237" w:rsidRDefault="00C8552B" w:rsidP="00B372A6">
      <w:pPr>
        <w:spacing w:before="240" w:after="240"/>
        <w:rPr>
          <w:b/>
          <w:lang w:val="en-US"/>
        </w:rPr>
      </w:pPr>
      <w:bookmarkStart w:id="99" w:name="_Toc289271195"/>
      <w:r>
        <w:rPr>
          <w:b/>
          <w:lang w:val="en-US"/>
        </w:rPr>
        <w:t xml:space="preserve">3.1.3 </w:t>
      </w:r>
      <w:r w:rsidR="008B509B" w:rsidRPr="00DB7237">
        <w:rPr>
          <w:b/>
          <w:lang w:val="en-US"/>
        </w:rPr>
        <w:t>Software Image</w:t>
      </w:r>
      <w:r w:rsidR="002E4CC3" w:rsidRPr="00DB7237">
        <w:rPr>
          <w:b/>
          <w:lang w:val="en-US"/>
        </w:rPr>
        <w:t xml:space="preserve"> Pro</w:t>
      </w:r>
      <w:r w:rsidR="00796D8D" w:rsidRPr="00DB7237">
        <w:rPr>
          <w:b/>
          <w:lang w:val="en-US"/>
        </w:rPr>
        <w:t xml:space="preserve"> </w:t>
      </w:r>
      <w:r w:rsidR="002E4CC3" w:rsidRPr="00DB7237">
        <w:rPr>
          <w:b/>
          <w:lang w:val="en-US"/>
        </w:rPr>
        <w:t>Plus</w:t>
      </w:r>
      <w:r w:rsidR="00796D8D" w:rsidRPr="00DB7237">
        <w:rPr>
          <w:b/>
          <w:lang w:val="en-US"/>
        </w:rPr>
        <w:t xml:space="preserve"> (</w:t>
      </w:r>
      <w:r w:rsidR="002E4CC3" w:rsidRPr="00DB7237">
        <w:rPr>
          <w:b/>
          <w:lang w:val="en-US"/>
        </w:rPr>
        <w:t>Media</w:t>
      </w:r>
      <w:r w:rsidR="00796D8D" w:rsidRPr="00DB7237">
        <w:rPr>
          <w:b/>
          <w:lang w:val="en-US"/>
        </w:rPr>
        <w:t xml:space="preserve"> </w:t>
      </w:r>
      <w:r w:rsidR="002E4CC3" w:rsidRPr="00DB7237">
        <w:rPr>
          <w:b/>
          <w:lang w:val="en-US"/>
        </w:rPr>
        <w:t>Cybernetics</w:t>
      </w:r>
      <w:r w:rsidR="00796D8D" w:rsidRPr="00DB7237">
        <w:rPr>
          <w:b/>
          <w:lang w:val="en-US"/>
        </w:rPr>
        <w:t>)</w:t>
      </w:r>
      <w:bookmarkEnd w:id="99"/>
    </w:p>
    <w:p w:rsidR="00796D8D" w:rsidRPr="00A579EB" w:rsidRDefault="00796D8D" w:rsidP="00B372A6">
      <w:pPr>
        <w:autoSpaceDE w:val="0"/>
        <w:autoSpaceDN w:val="0"/>
        <w:adjustRightInd w:val="0"/>
        <w:spacing w:line="360" w:lineRule="auto"/>
        <w:ind w:firstLine="600"/>
        <w:jc w:val="both"/>
        <w:rPr>
          <w:szCs w:val="24"/>
        </w:rPr>
      </w:pPr>
      <w:r w:rsidRPr="00796D8D">
        <w:rPr>
          <w:szCs w:val="24"/>
          <w:lang w:val="es-VE"/>
        </w:rPr>
        <w:t>El p</w:t>
      </w:r>
      <w:r w:rsidRPr="00A579EB">
        <w:rPr>
          <w:szCs w:val="24"/>
        </w:rPr>
        <w:t xml:space="preserve">rograma de análisis de imágenes </w:t>
      </w:r>
      <w:r>
        <w:rPr>
          <w:szCs w:val="24"/>
        </w:rPr>
        <w:t>utilizado</w:t>
      </w:r>
      <w:r w:rsidRPr="00A579EB">
        <w:rPr>
          <w:szCs w:val="24"/>
        </w:rPr>
        <w:t xml:space="preserve"> fue Image Pro Plus (Media Cybernetics), cuya licencia fue adquirida por el Laboratorio de Separaciones Mecánicas de la Escuela de Ingeniería Química de la Universidad Central de Venezuela</w:t>
      </w:r>
      <w:r w:rsidR="003E7EDD">
        <w:rPr>
          <w:szCs w:val="24"/>
        </w:rPr>
        <w:t xml:space="preserve"> (figura N˚ 22</w:t>
      </w:r>
      <w:r>
        <w:rPr>
          <w:szCs w:val="24"/>
        </w:rPr>
        <w:t>)</w:t>
      </w:r>
      <w:r w:rsidRPr="00A579EB">
        <w:rPr>
          <w:szCs w:val="24"/>
        </w:rPr>
        <w:t>. Entre las características más importantes de Image Pro Plus se tienen:</w:t>
      </w:r>
      <w:r w:rsidR="00B372A6">
        <w:rPr>
          <w:szCs w:val="24"/>
        </w:rPr>
        <w:t xml:space="preserve"> </w:t>
      </w:r>
    </w:p>
    <w:p w:rsidR="00796D8D" w:rsidRPr="0067644E" w:rsidRDefault="00796D8D" w:rsidP="00AC2536">
      <w:pPr>
        <w:pStyle w:val="Prrafodelista"/>
        <w:numPr>
          <w:ilvl w:val="0"/>
          <w:numId w:val="11"/>
        </w:numPr>
        <w:tabs>
          <w:tab w:val="clear" w:pos="780"/>
          <w:tab w:val="left" w:pos="720"/>
        </w:tabs>
        <w:autoSpaceDE w:val="0"/>
        <w:autoSpaceDN w:val="0"/>
        <w:adjustRightInd w:val="0"/>
        <w:spacing w:line="360" w:lineRule="auto"/>
        <w:ind w:left="720" w:hanging="360"/>
        <w:jc w:val="both"/>
        <w:rPr>
          <w:b/>
          <w:szCs w:val="24"/>
        </w:rPr>
      </w:pPr>
      <w:r w:rsidRPr="0067644E">
        <w:rPr>
          <w:szCs w:val="24"/>
        </w:rPr>
        <w:t>Captura</w:t>
      </w:r>
      <w:r w:rsidR="0067644E" w:rsidRPr="0067644E">
        <w:rPr>
          <w:szCs w:val="24"/>
        </w:rPr>
        <w:t xml:space="preserve"> de</w:t>
      </w:r>
      <w:r w:rsidRPr="0067644E">
        <w:rPr>
          <w:szCs w:val="24"/>
        </w:rPr>
        <w:t xml:space="preserve"> imágenes desde video, tomadas con cámaras CCD o scanner, CD de </w:t>
      </w:r>
      <w:r w:rsidR="0067644E">
        <w:rPr>
          <w:szCs w:val="24"/>
        </w:rPr>
        <w:t>fotos, instrumentos científicos, etc.</w:t>
      </w:r>
    </w:p>
    <w:p w:rsidR="0067644E" w:rsidRDefault="00796D8D" w:rsidP="00AC2536">
      <w:pPr>
        <w:numPr>
          <w:ilvl w:val="0"/>
          <w:numId w:val="11"/>
        </w:numPr>
        <w:tabs>
          <w:tab w:val="clear" w:pos="780"/>
          <w:tab w:val="left" w:pos="720"/>
        </w:tabs>
        <w:autoSpaceDE w:val="0"/>
        <w:autoSpaceDN w:val="0"/>
        <w:adjustRightInd w:val="0"/>
        <w:spacing w:line="360" w:lineRule="auto"/>
        <w:ind w:left="720" w:hanging="360"/>
        <w:jc w:val="both"/>
        <w:rPr>
          <w:szCs w:val="24"/>
        </w:rPr>
      </w:pPr>
      <w:r w:rsidRPr="0067644E">
        <w:rPr>
          <w:szCs w:val="24"/>
        </w:rPr>
        <w:t>Procesa imágenes asegurando alta calidad</w:t>
      </w:r>
      <w:r w:rsidR="0067644E" w:rsidRPr="0067644E">
        <w:rPr>
          <w:szCs w:val="24"/>
        </w:rPr>
        <w:t xml:space="preserve"> y</w:t>
      </w:r>
      <w:r w:rsidR="0067644E">
        <w:rPr>
          <w:szCs w:val="24"/>
        </w:rPr>
        <w:t xml:space="preserve"> precisión.</w:t>
      </w:r>
    </w:p>
    <w:p w:rsidR="00796D8D" w:rsidRPr="0067644E" w:rsidRDefault="00796D8D" w:rsidP="00AC2536">
      <w:pPr>
        <w:numPr>
          <w:ilvl w:val="0"/>
          <w:numId w:val="11"/>
        </w:numPr>
        <w:tabs>
          <w:tab w:val="clear" w:pos="780"/>
          <w:tab w:val="left" w:pos="720"/>
        </w:tabs>
        <w:autoSpaceDE w:val="0"/>
        <w:autoSpaceDN w:val="0"/>
        <w:adjustRightInd w:val="0"/>
        <w:spacing w:line="360" w:lineRule="auto"/>
        <w:ind w:left="720" w:hanging="360"/>
        <w:jc w:val="both"/>
        <w:rPr>
          <w:szCs w:val="24"/>
        </w:rPr>
      </w:pPr>
      <w:r w:rsidRPr="0067644E">
        <w:rPr>
          <w:szCs w:val="24"/>
        </w:rPr>
        <w:t>Realiza simples mediciones geométricas</w:t>
      </w:r>
      <w:r w:rsidR="0067644E">
        <w:rPr>
          <w:szCs w:val="24"/>
        </w:rPr>
        <w:t xml:space="preserve"> y </w:t>
      </w:r>
      <w:r w:rsidRPr="0067644E">
        <w:rPr>
          <w:szCs w:val="24"/>
        </w:rPr>
        <w:t>complejas</w:t>
      </w:r>
      <w:r w:rsidR="0067644E">
        <w:rPr>
          <w:szCs w:val="24"/>
        </w:rPr>
        <w:t xml:space="preserve"> para el cálculo de</w:t>
      </w:r>
      <w:r w:rsidRPr="0067644E">
        <w:rPr>
          <w:szCs w:val="24"/>
        </w:rPr>
        <w:t xml:space="preserve"> relaciones de estructura y funci</w:t>
      </w:r>
      <w:r w:rsidR="0067644E">
        <w:rPr>
          <w:szCs w:val="24"/>
        </w:rPr>
        <w:t>ones</w:t>
      </w:r>
      <w:r w:rsidRPr="0067644E">
        <w:rPr>
          <w:szCs w:val="24"/>
        </w:rPr>
        <w:t>.</w:t>
      </w:r>
    </w:p>
    <w:tbl>
      <w:tblPr>
        <w:tblStyle w:val="Tablaconcuadrcula"/>
        <w:tblW w:w="4026" w:type="dxa"/>
        <w:jc w:val="center"/>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0"/>
      </w:tblGrid>
      <w:tr w:rsidR="0067644E" w:rsidRPr="004A5F6F" w:rsidTr="0067644E">
        <w:trPr>
          <w:trHeight w:val="735"/>
          <w:jc w:val="center"/>
        </w:trPr>
        <w:tc>
          <w:tcPr>
            <w:tcW w:w="4026" w:type="dxa"/>
          </w:tcPr>
          <w:p w:rsidR="0067644E" w:rsidRDefault="0067644E" w:rsidP="0067644E">
            <w:pPr>
              <w:keepNext/>
              <w:tabs>
                <w:tab w:val="num" w:pos="-25"/>
              </w:tabs>
              <w:autoSpaceDE w:val="0"/>
              <w:autoSpaceDN w:val="0"/>
              <w:adjustRightInd w:val="0"/>
              <w:spacing w:line="360" w:lineRule="auto"/>
              <w:ind w:left="30" w:right="-26"/>
            </w:pPr>
            <w:r w:rsidRPr="0092567C">
              <w:rPr>
                <w:noProof/>
                <w:szCs w:val="24"/>
                <w:lang w:val="en-US" w:eastAsia="en-US"/>
              </w:rPr>
              <w:drawing>
                <wp:inline distT="0" distB="0" distL="0" distR="0">
                  <wp:extent cx="2248874" cy="1745204"/>
                  <wp:effectExtent l="57150" t="19050" r="113326" b="83596"/>
                  <wp:docPr id="44" name="il_fi" descr="http://www.infaimon.es/catalog/imgweb/Image%20Pro%20Plus%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faimon.es/catalog/imgweb/Image%20Pro%20Plus%206.0.jpg"/>
                          <pic:cNvPicPr>
                            <a:picLocks noChangeAspect="1" noChangeArrowheads="1"/>
                          </pic:cNvPicPr>
                        </pic:nvPicPr>
                        <pic:blipFill>
                          <a:blip r:embed="rId34" cstate="print"/>
                          <a:srcRect/>
                          <a:stretch>
                            <a:fillRect/>
                          </a:stretch>
                        </pic:blipFill>
                        <pic:spPr bwMode="auto">
                          <a:xfrm>
                            <a:off x="0" y="0"/>
                            <a:ext cx="2248306" cy="174476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644E" w:rsidRPr="00C13FCC" w:rsidRDefault="003F4126" w:rsidP="00107EE1">
            <w:pPr>
              <w:pStyle w:val="Epgrafe"/>
              <w:keepNext/>
              <w:rPr>
                <w:szCs w:val="24"/>
                <w:lang w:val="en-US"/>
              </w:rPr>
            </w:pPr>
            <w:bookmarkStart w:id="100" w:name="_Toc306490682"/>
            <w:bookmarkStart w:id="101" w:name="_Toc327481434"/>
            <w:r w:rsidRPr="003F4126">
              <w:rPr>
                <w:lang w:val="en-US"/>
              </w:rPr>
              <w:t xml:space="preserve">Figura N° </w:t>
            </w:r>
            <w:r w:rsidR="00A73CD2">
              <w:fldChar w:fldCharType="begin"/>
            </w:r>
            <w:r w:rsidRPr="003F4126">
              <w:rPr>
                <w:lang w:val="en-US"/>
              </w:rPr>
              <w:instrText xml:space="preserve"> SEQ Figura_N° \* ARABIC </w:instrText>
            </w:r>
            <w:r w:rsidR="00A73CD2">
              <w:fldChar w:fldCharType="separate"/>
            </w:r>
            <w:r w:rsidR="004A5F6F">
              <w:rPr>
                <w:noProof/>
                <w:lang w:val="en-US"/>
              </w:rPr>
              <w:t>22</w:t>
            </w:r>
            <w:r w:rsidR="00A73CD2">
              <w:fldChar w:fldCharType="end"/>
            </w:r>
            <w:r w:rsidR="0067644E" w:rsidRPr="0067644E">
              <w:rPr>
                <w:lang w:val="en-US"/>
              </w:rPr>
              <w:t>:</w:t>
            </w:r>
            <w:r w:rsidR="0067644E" w:rsidRPr="00C13FCC">
              <w:rPr>
                <w:lang w:val="en-US"/>
              </w:rPr>
              <w:t xml:space="preserve"> Software Image Pro Plus 6.0</w:t>
            </w:r>
            <w:bookmarkEnd w:id="100"/>
            <w:r w:rsidR="00107EE1">
              <w:rPr>
                <w:lang w:val="en-US"/>
              </w:rPr>
              <w:t xml:space="preserve"> (LSM).</w:t>
            </w:r>
            <w:bookmarkEnd w:id="101"/>
          </w:p>
        </w:tc>
      </w:tr>
    </w:tbl>
    <w:p w:rsidR="00B372A6" w:rsidRDefault="00C8552B" w:rsidP="00FA6A06">
      <w:pPr>
        <w:autoSpaceDE w:val="0"/>
        <w:autoSpaceDN w:val="0"/>
        <w:adjustRightInd w:val="0"/>
        <w:spacing w:line="360" w:lineRule="auto"/>
        <w:rPr>
          <w:b/>
          <w:szCs w:val="24"/>
        </w:rPr>
      </w:pPr>
      <w:bookmarkStart w:id="102" w:name="_Toc306491481"/>
      <w:r>
        <w:rPr>
          <w:b/>
          <w:szCs w:val="24"/>
        </w:rPr>
        <w:t xml:space="preserve">3.1.4 </w:t>
      </w:r>
      <w:r w:rsidR="00B372A6" w:rsidRPr="00FF3D6D">
        <w:rPr>
          <w:b/>
          <w:szCs w:val="24"/>
        </w:rPr>
        <w:t xml:space="preserve">Conductímetro Orion 3 Star </w:t>
      </w:r>
    </w:p>
    <w:p w:rsidR="00851EBC" w:rsidRPr="00851EBC" w:rsidRDefault="00851EBC" w:rsidP="00851EBC">
      <w:pPr>
        <w:autoSpaceDE w:val="0"/>
        <w:autoSpaceDN w:val="0"/>
        <w:adjustRightInd w:val="0"/>
        <w:spacing w:line="360" w:lineRule="auto"/>
        <w:jc w:val="both"/>
        <w:rPr>
          <w:szCs w:val="24"/>
          <w:lang w:val="es-VE"/>
        </w:rPr>
      </w:pPr>
      <w:r>
        <w:rPr>
          <w:szCs w:val="24"/>
          <w:lang w:val="es-VE"/>
        </w:rPr>
        <w:tab/>
      </w:r>
      <w:r w:rsidRPr="00851EBC">
        <w:rPr>
          <w:szCs w:val="24"/>
          <w:lang w:val="es-VE"/>
        </w:rPr>
        <w:t>El C</w:t>
      </w:r>
      <w:r>
        <w:rPr>
          <w:szCs w:val="24"/>
          <w:lang w:val="es-VE"/>
        </w:rPr>
        <w:t>onductímetro de Sobremesa para l</w:t>
      </w:r>
      <w:r w:rsidRPr="00851EBC">
        <w:rPr>
          <w:szCs w:val="24"/>
          <w:lang w:val="es-VE"/>
        </w:rPr>
        <w:t xml:space="preserve">aboratorio </w:t>
      </w:r>
      <w:r>
        <w:rPr>
          <w:szCs w:val="24"/>
          <w:lang w:val="es-VE"/>
        </w:rPr>
        <w:t>e</w:t>
      </w:r>
      <w:r w:rsidRPr="00851EBC">
        <w:rPr>
          <w:szCs w:val="24"/>
          <w:lang w:val="es-VE"/>
        </w:rPr>
        <w:t>s adecuado para</w:t>
      </w:r>
      <w:r>
        <w:rPr>
          <w:szCs w:val="24"/>
          <w:lang w:val="es-VE"/>
        </w:rPr>
        <w:t xml:space="preserve"> determinar la conductividad de</w:t>
      </w:r>
      <w:r w:rsidRPr="00851EBC">
        <w:rPr>
          <w:szCs w:val="24"/>
          <w:lang w:val="es-VE"/>
        </w:rPr>
        <w:t xml:space="preserve"> diferentes tipos de muestras desde agua purificada a</w:t>
      </w:r>
      <w:r>
        <w:rPr>
          <w:szCs w:val="24"/>
          <w:lang w:val="es-VE"/>
        </w:rPr>
        <w:t xml:space="preserve"> salmueras. </w:t>
      </w:r>
      <w:r w:rsidR="00262CF9">
        <w:rPr>
          <w:szCs w:val="24"/>
          <w:lang w:val="es-VE"/>
        </w:rPr>
        <w:lastRenderedPageBreak/>
        <w:tab/>
      </w:r>
      <w:r w:rsidR="00DB7237">
        <w:rPr>
          <w:szCs w:val="24"/>
          <w:lang w:val="es-VE"/>
        </w:rPr>
        <w:t>Se caracteriza por medir una conductividad de entre</w:t>
      </w:r>
      <w:r w:rsidRPr="00DB7237">
        <w:rPr>
          <w:szCs w:val="24"/>
          <w:lang w:val="es-VE"/>
        </w:rPr>
        <w:t xml:space="preserve"> 0,01 uS</w:t>
      </w:r>
      <w:r w:rsidR="001F12B0" w:rsidRPr="00DB7237">
        <w:rPr>
          <w:szCs w:val="24"/>
          <w:lang w:val="es-VE"/>
        </w:rPr>
        <w:t xml:space="preserve"> </w:t>
      </w:r>
      <w:r w:rsidRPr="00DB7237">
        <w:rPr>
          <w:szCs w:val="24"/>
          <w:lang w:val="es-VE"/>
        </w:rPr>
        <w:t>a 3000</w:t>
      </w:r>
      <w:r w:rsidR="006311AD">
        <w:rPr>
          <w:szCs w:val="24"/>
          <w:lang w:val="es-VE"/>
        </w:rPr>
        <w:t xml:space="preserve"> </w:t>
      </w:r>
      <w:r w:rsidRPr="00DB7237">
        <w:rPr>
          <w:szCs w:val="24"/>
          <w:lang w:val="es-VE"/>
        </w:rPr>
        <w:t>mS</w:t>
      </w:r>
      <w:r w:rsidR="00DB7237">
        <w:rPr>
          <w:szCs w:val="24"/>
          <w:lang w:val="es-VE"/>
        </w:rPr>
        <w:t xml:space="preserve"> con una precisión de </w:t>
      </w:r>
      <w:r w:rsidRPr="00851EBC">
        <w:rPr>
          <w:szCs w:val="24"/>
          <w:lang w:val="es-VE"/>
        </w:rPr>
        <w:t>0,5% ±1 dígito</w:t>
      </w:r>
      <w:r w:rsidR="00262CF9">
        <w:rPr>
          <w:szCs w:val="24"/>
          <w:lang w:val="es-VE"/>
        </w:rPr>
        <w:t>.</w:t>
      </w:r>
    </w:p>
    <w:p w:rsidR="00851EBC" w:rsidRPr="00851EBC" w:rsidRDefault="00851EBC" w:rsidP="00262CF9">
      <w:pPr>
        <w:autoSpaceDE w:val="0"/>
        <w:autoSpaceDN w:val="0"/>
        <w:adjustRightInd w:val="0"/>
        <w:spacing w:line="360" w:lineRule="auto"/>
        <w:jc w:val="both"/>
        <w:rPr>
          <w:szCs w:val="24"/>
          <w:lang w:val="es-VE"/>
        </w:rPr>
      </w:pPr>
    </w:p>
    <w:p w:rsidR="00FA6A06" w:rsidRPr="00A66C3F" w:rsidRDefault="009A6CD8" w:rsidP="00FA6A06">
      <w:pPr>
        <w:autoSpaceDE w:val="0"/>
        <w:autoSpaceDN w:val="0"/>
        <w:adjustRightInd w:val="0"/>
        <w:spacing w:line="360" w:lineRule="auto"/>
        <w:jc w:val="center"/>
        <w:rPr>
          <w:szCs w:val="24"/>
        </w:rPr>
      </w:pPr>
      <w:r>
        <w:rPr>
          <w:noProof/>
          <w:szCs w:val="24"/>
          <w:lang w:val="en-US" w:eastAsia="en-US"/>
        </w:rPr>
        <w:drawing>
          <wp:inline distT="0" distB="0" distL="0" distR="0">
            <wp:extent cx="2710927" cy="2032798"/>
            <wp:effectExtent l="19050" t="19050" r="13223" b="24602"/>
            <wp:docPr id="63" name="Imagen 51" descr="F:\DCIM\113SSCAM\SDC1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DCIM\113SSCAM\SDC11633.JPG"/>
                    <pic:cNvPicPr>
                      <a:picLocks noChangeAspect="1" noChangeArrowheads="1"/>
                    </pic:cNvPicPr>
                  </pic:nvPicPr>
                  <pic:blipFill>
                    <a:blip r:embed="rId35" cstate="print"/>
                    <a:srcRect/>
                    <a:stretch>
                      <a:fillRect/>
                    </a:stretch>
                  </pic:blipFill>
                  <pic:spPr bwMode="auto">
                    <a:xfrm>
                      <a:off x="0" y="0"/>
                      <a:ext cx="2707090" cy="2029921"/>
                    </a:xfrm>
                    <a:prstGeom prst="rect">
                      <a:avLst/>
                    </a:prstGeom>
                    <a:noFill/>
                    <a:ln w="9525">
                      <a:solidFill>
                        <a:srgbClr val="000000"/>
                      </a:solidFill>
                      <a:miter lim="800000"/>
                      <a:headEnd/>
                      <a:tailEnd/>
                    </a:ln>
                  </pic:spPr>
                </pic:pic>
              </a:graphicData>
            </a:graphic>
          </wp:inline>
        </w:drawing>
      </w:r>
    </w:p>
    <w:p w:rsidR="00FA6A06" w:rsidRPr="00A66C3F" w:rsidRDefault="003F4126" w:rsidP="003F4126">
      <w:pPr>
        <w:pStyle w:val="Epgrafe"/>
        <w:rPr>
          <w:rFonts w:eastAsiaTheme="majorEastAsia"/>
          <w:b/>
          <w:bCs w:val="0"/>
          <w:sz w:val="24"/>
          <w:szCs w:val="24"/>
        </w:rPr>
      </w:pPr>
      <w:bookmarkStart w:id="103" w:name="_Toc294687930"/>
      <w:bookmarkStart w:id="104" w:name="_Toc310413163"/>
      <w:bookmarkStart w:id="105" w:name="_Toc327481435"/>
      <w:r>
        <w:t xml:space="preserve">Figura N° </w:t>
      </w:r>
      <w:fldSimple w:instr=" SEQ Figura_N° \* ARABIC ">
        <w:r w:rsidR="004A5F6F">
          <w:rPr>
            <w:noProof/>
          </w:rPr>
          <w:t>23</w:t>
        </w:r>
      </w:fldSimple>
      <w:r w:rsidR="00DE662B">
        <w:rPr>
          <w:b/>
        </w:rPr>
        <w:t>:</w:t>
      </w:r>
      <w:r w:rsidR="00FA6A06">
        <w:t xml:space="preserve"> </w:t>
      </w:r>
      <w:r w:rsidR="00FA6A06" w:rsidRPr="006145E1">
        <w:rPr>
          <w:szCs w:val="22"/>
        </w:rPr>
        <w:t>Conductímetro Orion 3 Star</w:t>
      </w:r>
      <w:bookmarkEnd w:id="103"/>
      <w:bookmarkEnd w:id="104"/>
      <w:r w:rsidR="008B509B">
        <w:rPr>
          <w:szCs w:val="22"/>
        </w:rPr>
        <w:t xml:space="preserve"> </w:t>
      </w:r>
      <w:r w:rsidR="00107EE1">
        <w:rPr>
          <w:szCs w:val="22"/>
        </w:rPr>
        <w:t>(</w:t>
      </w:r>
      <w:r w:rsidR="008B509B">
        <w:rPr>
          <w:szCs w:val="22"/>
        </w:rPr>
        <w:t>LSM</w:t>
      </w:r>
      <w:r w:rsidR="00107EE1">
        <w:rPr>
          <w:szCs w:val="22"/>
        </w:rPr>
        <w:t>)</w:t>
      </w:r>
      <w:r w:rsidR="008B509B">
        <w:rPr>
          <w:szCs w:val="22"/>
        </w:rPr>
        <w:t>.</w:t>
      </w:r>
      <w:bookmarkEnd w:id="105"/>
    </w:p>
    <w:p w:rsidR="00A8565C" w:rsidRDefault="00A8565C" w:rsidP="00DE662B">
      <w:pPr>
        <w:spacing w:before="240" w:after="120"/>
        <w:rPr>
          <w:b/>
        </w:rPr>
      </w:pPr>
    </w:p>
    <w:p w:rsidR="00262CF9" w:rsidRDefault="00C8552B" w:rsidP="00262CF9">
      <w:pPr>
        <w:spacing w:before="240" w:after="120"/>
        <w:rPr>
          <w:b/>
        </w:rPr>
      </w:pPr>
      <w:r>
        <w:rPr>
          <w:b/>
        </w:rPr>
        <w:t xml:space="preserve">3.1.5 </w:t>
      </w:r>
      <w:r w:rsidR="00DE662B">
        <w:rPr>
          <w:b/>
        </w:rPr>
        <w:t>Fuente de poder</w:t>
      </w:r>
      <w:r w:rsidR="001F12B0">
        <w:rPr>
          <w:b/>
        </w:rPr>
        <w:t xml:space="preserve"> Phywe</w:t>
      </w:r>
      <w:r w:rsidR="00DE662B">
        <w:rPr>
          <w:b/>
        </w:rPr>
        <w:t xml:space="preserve"> (</w:t>
      </w:r>
      <w:r w:rsidR="00700C5F">
        <w:rPr>
          <w:b/>
        </w:rPr>
        <w:t>corriente continua</w:t>
      </w:r>
      <w:r w:rsidR="00DE662B">
        <w:rPr>
          <w:b/>
        </w:rPr>
        <w:t>)</w:t>
      </w:r>
      <w:r w:rsidR="00262CF9">
        <w:rPr>
          <w:b/>
        </w:rPr>
        <w:t xml:space="preserve"> </w:t>
      </w:r>
    </w:p>
    <w:p w:rsidR="00DE662B" w:rsidRPr="00C36AE0" w:rsidRDefault="00262CF9" w:rsidP="00262CF9">
      <w:pPr>
        <w:spacing w:before="240" w:after="120" w:line="360" w:lineRule="auto"/>
        <w:rPr>
          <w:szCs w:val="24"/>
        </w:rPr>
      </w:pPr>
      <w:r>
        <w:rPr>
          <w:szCs w:val="24"/>
        </w:rPr>
        <w:tab/>
      </w:r>
      <w:r w:rsidR="00DE662B">
        <w:rPr>
          <w:szCs w:val="24"/>
        </w:rPr>
        <w:t xml:space="preserve">Esta fuente de poder se empleó </w:t>
      </w:r>
      <w:r w:rsidR="00700C5F">
        <w:rPr>
          <w:szCs w:val="24"/>
        </w:rPr>
        <w:t>en</w:t>
      </w:r>
      <w:r w:rsidR="00DE662B">
        <w:rPr>
          <w:szCs w:val="24"/>
        </w:rPr>
        <w:t xml:space="preserve"> las experiencias realizadas con la celda de </w:t>
      </w:r>
      <w:r w:rsidR="00700C5F">
        <w:rPr>
          <w:szCs w:val="24"/>
        </w:rPr>
        <w:t xml:space="preserve">observación y la celda </w:t>
      </w:r>
      <w:r w:rsidR="00DE662B">
        <w:rPr>
          <w:szCs w:val="24"/>
        </w:rPr>
        <w:t>trabajo. Permite aplicar un voltaje máximo</w:t>
      </w:r>
      <w:r w:rsidR="00700C5F">
        <w:rPr>
          <w:szCs w:val="24"/>
        </w:rPr>
        <w:t xml:space="preserve"> DC</w:t>
      </w:r>
      <w:r w:rsidR="00DE662B">
        <w:rPr>
          <w:szCs w:val="24"/>
        </w:rPr>
        <w:t xml:space="preserve"> de 10 kV a una intensidad de 2,5 mA</w:t>
      </w:r>
      <w:r>
        <w:rPr>
          <w:szCs w:val="24"/>
        </w:rPr>
        <w:t xml:space="preserve"> (Ver figura N°</w:t>
      </w:r>
      <w:r w:rsidR="003E7EDD">
        <w:rPr>
          <w:szCs w:val="24"/>
        </w:rPr>
        <w:t xml:space="preserve"> 24</w:t>
      </w:r>
      <w:r>
        <w:rPr>
          <w:szCs w:val="24"/>
        </w:rPr>
        <w:t>)</w:t>
      </w:r>
      <w:r w:rsidR="00DE662B">
        <w:rPr>
          <w:szCs w:val="24"/>
        </w:rPr>
        <w:t xml:space="preserve">. </w:t>
      </w:r>
    </w:p>
    <w:p w:rsidR="00DE662B" w:rsidRDefault="00DE662B" w:rsidP="00DE662B">
      <w:pPr>
        <w:keepNext/>
        <w:autoSpaceDE w:val="0"/>
        <w:autoSpaceDN w:val="0"/>
        <w:adjustRightInd w:val="0"/>
        <w:spacing w:line="360" w:lineRule="auto"/>
        <w:ind w:left="720" w:hanging="720"/>
        <w:jc w:val="center"/>
      </w:pPr>
      <w:r w:rsidRPr="00C36AE0">
        <w:rPr>
          <w:b/>
          <w:noProof/>
          <w:szCs w:val="24"/>
          <w:lang w:val="en-US" w:eastAsia="en-US"/>
        </w:rPr>
        <w:drawing>
          <wp:inline distT="0" distB="0" distL="0" distR="0">
            <wp:extent cx="2641085" cy="1659143"/>
            <wp:effectExtent l="57150" t="19050" r="121165" b="74407"/>
            <wp:docPr id="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2638136" cy="165729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662B" w:rsidRPr="00C36AE0" w:rsidRDefault="003F4126" w:rsidP="003F4126">
      <w:pPr>
        <w:pStyle w:val="Epgrafe"/>
        <w:rPr>
          <w:b/>
          <w:szCs w:val="24"/>
        </w:rPr>
      </w:pPr>
      <w:bookmarkStart w:id="106" w:name="_Toc306490683"/>
      <w:bookmarkStart w:id="107" w:name="_Toc327481436"/>
      <w:r>
        <w:t xml:space="preserve">Figura N° </w:t>
      </w:r>
      <w:fldSimple w:instr=" SEQ Figura_N° \* ARABIC ">
        <w:r w:rsidR="004A5F6F">
          <w:rPr>
            <w:noProof/>
          </w:rPr>
          <w:t>24</w:t>
        </w:r>
      </w:fldSimple>
      <w:r>
        <w:t>:</w:t>
      </w:r>
      <w:r w:rsidR="00DE662B">
        <w:t xml:space="preserve"> </w:t>
      </w:r>
      <w:r w:rsidR="00DE662B" w:rsidRPr="00F759B0">
        <w:t>Fuente de poder</w:t>
      </w:r>
      <w:r w:rsidR="001F12B0">
        <w:t xml:space="preserve"> DC</w:t>
      </w:r>
      <w:bookmarkEnd w:id="106"/>
      <w:r w:rsidR="008B509B">
        <w:t xml:space="preserve"> </w:t>
      </w:r>
      <w:r w:rsidR="00107EE1">
        <w:t>(</w:t>
      </w:r>
      <w:r w:rsidR="008B509B">
        <w:t>LSM</w:t>
      </w:r>
      <w:r w:rsidR="00107EE1">
        <w:t>)</w:t>
      </w:r>
      <w:r w:rsidR="008B509B">
        <w:t>.</w:t>
      </w:r>
      <w:bookmarkEnd w:id="107"/>
    </w:p>
    <w:p w:rsidR="00262CF9" w:rsidRDefault="00262CF9" w:rsidP="00796D8D">
      <w:pPr>
        <w:rPr>
          <w:b/>
        </w:rPr>
      </w:pPr>
    </w:p>
    <w:p w:rsidR="00262CF9" w:rsidRDefault="00262CF9" w:rsidP="00796D8D">
      <w:pPr>
        <w:rPr>
          <w:b/>
        </w:rPr>
      </w:pPr>
    </w:p>
    <w:p w:rsidR="00262CF9" w:rsidRDefault="00262CF9" w:rsidP="00796D8D">
      <w:pPr>
        <w:rPr>
          <w:b/>
        </w:rPr>
      </w:pPr>
    </w:p>
    <w:p w:rsidR="00262CF9" w:rsidRDefault="00262CF9" w:rsidP="00796D8D">
      <w:pPr>
        <w:rPr>
          <w:b/>
        </w:rPr>
      </w:pPr>
    </w:p>
    <w:p w:rsidR="005B5CC8" w:rsidRDefault="005B5CC8" w:rsidP="00796D8D">
      <w:pPr>
        <w:rPr>
          <w:b/>
        </w:rPr>
      </w:pPr>
    </w:p>
    <w:p w:rsidR="00796D8D" w:rsidRPr="00BB3816" w:rsidRDefault="00C8552B" w:rsidP="00796D8D">
      <w:pPr>
        <w:rPr>
          <w:b/>
          <w:lang w:val="es-VE"/>
        </w:rPr>
      </w:pPr>
      <w:r w:rsidRPr="00BB3816">
        <w:rPr>
          <w:b/>
          <w:lang w:val="es-VE"/>
        </w:rPr>
        <w:lastRenderedPageBreak/>
        <w:t xml:space="preserve">3.1.6 </w:t>
      </w:r>
      <w:r w:rsidR="001F12B0" w:rsidRPr="00BB3816">
        <w:rPr>
          <w:b/>
          <w:lang w:val="es-VE"/>
        </w:rPr>
        <w:t>Centrífuga</w:t>
      </w:r>
      <w:r w:rsidR="00262CF9" w:rsidRPr="00BB3816">
        <w:rPr>
          <w:b/>
          <w:lang w:val="es-VE"/>
        </w:rPr>
        <w:t xml:space="preserve"> </w:t>
      </w:r>
      <w:r w:rsidR="005B5CC8" w:rsidRPr="00BB3816">
        <w:rPr>
          <w:b/>
          <w:lang w:val="es-VE"/>
        </w:rPr>
        <w:t>Martin Christ Osterode/Harz</w:t>
      </w:r>
    </w:p>
    <w:p w:rsidR="00796D8D" w:rsidRPr="00BB3816" w:rsidRDefault="00796D8D" w:rsidP="00796D8D">
      <w:pPr>
        <w:rPr>
          <w:lang w:val="es-VE"/>
        </w:rPr>
      </w:pPr>
    </w:p>
    <w:p w:rsidR="008B509B" w:rsidRPr="002E4CC3" w:rsidRDefault="008B509B" w:rsidP="00A8565C">
      <w:pPr>
        <w:spacing w:line="360" w:lineRule="auto"/>
        <w:jc w:val="both"/>
        <w:rPr>
          <w:lang w:val="es-VE"/>
        </w:rPr>
      </w:pPr>
      <w:r w:rsidRPr="00BB3816">
        <w:rPr>
          <w:lang w:val="es-VE"/>
        </w:rPr>
        <w:tab/>
      </w:r>
      <w:r>
        <w:rPr>
          <w:lang w:val="es-VE"/>
        </w:rPr>
        <w:t xml:space="preserve">En la figura siguiente se muestra la centrífuga empleada. Ésta permite alcanzar velocidades de 6000 rpm. Sin embargo, dada la antigüedad del equipo, se procuró no sobrepasar los 3000 rpm. Carga </w:t>
      </w:r>
      <w:r w:rsidR="00A8565C">
        <w:rPr>
          <w:lang w:val="es-VE"/>
        </w:rPr>
        <w:t>máxima</w:t>
      </w:r>
      <w:r>
        <w:rPr>
          <w:lang w:val="es-VE"/>
        </w:rPr>
        <w:t>: 28 tubos de 15,0 ml.</w:t>
      </w:r>
    </w:p>
    <w:p w:rsidR="00796D8D" w:rsidRPr="002E4CC3" w:rsidRDefault="00796D8D" w:rsidP="00796D8D">
      <w:pPr>
        <w:rPr>
          <w:lang w:val="es-VE"/>
        </w:rPr>
      </w:pPr>
    </w:p>
    <w:p w:rsidR="00796D8D" w:rsidRPr="002E4CC3" w:rsidRDefault="00796D8D" w:rsidP="00796D8D">
      <w:pPr>
        <w:rPr>
          <w:lang w:val="es-VE"/>
        </w:rPr>
      </w:pPr>
    </w:p>
    <w:p w:rsidR="0067644E" w:rsidRPr="002E4CC3" w:rsidRDefault="008B509B" w:rsidP="008B509B">
      <w:pPr>
        <w:jc w:val="center"/>
        <w:rPr>
          <w:lang w:val="es-VE"/>
        </w:rPr>
      </w:pPr>
      <w:r>
        <w:rPr>
          <w:noProof/>
          <w:lang w:val="en-US" w:eastAsia="en-US"/>
        </w:rPr>
        <w:drawing>
          <wp:inline distT="0" distB="0" distL="0" distR="0">
            <wp:extent cx="1927932" cy="2571078"/>
            <wp:effectExtent l="19050" t="19050" r="15168" b="19722"/>
            <wp:docPr id="64" name="Imagen 52" descr="F:\DCIM\113SSCAM\SDC1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DCIM\113SSCAM\SDC11635.JPG"/>
                    <pic:cNvPicPr>
                      <a:picLocks noChangeAspect="1" noChangeArrowheads="1"/>
                    </pic:cNvPicPr>
                  </pic:nvPicPr>
                  <pic:blipFill>
                    <a:blip r:embed="rId37" cstate="print"/>
                    <a:srcRect/>
                    <a:stretch>
                      <a:fillRect/>
                    </a:stretch>
                  </pic:blipFill>
                  <pic:spPr bwMode="auto">
                    <a:xfrm>
                      <a:off x="0" y="0"/>
                      <a:ext cx="1927019" cy="2569860"/>
                    </a:xfrm>
                    <a:prstGeom prst="rect">
                      <a:avLst/>
                    </a:prstGeom>
                    <a:noFill/>
                    <a:ln w="9525">
                      <a:solidFill>
                        <a:srgbClr val="000000"/>
                      </a:solidFill>
                      <a:miter lim="800000"/>
                      <a:headEnd/>
                      <a:tailEnd/>
                    </a:ln>
                  </pic:spPr>
                </pic:pic>
              </a:graphicData>
            </a:graphic>
          </wp:inline>
        </w:drawing>
      </w:r>
    </w:p>
    <w:p w:rsidR="0067644E" w:rsidRPr="002E4CC3" w:rsidRDefault="0067644E" w:rsidP="00796D8D">
      <w:pPr>
        <w:rPr>
          <w:lang w:val="es-VE"/>
        </w:rPr>
      </w:pPr>
    </w:p>
    <w:p w:rsidR="0067644E" w:rsidRPr="008B509B" w:rsidRDefault="003F4126" w:rsidP="003F4126">
      <w:pPr>
        <w:pStyle w:val="Epgrafe"/>
        <w:rPr>
          <w:lang w:val="es-VE"/>
        </w:rPr>
      </w:pPr>
      <w:bookmarkStart w:id="108" w:name="_Toc327481437"/>
      <w:r>
        <w:t xml:space="preserve">Figura N° </w:t>
      </w:r>
      <w:fldSimple w:instr=" SEQ Figura_N° \* ARABIC ">
        <w:r w:rsidR="004A5F6F">
          <w:rPr>
            <w:noProof/>
          </w:rPr>
          <w:t>25</w:t>
        </w:r>
      </w:fldSimple>
      <w:r w:rsidR="00107EE1">
        <w:rPr>
          <w:lang w:val="es-VE"/>
        </w:rPr>
        <w:t>: Centrífuga</w:t>
      </w:r>
      <w:r w:rsidR="008B509B" w:rsidRPr="008B509B">
        <w:rPr>
          <w:lang w:val="es-VE"/>
        </w:rPr>
        <w:t xml:space="preserve"> </w:t>
      </w:r>
      <w:r w:rsidR="00107EE1">
        <w:rPr>
          <w:lang w:val="es-VE"/>
        </w:rPr>
        <w:t>(</w:t>
      </w:r>
      <w:r w:rsidR="008B509B">
        <w:rPr>
          <w:lang w:val="es-VE"/>
        </w:rPr>
        <w:t>LSM</w:t>
      </w:r>
      <w:r w:rsidR="00107EE1">
        <w:rPr>
          <w:lang w:val="es-VE"/>
        </w:rPr>
        <w:t>)</w:t>
      </w:r>
      <w:r w:rsidR="008B509B">
        <w:rPr>
          <w:lang w:val="es-VE"/>
        </w:rPr>
        <w:t>.</w:t>
      </w:r>
      <w:bookmarkEnd w:id="108"/>
    </w:p>
    <w:p w:rsidR="00177906" w:rsidRPr="00D65A87" w:rsidRDefault="00C8552B" w:rsidP="00796D8D">
      <w:pPr>
        <w:rPr>
          <w:b/>
          <w:lang w:val="es-VE"/>
        </w:rPr>
      </w:pPr>
      <w:r>
        <w:rPr>
          <w:b/>
          <w:lang w:val="es-VE"/>
        </w:rPr>
        <w:t xml:space="preserve">3.1.7 </w:t>
      </w:r>
      <w:r w:rsidR="00D65A87" w:rsidRPr="00D65A87">
        <w:rPr>
          <w:b/>
          <w:lang w:val="es-VE"/>
        </w:rPr>
        <w:t>Multímetro</w:t>
      </w:r>
      <w:r w:rsidR="00177906" w:rsidRPr="00D65A87">
        <w:rPr>
          <w:b/>
          <w:lang w:val="es-VE"/>
        </w:rPr>
        <w:t xml:space="preserve"> UNI-T</w:t>
      </w:r>
    </w:p>
    <w:p w:rsidR="00177906" w:rsidRDefault="00177906" w:rsidP="00796D8D">
      <w:pPr>
        <w:rPr>
          <w:lang w:val="es-VE"/>
        </w:rPr>
      </w:pPr>
    </w:p>
    <w:p w:rsidR="00D65A87" w:rsidRDefault="00D65A87" w:rsidP="00D65A87">
      <w:pPr>
        <w:spacing w:line="360" w:lineRule="auto"/>
        <w:jc w:val="both"/>
        <w:rPr>
          <w:lang w:val="es-VE"/>
        </w:rPr>
      </w:pPr>
      <w:r>
        <w:rPr>
          <w:lang w:val="es-VE"/>
        </w:rPr>
        <w:tab/>
      </w:r>
      <w:r w:rsidR="00177906">
        <w:rPr>
          <w:lang w:val="es-VE"/>
        </w:rPr>
        <w:t xml:space="preserve">Este multímetro se empleó para </w:t>
      </w:r>
      <w:r w:rsidR="007B2F27">
        <w:rPr>
          <w:lang w:val="es-VE"/>
        </w:rPr>
        <w:t>medir la</w:t>
      </w:r>
      <w:r w:rsidR="00177906">
        <w:rPr>
          <w:lang w:val="es-VE"/>
        </w:rPr>
        <w:t xml:space="preserve"> temperatura </w:t>
      </w:r>
      <w:r>
        <w:rPr>
          <w:lang w:val="es-VE"/>
        </w:rPr>
        <w:t>en el sistema</w:t>
      </w:r>
      <w:r w:rsidR="00262CF9">
        <w:rPr>
          <w:lang w:val="es-VE"/>
        </w:rPr>
        <w:t>.</w:t>
      </w:r>
      <w:r>
        <w:rPr>
          <w:lang w:val="es-VE"/>
        </w:rPr>
        <w:t xml:space="preserve"> </w:t>
      </w:r>
      <w:r w:rsidR="00262CF9">
        <w:rPr>
          <w:lang w:val="es-VE"/>
        </w:rPr>
        <w:t>C</w:t>
      </w:r>
      <w:r>
        <w:rPr>
          <w:lang w:val="es-VE"/>
        </w:rPr>
        <w:t>uenta con una termocupla la cual permite realizar la medición de temperatura. En la figura a continuación se muestra el multímetro y la curva de calibración realizada.</w:t>
      </w:r>
    </w:p>
    <w:p w:rsidR="00177906" w:rsidRDefault="00D65A87" w:rsidP="00796D8D">
      <w:pPr>
        <w:rPr>
          <w:lang w:val="es-VE"/>
        </w:rPr>
      </w:pPr>
      <w:r>
        <w:rPr>
          <w:lang w:val="es-VE"/>
        </w:rPr>
        <w:t xml:space="preserve"> </w:t>
      </w:r>
    </w:p>
    <w:p w:rsidR="00D65A87" w:rsidRDefault="00D65A87" w:rsidP="00796D8D">
      <w:pPr>
        <w:rPr>
          <w:lang w:val="es-VE"/>
        </w:rPr>
      </w:pPr>
      <w:r w:rsidRPr="00D65A87">
        <w:rPr>
          <w:noProof/>
          <w:lang w:val="en-US" w:eastAsia="en-US"/>
        </w:rPr>
        <w:lastRenderedPageBreak/>
        <w:drawing>
          <wp:inline distT="0" distB="0" distL="0" distR="0">
            <wp:extent cx="5066851" cy="2721685"/>
            <wp:effectExtent l="0" t="0" r="0" b="0"/>
            <wp:docPr id="75"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77906" w:rsidRPr="00D65A87" w:rsidRDefault="003F4126" w:rsidP="003F4126">
      <w:pPr>
        <w:pStyle w:val="Epgrafe"/>
        <w:rPr>
          <w:lang w:val="es-VE"/>
        </w:rPr>
      </w:pPr>
      <w:bookmarkStart w:id="109" w:name="_Toc327481438"/>
      <w:r>
        <w:t xml:space="preserve">Figura N° </w:t>
      </w:r>
      <w:fldSimple w:instr=" SEQ Figura_N° \* ARABIC ">
        <w:r w:rsidR="004A5F6F">
          <w:rPr>
            <w:noProof/>
          </w:rPr>
          <w:t>26</w:t>
        </w:r>
      </w:fldSimple>
      <w:r w:rsidR="00D65A87" w:rsidRPr="00D65A87">
        <w:rPr>
          <w:lang w:val="es-VE"/>
        </w:rPr>
        <w:t>: Curva de calibración de la termocupla</w:t>
      </w:r>
      <w:r w:rsidR="00D65A87">
        <w:rPr>
          <w:lang w:val="es-VE"/>
        </w:rPr>
        <w:t xml:space="preserve"> empleada</w:t>
      </w:r>
      <w:r w:rsidR="00D65A87" w:rsidRPr="00D65A87">
        <w:rPr>
          <w:lang w:val="es-VE"/>
        </w:rPr>
        <w:t>.</w:t>
      </w:r>
      <w:bookmarkEnd w:id="109"/>
    </w:p>
    <w:p w:rsidR="00177906" w:rsidRDefault="00177906" w:rsidP="00796D8D">
      <w:pPr>
        <w:rPr>
          <w:lang w:val="es-VE"/>
        </w:rPr>
      </w:pPr>
    </w:p>
    <w:p w:rsidR="00177906" w:rsidRDefault="00D65A87" w:rsidP="00D65A87">
      <w:pPr>
        <w:jc w:val="center"/>
        <w:rPr>
          <w:lang w:val="es-VE"/>
        </w:rPr>
      </w:pPr>
      <w:r>
        <w:rPr>
          <w:noProof/>
          <w:lang w:val="en-US" w:eastAsia="en-US"/>
        </w:rPr>
        <w:drawing>
          <wp:inline distT="0" distB="0" distL="0" distR="0">
            <wp:extent cx="2869267" cy="2151530"/>
            <wp:effectExtent l="19050" t="19050" r="26333" b="20170"/>
            <wp:docPr id="80" name="Imagen 54" descr="F:\DCIM\113SSCAM\SDC1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DCIM\113SSCAM\SDC11642.JPG"/>
                    <pic:cNvPicPr>
                      <a:picLocks noChangeAspect="1" noChangeArrowheads="1"/>
                    </pic:cNvPicPr>
                  </pic:nvPicPr>
                  <pic:blipFill>
                    <a:blip r:embed="rId39" cstate="print"/>
                    <a:srcRect/>
                    <a:stretch>
                      <a:fillRect/>
                    </a:stretch>
                  </pic:blipFill>
                  <pic:spPr bwMode="auto">
                    <a:xfrm>
                      <a:off x="0" y="0"/>
                      <a:ext cx="2864097" cy="2147653"/>
                    </a:xfrm>
                    <a:prstGeom prst="rect">
                      <a:avLst/>
                    </a:prstGeom>
                    <a:noFill/>
                    <a:ln w="9525">
                      <a:solidFill>
                        <a:srgbClr val="000000"/>
                      </a:solidFill>
                      <a:miter lim="800000"/>
                      <a:headEnd/>
                      <a:tailEnd/>
                    </a:ln>
                  </pic:spPr>
                </pic:pic>
              </a:graphicData>
            </a:graphic>
          </wp:inline>
        </w:drawing>
      </w:r>
    </w:p>
    <w:p w:rsidR="00D65A87" w:rsidRDefault="00D65A87" w:rsidP="00796D8D">
      <w:pPr>
        <w:rPr>
          <w:lang w:val="es-VE"/>
        </w:rPr>
      </w:pPr>
    </w:p>
    <w:p w:rsidR="00D0380F" w:rsidRPr="00D65A87" w:rsidRDefault="003F4126" w:rsidP="003F4126">
      <w:pPr>
        <w:pStyle w:val="Epgrafe"/>
        <w:rPr>
          <w:lang w:val="es-VE"/>
        </w:rPr>
      </w:pPr>
      <w:bookmarkStart w:id="110" w:name="_Toc327481439"/>
      <w:r>
        <w:t xml:space="preserve">Figura N° </w:t>
      </w:r>
      <w:fldSimple w:instr=" SEQ Figura_N° \* ARABIC ">
        <w:r w:rsidR="004A5F6F">
          <w:rPr>
            <w:noProof/>
          </w:rPr>
          <w:t>27</w:t>
        </w:r>
      </w:fldSimple>
      <w:r w:rsidR="00D0380F" w:rsidRPr="00D65A87">
        <w:rPr>
          <w:lang w:val="es-VE"/>
        </w:rPr>
        <w:t xml:space="preserve">: </w:t>
      </w:r>
      <w:r w:rsidR="00D0380F">
        <w:rPr>
          <w:lang w:val="es-VE"/>
        </w:rPr>
        <w:t xml:space="preserve">Multímetro UNI-T </w:t>
      </w:r>
      <w:r w:rsidR="00107EE1">
        <w:rPr>
          <w:lang w:val="es-VE"/>
        </w:rPr>
        <w:t>(</w:t>
      </w:r>
      <w:r w:rsidR="00D0380F">
        <w:rPr>
          <w:lang w:val="es-VE"/>
        </w:rPr>
        <w:t>LSM</w:t>
      </w:r>
      <w:r w:rsidR="00107EE1">
        <w:rPr>
          <w:lang w:val="es-VE"/>
        </w:rPr>
        <w:t>)</w:t>
      </w:r>
      <w:r w:rsidR="00D0380F">
        <w:rPr>
          <w:lang w:val="es-VE"/>
        </w:rPr>
        <w:t>.</w:t>
      </w:r>
      <w:bookmarkEnd w:id="110"/>
    </w:p>
    <w:p w:rsidR="00F37748" w:rsidRDefault="00F37748" w:rsidP="00F37748">
      <w:pPr>
        <w:pStyle w:val="Ttulo3"/>
        <w:spacing w:line="360" w:lineRule="auto"/>
        <w:jc w:val="both"/>
        <w:rPr>
          <w:rFonts w:ascii="Times New Roman" w:hAnsi="Times New Roman" w:cs="Times New Roman"/>
          <w:color w:val="auto"/>
        </w:rPr>
      </w:pPr>
    </w:p>
    <w:p w:rsidR="003A6929" w:rsidRPr="00F37748" w:rsidRDefault="00C8552B" w:rsidP="00F37748">
      <w:pPr>
        <w:pStyle w:val="Ttulo3"/>
        <w:spacing w:line="360" w:lineRule="auto"/>
        <w:jc w:val="both"/>
        <w:rPr>
          <w:rFonts w:ascii="Times New Roman" w:hAnsi="Times New Roman" w:cs="Times New Roman"/>
          <w:color w:val="auto"/>
          <w:lang w:val="es-VE"/>
        </w:rPr>
      </w:pPr>
      <w:bookmarkStart w:id="111" w:name="_Toc327478025"/>
      <w:r w:rsidRPr="00F37748">
        <w:rPr>
          <w:rFonts w:ascii="Times New Roman" w:hAnsi="Times New Roman" w:cs="Times New Roman"/>
          <w:color w:val="auto"/>
        </w:rPr>
        <w:t xml:space="preserve">3.2 </w:t>
      </w:r>
      <w:r w:rsidR="00796D8D" w:rsidRPr="00F37748">
        <w:rPr>
          <w:rFonts w:ascii="Times New Roman" w:hAnsi="Times New Roman" w:cs="Times New Roman"/>
          <w:color w:val="auto"/>
        </w:rPr>
        <w:t>METODOLOGÍA EXPERIMENTAL</w:t>
      </w:r>
      <w:bookmarkEnd w:id="102"/>
      <w:bookmarkEnd w:id="111"/>
    </w:p>
    <w:p w:rsidR="00072086" w:rsidRPr="008E6002" w:rsidRDefault="00072086" w:rsidP="00072086">
      <w:pPr>
        <w:spacing w:line="360" w:lineRule="auto"/>
        <w:ind w:firstLine="720"/>
        <w:jc w:val="both"/>
        <w:rPr>
          <w:szCs w:val="24"/>
        </w:rPr>
      </w:pPr>
      <w:bookmarkStart w:id="112" w:name="_Toc299209492"/>
      <w:r w:rsidRPr="008E6002">
        <w:rPr>
          <w:szCs w:val="24"/>
        </w:rPr>
        <w:t>La metodología propuesta permiti</w:t>
      </w:r>
      <w:r w:rsidR="00262CF9">
        <w:rPr>
          <w:szCs w:val="24"/>
        </w:rPr>
        <w:t>ó</w:t>
      </w:r>
      <w:r w:rsidRPr="008E6002">
        <w:rPr>
          <w:szCs w:val="24"/>
        </w:rPr>
        <w:t xml:space="preserve"> cumplir los objetivos planteados y a su vez </w:t>
      </w:r>
      <w:r w:rsidR="00262CF9" w:rsidRPr="008E6002">
        <w:rPr>
          <w:szCs w:val="24"/>
        </w:rPr>
        <w:t>proporcionó</w:t>
      </w:r>
      <w:r w:rsidRPr="008E6002">
        <w:rPr>
          <w:szCs w:val="24"/>
        </w:rPr>
        <w:t xml:space="preserve"> el adecuado tratamiento de los resultados obtenidos a fin de generar respuestas y soluciones que permitan sentar las bases para el desarrollo de futuros trabajos de investigación en </w:t>
      </w:r>
      <w:r>
        <w:rPr>
          <w:szCs w:val="24"/>
        </w:rPr>
        <w:t>el área de desestabilización</w:t>
      </w:r>
      <w:r w:rsidR="00262CF9">
        <w:rPr>
          <w:szCs w:val="24"/>
        </w:rPr>
        <w:t xml:space="preserve"> electrostática</w:t>
      </w:r>
      <w:r>
        <w:rPr>
          <w:szCs w:val="24"/>
        </w:rPr>
        <w:t xml:space="preserve"> de emulsiones agua-</w:t>
      </w:r>
      <w:r w:rsidR="00262CF9">
        <w:rPr>
          <w:szCs w:val="24"/>
        </w:rPr>
        <w:t>crudo</w:t>
      </w:r>
      <w:r>
        <w:rPr>
          <w:szCs w:val="24"/>
        </w:rPr>
        <w:t xml:space="preserve"> de fosas de producción</w:t>
      </w:r>
      <w:r w:rsidRPr="008E6002">
        <w:rPr>
          <w:szCs w:val="24"/>
        </w:rPr>
        <w:t>.</w:t>
      </w:r>
      <w:bookmarkEnd w:id="112"/>
      <w:r w:rsidR="008047BB">
        <w:rPr>
          <w:szCs w:val="24"/>
        </w:rPr>
        <w:t xml:space="preserve"> </w:t>
      </w:r>
    </w:p>
    <w:p w:rsidR="00072086" w:rsidRPr="008E6002" w:rsidRDefault="00072086" w:rsidP="00072086">
      <w:pPr>
        <w:spacing w:line="360" w:lineRule="auto"/>
        <w:ind w:firstLine="720"/>
        <w:jc w:val="both"/>
        <w:rPr>
          <w:szCs w:val="24"/>
        </w:rPr>
      </w:pPr>
      <w:bookmarkStart w:id="113" w:name="_Toc299209493"/>
      <w:r w:rsidRPr="008E6002">
        <w:rPr>
          <w:szCs w:val="24"/>
        </w:rPr>
        <w:lastRenderedPageBreak/>
        <w:t>La dificultad que signific</w:t>
      </w:r>
      <w:r w:rsidR="00262CF9">
        <w:rPr>
          <w:szCs w:val="24"/>
        </w:rPr>
        <w:t>ó</w:t>
      </w:r>
      <w:r w:rsidRPr="008E6002">
        <w:rPr>
          <w:szCs w:val="24"/>
        </w:rPr>
        <w:t xml:space="preserve"> la </w:t>
      </w:r>
      <w:r w:rsidR="00262CF9">
        <w:rPr>
          <w:szCs w:val="24"/>
        </w:rPr>
        <w:t>realización</w:t>
      </w:r>
      <w:r w:rsidRPr="008E6002">
        <w:rPr>
          <w:szCs w:val="24"/>
        </w:rPr>
        <w:t xml:space="preserve"> de esta metodología radica en la estabilidad de las muestras emulsionadas </w:t>
      </w:r>
      <w:r w:rsidR="00262CF9">
        <w:rPr>
          <w:szCs w:val="24"/>
        </w:rPr>
        <w:t>(</w:t>
      </w:r>
      <w:r>
        <w:rPr>
          <w:szCs w:val="24"/>
        </w:rPr>
        <w:t>W/O</w:t>
      </w:r>
      <w:r w:rsidR="00262CF9">
        <w:rPr>
          <w:szCs w:val="24"/>
        </w:rPr>
        <w:t>)</w:t>
      </w:r>
      <w:r w:rsidRPr="008E6002">
        <w:rPr>
          <w:szCs w:val="24"/>
        </w:rPr>
        <w:t xml:space="preserve"> disponibles para este estudio. Esto en particular</w:t>
      </w:r>
      <w:r w:rsidR="006311AD">
        <w:rPr>
          <w:szCs w:val="24"/>
        </w:rPr>
        <w:t>,</w:t>
      </w:r>
      <w:r w:rsidRPr="008E6002">
        <w:rPr>
          <w:szCs w:val="24"/>
        </w:rPr>
        <w:t xml:space="preserve"> requirió realizar una profunda investigación y un estudio minucioso de las distintas variables que rigen el proceso de coalescencia de estas emulsiones.</w:t>
      </w:r>
      <w:bookmarkEnd w:id="113"/>
    </w:p>
    <w:p w:rsidR="00072086" w:rsidRPr="008E6002" w:rsidRDefault="00072086" w:rsidP="00072086">
      <w:pPr>
        <w:spacing w:line="360" w:lineRule="auto"/>
        <w:ind w:firstLine="720"/>
        <w:jc w:val="both"/>
        <w:rPr>
          <w:szCs w:val="24"/>
        </w:rPr>
      </w:pPr>
      <w:bookmarkStart w:id="114" w:name="_Toc299209494"/>
      <w:r w:rsidRPr="008E6002">
        <w:rPr>
          <w:szCs w:val="24"/>
        </w:rPr>
        <w:t xml:space="preserve">Es importante destacar que las propiedades fisicoquímicas de las emulsiones a tratar, le proporcionan a este trabajo una característica única y particular en su contenido y futuro aporte en esta área de investigación dada la poca bibliografía existente de trabajos orientados al tratamiento eléctrico con materiales coalescedores de las emulsiones </w:t>
      </w:r>
      <w:r>
        <w:rPr>
          <w:szCs w:val="24"/>
        </w:rPr>
        <w:t>W/O</w:t>
      </w:r>
      <w:r w:rsidRPr="008E6002">
        <w:rPr>
          <w:szCs w:val="24"/>
        </w:rPr>
        <w:t xml:space="preserve"> de fosas de producción petroleras.</w:t>
      </w:r>
      <w:bookmarkEnd w:id="114"/>
    </w:p>
    <w:p w:rsidR="00072086" w:rsidRDefault="00072086" w:rsidP="00AD6D12">
      <w:pPr>
        <w:spacing w:after="240" w:line="360" w:lineRule="auto"/>
        <w:ind w:firstLine="720"/>
        <w:jc w:val="both"/>
        <w:rPr>
          <w:szCs w:val="24"/>
        </w:rPr>
      </w:pPr>
      <w:bookmarkStart w:id="115" w:name="_Toc299209495"/>
      <w:r w:rsidRPr="008E6002">
        <w:rPr>
          <w:szCs w:val="24"/>
        </w:rPr>
        <w:t>Resulta complejo el desarrollo de trabajos de investigación que tomen en consideración el estudio de cada una de las variables y factores que intervienen en el proceso de coalescencia, dado que aún hoy en día, estos procesos no están bien entendidos. Es por ello que el presente trabajo se limitará al estudio del efecto de materiales coalescedores en el proceso de coalescencia en función al tipo de corriente utilizada (AC, DC)</w:t>
      </w:r>
      <w:r>
        <w:rPr>
          <w:szCs w:val="24"/>
        </w:rPr>
        <w:t xml:space="preserve"> y</w:t>
      </w:r>
      <w:r w:rsidRPr="008E6002">
        <w:rPr>
          <w:szCs w:val="24"/>
        </w:rPr>
        <w:t xml:space="preserve"> la mojabilidad del medio coalescedor (hidrofílico, hidrofóbico) </w:t>
      </w:r>
      <w:bookmarkStart w:id="116" w:name="_Toc299209496"/>
      <w:bookmarkEnd w:id="115"/>
      <w:r w:rsidR="00D80C60">
        <w:rPr>
          <w:szCs w:val="24"/>
        </w:rPr>
        <w:tab/>
      </w:r>
      <w:r w:rsidRPr="008E6002">
        <w:rPr>
          <w:szCs w:val="24"/>
        </w:rPr>
        <w:t>Todas las e</w:t>
      </w:r>
      <w:r w:rsidR="00D80C60">
        <w:rPr>
          <w:szCs w:val="24"/>
        </w:rPr>
        <w:t>xperiencias prácticas se llevará</w:t>
      </w:r>
      <w:r w:rsidRPr="008E6002">
        <w:rPr>
          <w:szCs w:val="24"/>
        </w:rPr>
        <w:t>n a cabo en el Laboratorio de Separaciones Mecánicas (Modulo V)</w:t>
      </w:r>
      <w:r w:rsidR="00D80C60">
        <w:rPr>
          <w:szCs w:val="24"/>
        </w:rPr>
        <w:t xml:space="preserve"> de la Escuela de Ingeniería Química</w:t>
      </w:r>
      <w:r w:rsidRPr="008E6002">
        <w:rPr>
          <w:szCs w:val="24"/>
        </w:rPr>
        <w:t>.</w:t>
      </w:r>
      <w:bookmarkEnd w:id="116"/>
    </w:p>
    <w:p w:rsidR="00D80C60" w:rsidRPr="00DE63EB" w:rsidRDefault="00C8552B" w:rsidP="005B74B4">
      <w:pPr>
        <w:pStyle w:val="Ttulo3"/>
        <w:spacing w:line="360" w:lineRule="auto"/>
        <w:jc w:val="both"/>
        <w:rPr>
          <w:rFonts w:ascii="Times New Roman" w:hAnsi="Times New Roman" w:cs="Times New Roman"/>
          <w:color w:val="auto"/>
        </w:rPr>
      </w:pPr>
      <w:bookmarkStart w:id="117" w:name="_Toc327478026"/>
      <w:r w:rsidRPr="00DE63EB">
        <w:rPr>
          <w:rFonts w:ascii="Times New Roman" w:hAnsi="Times New Roman" w:cs="Times New Roman"/>
          <w:color w:val="auto"/>
          <w:lang w:val="es-VE"/>
        </w:rPr>
        <w:t xml:space="preserve">3.2.1 </w:t>
      </w:r>
      <w:r w:rsidR="00D80C60" w:rsidRPr="00DE63EB">
        <w:rPr>
          <w:rFonts w:ascii="Times New Roman" w:hAnsi="Times New Roman" w:cs="Times New Roman"/>
          <w:color w:val="auto"/>
        </w:rPr>
        <w:t>Diseño del sistema de trata</w:t>
      </w:r>
      <w:r w:rsidR="00AD6D12" w:rsidRPr="00DE63EB">
        <w:rPr>
          <w:rFonts w:ascii="Times New Roman" w:hAnsi="Times New Roman" w:cs="Times New Roman"/>
          <w:color w:val="auto"/>
        </w:rPr>
        <w:t>miento de operación en continuo</w:t>
      </w:r>
      <w:bookmarkEnd w:id="117"/>
      <w:r w:rsidR="00D80C60" w:rsidRPr="00DE63EB">
        <w:rPr>
          <w:rFonts w:ascii="Times New Roman" w:hAnsi="Times New Roman" w:cs="Times New Roman"/>
          <w:color w:val="auto"/>
        </w:rPr>
        <w:t xml:space="preserve"> </w:t>
      </w:r>
    </w:p>
    <w:p w:rsidR="00106C4D" w:rsidRDefault="00106C4D" w:rsidP="00D80C60">
      <w:pPr>
        <w:spacing w:line="360" w:lineRule="auto"/>
        <w:jc w:val="both"/>
        <w:rPr>
          <w:iCs/>
          <w:szCs w:val="24"/>
        </w:rPr>
      </w:pPr>
      <w:r>
        <w:rPr>
          <w:iCs/>
          <w:szCs w:val="24"/>
        </w:rPr>
        <w:tab/>
      </w:r>
      <w:r w:rsidR="00D80C60">
        <w:rPr>
          <w:iCs/>
          <w:szCs w:val="24"/>
        </w:rPr>
        <w:t>Las propuestas de diseño y construcción de un sistema de tratamiento en continuo se realizar</w:t>
      </w:r>
      <w:r w:rsidR="00262CF9">
        <w:rPr>
          <w:iCs/>
          <w:szCs w:val="24"/>
        </w:rPr>
        <w:t>on</w:t>
      </w:r>
      <w:r w:rsidR="00D80C60">
        <w:rPr>
          <w:iCs/>
          <w:szCs w:val="24"/>
        </w:rPr>
        <w:t xml:space="preserve"> en función </w:t>
      </w:r>
      <w:r>
        <w:rPr>
          <w:iCs/>
          <w:szCs w:val="24"/>
        </w:rPr>
        <w:t>de</w:t>
      </w:r>
      <w:r w:rsidR="00D80C60">
        <w:rPr>
          <w:iCs/>
          <w:szCs w:val="24"/>
        </w:rPr>
        <w:t xml:space="preserve"> cada una de las exper</w:t>
      </w:r>
      <w:r>
        <w:rPr>
          <w:iCs/>
          <w:szCs w:val="24"/>
        </w:rPr>
        <w:t xml:space="preserve">iencias prácticas (pruebas preliminares) llevadas a cabo en el LSM. Resulta bastante complicado esquematizar cada una de las pruebas </w:t>
      </w:r>
      <w:r w:rsidR="00262CF9">
        <w:rPr>
          <w:iCs/>
          <w:szCs w:val="24"/>
        </w:rPr>
        <w:t>realizadas</w:t>
      </w:r>
      <w:r>
        <w:rPr>
          <w:iCs/>
          <w:szCs w:val="24"/>
        </w:rPr>
        <w:t xml:space="preserve"> debido a que, precisamente, las propuestas de diseño se estructurar</w:t>
      </w:r>
      <w:r w:rsidR="00262CF9">
        <w:rPr>
          <w:iCs/>
          <w:szCs w:val="24"/>
        </w:rPr>
        <w:t>o</w:t>
      </w:r>
      <w:r>
        <w:rPr>
          <w:iCs/>
          <w:szCs w:val="24"/>
        </w:rPr>
        <w:t xml:space="preserve">n en función de los mejores resultados obtenidos a partir de la experimentación realizada. </w:t>
      </w:r>
      <w:r w:rsidR="00262CF9">
        <w:rPr>
          <w:iCs/>
          <w:szCs w:val="24"/>
        </w:rPr>
        <w:t>Las pruebas realizadas estuvieron</w:t>
      </w:r>
      <w:r>
        <w:rPr>
          <w:iCs/>
          <w:szCs w:val="24"/>
        </w:rPr>
        <w:t xml:space="preserve"> orientadas en todo momento a establecer las condiciones operacionales que permit</w:t>
      </w:r>
      <w:r w:rsidR="00262CF9">
        <w:rPr>
          <w:iCs/>
          <w:szCs w:val="24"/>
        </w:rPr>
        <w:t>ieran</w:t>
      </w:r>
      <w:r>
        <w:rPr>
          <w:iCs/>
          <w:szCs w:val="24"/>
        </w:rPr>
        <w:t xml:space="preserve"> desestabilizar y recuperar la mayor cantidad de agua posible. Para </w:t>
      </w:r>
      <w:r w:rsidR="00CE7563">
        <w:rPr>
          <w:iCs/>
          <w:szCs w:val="24"/>
        </w:rPr>
        <w:t xml:space="preserve">esto </w:t>
      </w:r>
      <w:r w:rsidR="00262CF9">
        <w:rPr>
          <w:iCs/>
          <w:szCs w:val="24"/>
        </w:rPr>
        <w:t>fue necesario:</w:t>
      </w:r>
    </w:p>
    <w:p w:rsidR="00700C5F" w:rsidRPr="00700C5F" w:rsidRDefault="00700C5F" w:rsidP="00700C5F">
      <w:pPr>
        <w:pStyle w:val="Prrafodelista"/>
        <w:numPr>
          <w:ilvl w:val="0"/>
          <w:numId w:val="19"/>
        </w:numPr>
        <w:spacing w:line="360" w:lineRule="auto"/>
        <w:jc w:val="both"/>
        <w:rPr>
          <w:iCs/>
          <w:szCs w:val="24"/>
        </w:rPr>
      </w:pPr>
      <w:r>
        <w:rPr>
          <w:iCs/>
          <w:szCs w:val="24"/>
        </w:rPr>
        <w:t xml:space="preserve">Identificar los fenómenos asociados a la aplicación de un campo AC o DC a una muestra de material de fosa. </w:t>
      </w:r>
      <w:r w:rsidR="00262CF9">
        <w:rPr>
          <w:iCs/>
          <w:szCs w:val="24"/>
        </w:rPr>
        <w:t>Para esto se empleó</w:t>
      </w:r>
      <w:r>
        <w:rPr>
          <w:iCs/>
          <w:szCs w:val="24"/>
        </w:rPr>
        <w:t xml:space="preserve"> la celda de observación </w:t>
      </w:r>
      <w:r w:rsidRPr="00F4506C">
        <w:rPr>
          <w:szCs w:val="24"/>
        </w:rPr>
        <w:lastRenderedPageBreak/>
        <w:t xml:space="preserve">desarrollada por el </w:t>
      </w:r>
      <w:r w:rsidRPr="00F4506C">
        <w:rPr>
          <w:rFonts w:eastAsiaTheme="minorHAnsi"/>
          <w:szCs w:val="24"/>
          <w:lang w:val="es-VE" w:eastAsia="en-US"/>
        </w:rPr>
        <w:t xml:space="preserve">MSc.-Ing. Carlos Javier Morales Henríquez en </w:t>
      </w:r>
      <w:r>
        <w:rPr>
          <w:rFonts w:eastAsiaTheme="minorHAnsi"/>
          <w:szCs w:val="24"/>
          <w:lang w:val="es-VE" w:eastAsia="en-US"/>
        </w:rPr>
        <w:t xml:space="preserve">el </w:t>
      </w:r>
      <w:r w:rsidRPr="00F4506C">
        <w:rPr>
          <w:rFonts w:eastAsiaTheme="minorHAnsi"/>
          <w:szCs w:val="24"/>
          <w:lang w:val="es-VE" w:eastAsia="en-US"/>
        </w:rPr>
        <w:t>año 2007 (Morales, 2007)</w:t>
      </w:r>
      <w:r>
        <w:rPr>
          <w:rFonts w:eastAsiaTheme="minorHAnsi"/>
          <w:szCs w:val="24"/>
          <w:lang w:val="es-VE" w:eastAsia="en-US"/>
        </w:rPr>
        <w:t xml:space="preserve">. </w:t>
      </w:r>
    </w:p>
    <w:p w:rsidR="00611A5C" w:rsidRDefault="00700C5F" w:rsidP="00AD6D12">
      <w:pPr>
        <w:pStyle w:val="Prrafodelista"/>
        <w:numPr>
          <w:ilvl w:val="0"/>
          <w:numId w:val="19"/>
        </w:numPr>
        <w:spacing w:line="360" w:lineRule="auto"/>
        <w:jc w:val="both"/>
        <w:rPr>
          <w:iCs/>
          <w:szCs w:val="24"/>
        </w:rPr>
      </w:pPr>
      <w:r w:rsidRPr="00611A5C">
        <w:rPr>
          <w:iCs/>
          <w:szCs w:val="24"/>
        </w:rPr>
        <w:t>Escalar los resultado</w:t>
      </w:r>
      <w:r w:rsidR="00AD6D12" w:rsidRPr="00611A5C">
        <w:rPr>
          <w:iCs/>
          <w:szCs w:val="24"/>
        </w:rPr>
        <w:t>s</w:t>
      </w:r>
      <w:r w:rsidRPr="00611A5C">
        <w:rPr>
          <w:iCs/>
          <w:szCs w:val="24"/>
        </w:rPr>
        <w:t xml:space="preserve"> obtenido</w:t>
      </w:r>
      <w:r w:rsidR="00AD6D12" w:rsidRPr="00611A5C">
        <w:rPr>
          <w:iCs/>
          <w:szCs w:val="24"/>
        </w:rPr>
        <w:t xml:space="preserve">s con la </w:t>
      </w:r>
      <w:r w:rsidR="00262CF9" w:rsidRPr="00611A5C">
        <w:rPr>
          <w:iCs/>
          <w:szCs w:val="24"/>
        </w:rPr>
        <w:t>celda de observación. Esto requi</w:t>
      </w:r>
      <w:r w:rsidR="00AD6D12" w:rsidRPr="00611A5C">
        <w:rPr>
          <w:iCs/>
          <w:szCs w:val="24"/>
        </w:rPr>
        <w:t>r</w:t>
      </w:r>
      <w:r w:rsidR="00262CF9" w:rsidRPr="00611A5C">
        <w:rPr>
          <w:iCs/>
          <w:szCs w:val="24"/>
        </w:rPr>
        <w:t>ió</w:t>
      </w:r>
      <w:r w:rsidR="00AD6D12" w:rsidRPr="00611A5C">
        <w:rPr>
          <w:iCs/>
          <w:szCs w:val="24"/>
        </w:rPr>
        <w:t xml:space="preserve"> el diseño de un sistema batch de mayores dimensiones. La evaluación se fundament</w:t>
      </w:r>
      <w:r w:rsidR="00262CF9" w:rsidRPr="00611A5C">
        <w:rPr>
          <w:iCs/>
          <w:szCs w:val="24"/>
        </w:rPr>
        <w:t>ó</w:t>
      </w:r>
      <w:r w:rsidR="00AD6D12" w:rsidRPr="00611A5C">
        <w:rPr>
          <w:iCs/>
          <w:szCs w:val="24"/>
        </w:rPr>
        <w:t xml:space="preserve"> en determinar el grado de </w:t>
      </w:r>
      <w:r w:rsidR="00262CF9" w:rsidRPr="00611A5C">
        <w:rPr>
          <w:iCs/>
          <w:szCs w:val="24"/>
        </w:rPr>
        <w:t xml:space="preserve">desestabilización o separación de </w:t>
      </w:r>
      <w:r w:rsidR="00AD6D12" w:rsidRPr="00611A5C">
        <w:rPr>
          <w:iCs/>
          <w:szCs w:val="24"/>
        </w:rPr>
        <w:t>la emulsión</w:t>
      </w:r>
      <w:r w:rsidR="00DE63EB">
        <w:rPr>
          <w:iCs/>
          <w:szCs w:val="24"/>
        </w:rPr>
        <w:t xml:space="preserve"> de forma cualitativa</w:t>
      </w:r>
      <w:r w:rsidR="00AD6D12" w:rsidRPr="00611A5C">
        <w:rPr>
          <w:iCs/>
          <w:szCs w:val="24"/>
        </w:rPr>
        <w:t xml:space="preserve">. </w:t>
      </w:r>
      <w:r w:rsidR="00611A5C" w:rsidRPr="00611A5C">
        <w:rPr>
          <w:iCs/>
          <w:szCs w:val="24"/>
        </w:rPr>
        <w:t>Para cada uno de los sistema batch f</w:t>
      </w:r>
      <w:r w:rsidR="00262CF9" w:rsidRPr="00611A5C">
        <w:rPr>
          <w:iCs/>
          <w:szCs w:val="24"/>
        </w:rPr>
        <w:t>ue</w:t>
      </w:r>
      <w:r w:rsidR="00AD6D12" w:rsidRPr="00611A5C">
        <w:rPr>
          <w:iCs/>
          <w:szCs w:val="24"/>
        </w:rPr>
        <w:t xml:space="preserve"> necesario emplear centrifugación y microscopía </w:t>
      </w:r>
      <w:r w:rsidR="00DE63EB">
        <w:rPr>
          <w:iCs/>
          <w:szCs w:val="24"/>
        </w:rPr>
        <w:t>óptica.</w:t>
      </w:r>
    </w:p>
    <w:p w:rsidR="00262CF9" w:rsidRPr="00611A5C" w:rsidRDefault="00CE7563" w:rsidP="00AD6D12">
      <w:pPr>
        <w:pStyle w:val="Prrafodelista"/>
        <w:numPr>
          <w:ilvl w:val="0"/>
          <w:numId w:val="19"/>
        </w:numPr>
        <w:spacing w:line="360" w:lineRule="auto"/>
        <w:jc w:val="both"/>
        <w:rPr>
          <w:iCs/>
          <w:szCs w:val="24"/>
        </w:rPr>
      </w:pPr>
      <w:r w:rsidRPr="00611A5C">
        <w:rPr>
          <w:iCs/>
          <w:szCs w:val="24"/>
        </w:rPr>
        <w:t xml:space="preserve">Determinar las variables que rigen el proceso de deshidratación en cuanto a voltaje aplicado, tipo de campo eléctrico, </w:t>
      </w:r>
      <w:r w:rsidR="00FF1811" w:rsidRPr="00611A5C">
        <w:rPr>
          <w:iCs/>
          <w:szCs w:val="24"/>
        </w:rPr>
        <w:t xml:space="preserve">mojabilidad del </w:t>
      </w:r>
      <w:r w:rsidRPr="00611A5C">
        <w:rPr>
          <w:iCs/>
          <w:szCs w:val="24"/>
        </w:rPr>
        <w:t>medio coalescedor empleado, características composicionales y reológicas de la emulsión, etc.</w:t>
      </w:r>
      <w:r w:rsidR="00FF1811" w:rsidRPr="00611A5C">
        <w:rPr>
          <w:iCs/>
          <w:szCs w:val="24"/>
        </w:rPr>
        <w:t xml:space="preserve"> </w:t>
      </w:r>
    </w:p>
    <w:p w:rsidR="00AD6D12" w:rsidRPr="00262CF9" w:rsidRDefault="00AD6D12" w:rsidP="00AD6D12">
      <w:pPr>
        <w:pStyle w:val="Prrafodelista"/>
        <w:numPr>
          <w:ilvl w:val="0"/>
          <w:numId w:val="19"/>
        </w:numPr>
        <w:spacing w:line="360" w:lineRule="auto"/>
        <w:jc w:val="both"/>
        <w:rPr>
          <w:iCs/>
          <w:szCs w:val="24"/>
        </w:rPr>
      </w:pPr>
      <w:r w:rsidRPr="00262CF9">
        <w:rPr>
          <w:iCs/>
          <w:szCs w:val="24"/>
        </w:rPr>
        <w:t xml:space="preserve">A partir de la información recabada, </w:t>
      </w:r>
      <w:r w:rsidR="00FF1811" w:rsidRPr="00262CF9">
        <w:rPr>
          <w:iCs/>
          <w:szCs w:val="24"/>
        </w:rPr>
        <w:t>se realizar</w:t>
      </w:r>
      <w:r w:rsidR="00DE63EB">
        <w:rPr>
          <w:iCs/>
          <w:szCs w:val="24"/>
        </w:rPr>
        <w:t>on</w:t>
      </w:r>
      <w:r w:rsidR="00FF1811" w:rsidRPr="00262CF9">
        <w:rPr>
          <w:iCs/>
          <w:szCs w:val="24"/>
        </w:rPr>
        <w:t xml:space="preserve"> propuestas de diseño para la construcción de</w:t>
      </w:r>
      <w:r w:rsidRPr="00262CF9">
        <w:rPr>
          <w:iCs/>
          <w:szCs w:val="24"/>
        </w:rPr>
        <w:t xml:space="preserve"> un sistema tratamiento de operación en continuo para la deshidratación de emulsiones proveniente de fosas de producción que incluya un medio coalescedor.</w:t>
      </w:r>
    </w:p>
    <w:p w:rsidR="007B2F27" w:rsidRDefault="007B2F27" w:rsidP="00782E70">
      <w:pPr>
        <w:pStyle w:val="Prrafodelista"/>
        <w:spacing w:after="240" w:line="360" w:lineRule="auto"/>
        <w:ind w:left="0"/>
        <w:jc w:val="both"/>
        <w:rPr>
          <w:iCs/>
          <w:szCs w:val="24"/>
        </w:rPr>
      </w:pPr>
      <w:r>
        <w:rPr>
          <w:iCs/>
          <w:szCs w:val="24"/>
        </w:rPr>
        <w:tab/>
        <w:t>Las experiencias se llevaron empleando tres muestras distintas de material de fosas disponibles en el Laboratorio de Separaciones Mecánicas (Tabla N°</w:t>
      </w:r>
      <w:r w:rsidR="00956E55">
        <w:rPr>
          <w:iCs/>
          <w:szCs w:val="24"/>
        </w:rPr>
        <w:t xml:space="preserve"> 2</w:t>
      </w:r>
      <w:r>
        <w:rPr>
          <w:iCs/>
          <w:szCs w:val="24"/>
        </w:rPr>
        <w:t>)</w:t>
      </w:r>
      <w:r w:rsidR="00782E70">
        <w:rPr>
          <w:iCs/>
          <w:szCs w:val="24"/>
        </w:rPr>
        <w:t>:</w:t>
      </w:r>
      <w:r>
        <w:rPr>
          <w:iCs/>
          <w:szCs w:val="24"/>
        </w:rPr>
        <w:t xml:space="preserve"> </w:t>
      </w:r>
    </w:p>
    <w:p w:rsidR="007B2F27" w:rsidRPr="00782E70" w:rsidRDefault="0005538D" w:rsidP="0005538D">
      <w:pPr>
        <w:pStyle w:val="Epgrafe"/>
        <w:rPr>
          <w:iCs/>
        </w:rPr>
      </w:pPr>
      <w:bookmarkStart w:id="118" w:name="_Toc325636316"/>
      <w:r>
        <w:t xml:space="preserve">Tabla N° </w:t>
      </w:r>
      <w:fldSimple w:instr=" SEQ Tabla_N° \* ARABIC ">
        <w:r w:rsidR="004A5F6F">
          <w:rPr>
            <w:noProof/>
          </w:rPr>
          <w:t>2</w:t>
        </w:r>
      </w:fldSimple>
      <w:r w:rsidR="007B2F27" w:rsidRPr="00782E70">
        <w:rPr>
          <w:iCs/>
        </w:rPr>
        <w:t xml:space="preserve">: </w:t>
      </w:r>
      <w:r w:rsidR="00782E70">
        <w:rPr>
          <w:iCs/>
        </w:rPr>
        <w:t>Fosas de producción.</w:t>
      </w:r>
      <w:bookmarkEnd w:id="118"/>
    </w:p>
    <w:tbl>
      <w:tblPr>
        <w:tblW w:w="4340" w:type="dxa"/>
        <w:jc w:val="center"/>
        <w:tblInd w:w="94" w:type="dxa"/>
        <w:tblLook w:val="04A0"/>
      </w:tblPr>
      <w:tblGrid>
        <w:gridCol w:w="2140"/>
        <w:gridCol w:w="2200"/>
      </w:tblGrid>
      <w:tr w:rsidR="007B2F27" w:rsidRPr="007B2F27" w:rsidTr="00782E70">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F27" w:rsidRPr="007B2F27" w:rsidRDefault="007B2F27" w:rsidP="007B2F27">
            <w:pPr>
              <w:jc w:val="center"/>
              <w:rPr>
                <w:b/>
                <w:bCs/>
                <w:color w:val="000000"/>
                <w:sz w:val="20"/>
                <w:lang w:val="en-US" w:eastAsia="en-US"/>
              </w:rPr>
            </w:pPr>
            <w:r w:rsidRPr="007B2F27">
              <w:rPr>
                <w:b/>
                <w:bCs/>
                <w:color w:val="000000"/>
                <w:sz w:val="20"/>
                <w:lang w:val="en-US" w:eastAsia="en-US"/>
              </w:rPr>
              <w:t>Fosas</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7B2F27" w:rsidRPr="007B2F27" w:rsidRDefault="007B2F27" w:rsidP="007B2F27">
            <w:pPr>
              <w:jc w:val="center"/>
              <w:rPr>
                <w:b/>
                <w:bCs/>
                <w:color w:val="000000"/>
                <w:sz w:val="20"/>
                <w:lang w:val="en-US" w:eastAsia="en-US"/>
              </w:rPr>
            </w:pPr>
            <w:r w:rsidRPr="007B2F27">
              <w:rPr>
                <w:b/>
                <w:bCs/>
                <w:color w:val="000000"/>
                <w:sz w:val="20"/>
                <w:lang w:val="en-US" w:eastAsia="en-US"/>
              </w:rPr>
              <w:t>°API</w:t>
            </w:r>
          </w:p>
        </w:tc>
      </w:tr>
      <w:tr w:rsidR="007B2F27" w:rsidRPr="007B2F27" w:rsidTr="00782E70">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B2F27" w:rsidRPr="007B2F27" w:rsidRDefault="00355A67" w:rsidP="007B2F27">
            <w:pPr>
              <w:jc w:val="center"/>
              <w:rPr>
                <w:color w:val="000000"/>
                <w:sz w:val="20"/>
                <w:lang w:val="en-US" w:eastAsia="en-US"/>
              </w:rPr>
            </w:pPr>
            <w:r>
              <w:rPr>
                <w:color w:val="000000"/>
                <w:sz w:val="20"/>
                <w:lang w:val="en-US" w:eastAsia="en-US"/>
              </w:rPr>
              <w:t>Acema-100</w:t>
            </w:r>
          </w:p>
        </w:tc>
        <w:tc>
          <w:tcPr>
            <w:tcW w:w="2200" w:type="dxa"/>
            <w:tcBorders>
              <w:top w:val="nil"/>
              <w:left w:val="nil"/>
              <w:bottom w:val="single" w:sz="4" w:space="0" w:color="auto"/>
              <w:right w:val="single" w:sz="4" w:space="0" w:color="auto"/>
            </w:tcBorders>
            <w:shd w:val="clear" w:color="auto" w:fill="auto"/>
            <w:noWrap/>
            <w:vAlign w:val="center"/>
            <w:hideMark/>
          </w:tcPr>
          <w:p w:rsidR="007B2F27" w:rsidRPr="007B2F27" w:rsidRDefault="007B2F27" w:rsidP="007B2F27">
            <w:pPr>
              <w:jc w:val="center"/>
              <w:rPr>
                <w:color w:val="000000"/>
                <w:sz w:val="20"/>
                <w:lang w:val="en-US" w:eastAsia="en-US"/>
              </w:rPr>
            </w:pPr>
            <w:r w:rsidRPr="007B2F27">
              <w:rPr>
                <w:color w:val="000000"/>
                <w:sz w:val="20"/>
                <w:lang w:val="en-US" w:eastAsia="en-US"/>
              </w:rPr>
              <w:t>17,0</w:t>
            </w:r>
          </w:p>
        </w:tc>
      </w:tr>
      <w:tr w:rsidR="007B2F27" w:rsidRPr="007B2F27" w:rsidTr="00782E70">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B2F27" w:rsidRPr="007B2F27" w:rsidRDefault="00355A67" w:rsidP="007B2F27">
            <w:pPr>
              <w:jc w:val="center"/>
              <w:rPr>
                <w:color w:val="000000"/>
                <w:sz w:val="20"/>
                <w:lang w:val="en-US" w:eastAsia="en-US"/>
              </w:rPr>
            </w:pPr>
            <w:r>
              <w:rPr>
                <w:color w:val="000000"/>
                <w:sz w:val="20"/>
                <w:lang w:val="en-US" w:eastAsia="en-US"/>
              </w:rPr>
              <w:t>Merey-31</w:t>
            </w:r>
          </w:p>
        </w:tc>
        <w:tc>
          <w:tcPr>
            <w:tcW w:w="2200" w:type="dxa"/>
            <w:tcBorders>
              <w:top w:val="nil"/>
              <w:left w:val="nil"/>
              <w:bottom w:val="single" w:sz="4" w:space="0" w:color="auto"/>
              <w:right w:val="single" w:sz="4" w:space="0" w:color="auto"/>
            </w:tcBorders>
            <w:shd w:val="clear" w:color="auto" w:fill="auto"/>
            <w:noWrap/>
            <w:vAlign w:val="center"/>
            <w:hideMark/>
          </w:tcPr>
          <w:p w:rsidR="007B2F27" w:rsidRPr="007B2F27" w:rsidRDefault="007B2F27" w:rsidP="007B2F27">
            <w:pPr>
              <w:jc w:val="center"/>
              <w:rPr>
                <w:color w:val="000000"/>
                <w:sz w:val="20"/>
                <w:lang w:val="en-US" w:eastAsia="en-US"/>
              </w:rPr>
            </w:pPr>
            <w:r w:rsidRPr="007B2F27">
              <w:rPr>
                <w:color w:val="000000"/>
                <w:sz w:val="20"/>
                <w:lang w:val="en-US" w:eastAsia="en-US"/>
              </w:rPr>
              <w:t>12,3</w:t>
            </w:r>
          </w:p>
        </w:tc>
      </w:tr>
      <w:tr w:rsidR="007B2F27" w:rsidRPr="007B2F27" w:rsidTr="00782E70">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B2F27" w:rsidRPr="007B2F27" w:rsidRDefault="00355A67" w:rsidP="007B2F27">
            <w:pPr>
              <w:jc w:val="center"/>
              <w:rPr>
                <w:color w:val="000000"/>
                <w:sz w:val="20"/>
                <w:lang w:val="en-US" w:eastAsia="en-US"/>
              </w:rPr>
            </w:pPr>
            <w:r>
              <w:rPr>
                <w:color w:val="000000"/>
                <w:sz w:val="20"/>
                <w:lang w:val="en-US" w:eastAsia="en-US"/>
              </w:rPr>
              <w:t>Guara-2</w:t>
            </w:r>
          </w:p>
        </w:tc>
        <w:tc>
          <w:tcPr>
            <w:tcW w:w="2200" w:type="dxa"/>
            <w:tcBorders>
              <w:top w:val="nil"/>
              <w:left w:val="nil"/>
              <w:bottom w:val="single" w:sz="4" w:space="0" w:color="auto"/>
              <w:right w:val="single" w:sz="4" w:space="0" w:color="auto"/>
            </w:tcBorders>
            <w:shd w:val="clear" w:color="auto" w:fill="auto"/>
            <w:noWrap/>
            <w:vAlign w:val="center"/>
            <w:hideMark/>
          </w:tcPr>
          <w:p w:rsidR="007B2F27" w:rsidRPr="007B2F27" w:rsidRDefault="007B2F27" w:rsidP="007B2F27">
            <w:pPr>
              <w:jc w:val="center"/>
              <w:rPr>
                <w:color w:val="000000"/>
                <w:sz w:val="20"/>
                <w:lang w:val="en-US" w:eastAsia="en-US"/>
              </w:rPr>
            </w:pPr>
            <w:r w:rsidRPr="007B2F27">
              <w:rPr>
                <w:color w:val="000000"/>
                <w:sz w:val="20"/>
                <w:lang w:val="en-US" w:eastAsia="en-US"/>
              </w:rPr>
              <w:t>12,5</w:t>
            </w:r>
          </w:p>
        </w:tc>
      </w:tr>
    </w:tbl>
    <w:p w:rsidR="007B2F27" w:rsidRDefault="007B2F27" w:rsidP="007B2F27">
      <w:pPr>
        <w:pStyle w:val="Prrafodelista"/>
        <w:spacing w:line="360" w:lineRule="auto"/>
        <w:ind w:left="0"/>
        <w:jc w:val="both"/>
        <w:rPr>
          <w:iCs/>
          <w:szCs w:val="24"/>
        </w:rPr>
      </w:pPr>
    </w:p>
    <w:p w:rsidR="00CE7563" w:rsidRDefault="00FF1811" w:rsidP="00782E70">
      <w:pPr>
        <w:pStyle w:val="Prrafodelista"/>
        <w:spacing w:after="240" w:line="360" w:lineRule="auto"/>
        <w:ind w:left="0"/>
        <w:jc w:val="both"/>
        <w:rPr>
          <w:iCs/>
          <w:szCs w:val="24"/>
        </w:rPr>
      </w:pPr>
      <w:r>
        <w:rPr>
          <w:iCs/>
          <w:szCs w:val="24"/>
        </w:rPr>
        <w:tab/>
      </w:r>
      <w:r w:rsidR="00CE7563">
        <w:rPr>
          <w:iCs/>
          <w:szCs w:val="24"/>
        </w:rPr>
        <w:t>El voltaje inicial aplicado a cada una de las fosas est</w:t>
      </w:r>
      <w:r w:rsidR="00DE63EB">
        <w:rPr>
          <w:iCs/>
          <w:szCs w:val="24"/>
        </w:rPr>
        <w:t>uvo</w:t>
      </w:r>
      <w:r w:rsidR="00CE7563">
        <w:rPr>
          <w:iCs/>
          <w:szCs w:val="24"/>
        </w:rPr>
        <w:t xml:space="preserve"> determinado por los voltajes óptimos de separación para cada una de las muestras, reportados en el trabajo especial de grado de Fung, E. Por otro lado, la selección del material</w:t>
      </w:r>
      <w:r>
        <w:rPr>
          <w:iCs/>
          <w:szCs w:val="24"/>
        </w:rPr>
        <w:t xml:space="preserve"> a emplear como medio coalescedor</w:t>
      </w:r>
      <w:r w:rsidR="00CE7563">
        <w:rPr>
          <w:iCs/>
          <w:szCs w:val="24"/>
        </w:rPr>
        <w:t xml:space="preserve"> se realizará en función al trabajo de Morales, C. del 2006</w:t>
      </w:r>
      <w:r>
        <w:rPr>
          <w:iCs/>
          <w:szCs w:val="24"/>
        </w:rPr>
        <w:t xml:space="preserve">. </w:t>
      </w:r>
    </w:p>
    <w:p w:rsidR="00C8552B" w:rsidRPr="00CE7563" w:rsidRDefault="00C8552B" w:rsidP="00782E70">
      <w:pPr>
        <w:pStyle w:val="Prrafodelista"/>
        <w:spacing w:after="240" w:line="360" w:lineRule="auto"/>
        <w:ind w:left="0"/>
        <w:jc w:val="both"/>
        <w:rPr>
          <w:iCs/>
          <w:szCs w:val="24"/>
        </w:rPr>
      </w:pPr>
    </w:p>
    <w:p w:rsidR="00D80C60" w:rsidRPr="005B74B4" w:rsidRDefault="00C8552B" w:rsidP="005B74B4">
      <w:pPr>
        <w:pStyle w:val="Ttulo3"/>
        <w:spacing w:line="360" w:lineRule="auto"/>
        <w:jc w:val="both"/>
        <w:rPr>
          <w:rFonts w:ascii="Times New Roman" w:hAnsi="Times New Roman" w:cs="Times New Roman"/>
          <w:color w:val="auto"/>
        </w:rPr>
      </w:pPr>
      <w:bookmarkStart w:id="119" w:name="_Toc327478027"/>
      <w:r w:rsidRPr="005B74B4">
        <w:rPr>
          <w:rFonts w:ascii="Times New Roman" w:hAnsi="Times New Roman" w:cs="Times New Roman"/>
          <w:color w:val="auto"/>
        </w:rPr>
        <w:lastRenderedPageBreak/>
        <w:t xml:space="preserve">3.2.2 </w:t>
      </w:r>
      <w:r w:rsidR="00D80C60" w:rsidRPr="005B74B4">
        <w:rPr>
          <w:rFonts w:ascii="Times New Roman" w:hAnsi="Times New Roman" w:cs="Times New Roman"/>
          <w:color w:val="auto"/>
        </w:rPr>
        <w:t>Cuantific</w:t>
      </w:r>
      <w:r w:rsidRPr="005B74B4">
        <w:rPr>
          <w:rFonts w:ascii="Times New Roman" w:hAnsi="Times New Roman" w:cs="Times New Roman"/>
          <w:color w:val="auto"/>
        </w:rPr>
        <w:t>ación</w:t>
      </w:r>
      <w:r w:rsidR="00D80C60" w:rsidRPr="005B74B4">
        <w:rPr>
          <w:rFonts w:ascii="Times New Roman" w:hAnsi="Times New Roman" w:cs="Times New Roman"/>
          <w:color w:val="auto"/>
        </w:rPr>
        <w:t xml:space="preserve"> y </w:t>
      </w:r>
      <w:r w:rsidRPr="005B74B4">
        <w:rPr>
          <w:rFonts w:ascii="Times New Roman" w:hAnsi="Times New Roman" w:cs="Times New Roman"/>
          <w:color w:val="auto"/>
        </w:rPr>
        <w:t>evaluación</w:t>
      </w:r>
      <w:r w:rsidR="00D80C60" w:rsidRPr="005B74B4">
        <w:rPr>
          <w:rFonts w:ascii="Times New Roman" w:hAnsi="Times New Roman" w:cs="Times New Roman"/>
          <w:color w:val="auto"/>
        </w:rPr>
        <w:t xml:space="preserve"> </w:t>
      </w:r>
      <w:r w:rsidRPr="005B74B4">
        <w:rPr>
          <w:rFonts w:ascii="Times New Roman" w:hAnsi="Times New Roman" w:cs="Times New Roman"/>
          <w:color w:val="auto"/>
        </w:rPr>
        <w:t>d</w:t>
      </w:r>
      <w:r w:rsidR="00D80C60" w:rsidRPr="005B74B4">
        <w:rPr>
          <w:rFonts w:ascii="Times New Roman" w:hAnsi="Times New Roman" w:cs="Times New Roman"/>
          <w:color w:val="auto"/>
        </w:rPr>
        <w:t xml:space="preserve">el grado de separación de la emulsión </w:t>
      </w:r>
      <w:r w:rsidR="00355A67" w:rsidRPr="005B74B4">
        <w:rPr>
          <w:rFonts w:ascii="Times New Roman" w:hAnsi="Times New Roman" w:cs="Times New Roman"/>
          <w:color w:val="auto"/>
        </w:rPr>
        <w:t>Acema-100</w:t>
      </w:r>
      <w:r w:rsidR="00D80C60" w:rsidRPr="005B74B4">
        <w:rPr>
          <w:rFonts w:ascii="Times New Roman" w:hAnsi="Times New Roman" w:cs="Times New Roman"/>
          <w:color w:val="auto"/>
        </w:rPr>
        <w:t xml:space="preserve">, </w:t>
      </w:r>
      <w:r w:rsidR="00355A67" w:rsidRPr="005B74B4">
        <w:rPr>
          <w:rFonts w:ascii="Times New Roman" w:hAnsi="Times New Roman" w:cs="Times New Roman"/>
          <w:color w:val="auto"/>
        </w:rPr>
        <w:t>Merey-31</w:t>
      </w:r>
      <w:r w:rsidR="00D80C60" w:rsidRPr="005B74B4">
        <w:rPr>
          <w:rFonts w:ascii="Times New Roman" w:hAnsi="Times New Roman" w:cs="Times New Roman"/>
          <w:color w:val="auto"/>
        </w:rPr>
        <w:t xml:space="preserve"> y </w:t>
      </w:r>
      <w:r w:rsidR="00355A67" w:rsidRPr="005B74B4">
        <w:rPr>
          <w:rFonts w:ascii="Times New Roman" w:hAnsi="Times New Roman" w:cs="Times New Roman"/>
          <w:color w:val="auto"/>
        </w:rPr>
        <w:t>Guara-2</w:t>
      </w:r>
      <w:r w:rsidR="00D80C60" w:rsidRPr="005B74B4">
        <w:rPr>
          <w:rFonts w:ascii="Times New Roman" w:hAnsi="Times New Roman" w:cs="Times New Roman"/>
          <w:color w:val="auto"/>
        </w:rPr>
        <w:t xml:space="preserve"> (fosas de producción) utilizando medios coalescedores de distinta naturaleza y mojabilidad y sin la u</w:t>
      </w:r>
      <w:r w:rsidR="005B74B4" w:rsidRPr="005B74B4">
        <w:rPr>
          <w:rFonts w:ascii="Times New Roman" w:hAnsi="Times New Roman" w:cs="Times New Roman"/>
          <w:color w:val="auto"/>
        </w:rPr>
        <w:t>tilización de medio coalescedor</w:t>
      </w:r>
      <w:bookmarkEnd w:id="119"/>
    </w:p>
    <w:p w:rsidR="00FF1811" w:rsidRDefault="00FF1811" w:rsidP="00D80C60">
      <w:pPr>
        <w:spacing w:line="360" w:lineRule="auto"/>
        <w:jc w:val="both"/>
        <w:rPr>
          <w:iCs/>
          <w:szCs w:val="24"/>
        </w:rPr>
      </w:pPr>
      <w:r>
        <w:rPr>
          <w:iCs/>
          <w:szCs w:val="24"/>
        </w:rPr>
        <w:tab/>
        <w:t>Una vez dispuesto el sistema de tratamiento en continuo, se rea</w:t>
      </w:r>
      <w:r w:rsidR="00B26026">
        <w:rPr>
          <w:iCs/>
          <w:szCs w:val="24"/>
        </w:rPr>
        <w:t xml:space="preserve">lizarán pruebas para estudiar el grado de desestabilización o separación de las emulsiones </w:t>
      </w:r>
      <w:r w:rsidR="00355A67">
        <w:rPr>
          <w:iCs/>
          <w:szCs w:val="24"/>
        </w:rPr>
        <w:t>Acema-100</w:t>
      </w:r>
      <w:r w:rsidR="00B26026">
        <w:rPr>
          <w:iCs/>
          <w:szCs w:val="24"/>
        </w:rPr>
        <w:t xml:space="preserve">, </w:t>
      </w:r>
      <w:r w:rsidR="00355A67">
        <w:rPr>
          <w:iCs/>
          <w:szCs w:val="24"/>
        </w:rPr>
        <w:t>Merey-31</w:t>
      </w:r>
      <w:r w:rsidR="00B26026">
        <w:rPr>
          <w:iCs/>
          <w:szCs w:val="24"/>
        </w:rPr>
        <w:t xml:space="preserve"> y Guara</w:t>
      </w:r>
      <w:r w:rsidR="00DC27EE">
        <w:rPr>
          <w:iCs/>
          <w:szCs w:val="24"/>
        </w:rPr>
        <w:t>-2</w:t>
      </w:r>
      <w:r w:rsidR="00B26026">
        <w:rPr>
          <w:iCs/>
          <w:szCs w:val="24"/>
        </w:rPr>
        <w:t xml:space="preserve"> empleando </w:t>
      </w:r>
      <w:r w:rsidR="00DC27EE">
        <w:rPr>
          <w:iCs/>
          <w:szCs w:val="24"/>
        </w:rPr>
        <w:t xml:space="preserve">ahora </w:t>
      </w:r>
      <w:r w:rsidR="00B26026">
        <w:rPr>
          <w:iCs/>
          <w:szCs w:val="24"/>
        </w:rPr>
        <w:t xml:space="preserve">un sistema </w:t>
      </w:r>
      <w:r w:rsidR="00DC27EE">
        <w:rPr>
          <w:iCs/>
          <w:szCs w:val="24"/>
        </w:rPr>
        <w:t>continuo de tratamiento.</w:t>
      </w:r>
      <w:r w:rsidR="00B26026">
        <w:rPr>
          <w:iCs/>
          <w:szCs w:val="24"/>
        </w:rPr>
        <w:t xml:space="preserve"> </w:t>
      </w:r>
    </w:p>
    <w:p w:rsidR="007E060A" w:rsidRDefault="00B26026" w:rsidP="007E060A">
      <w:pPr>
        <w:spacing w:line="360" w:lineRule="auto"/>
        <w:jc w:val="both"/>
        <w:rPr>
          <w:iCs/>
          <w:szCs w:val="24"/>
        </w:rPr>
      </w:pPr>
      <w:r>
        <w:rPr>
          <w:iCs/>
          <w:szCs w:val="24"/>
        </w:rPr>
        <w:tab/>
      </w:r>
      <w:r w:rsidR="00DC27EE">
        <w:rPr>
          <w:iCs/>
          <w:szCs w:val="24"/>
        </w:rPr>
        <w:t xml:space="preserve">Se evaluaron </w:t>
      </w:r>
      <w:r w:rsidR="00D373EA">
        <w:rPr>
          <w:iCs/>
          <w:szCs w:val="24"/>
        </w:rPr>
        <w:t>materiales de distinta mojabilidad, hidrofóbicos e hidrofílicos, a fin de estudiar el efecto de la mojabilidad del material en la separación. La</w:t>
      </w:r>
      <w:r w:rsidR="007E060A">
        <w:rPr>
          <w:iCs/>
          <w:szCs w:val="24"/>
        </w:rPr>
        <w:t xml:space="preserve"> evaluación de cada medio coalescedor se realiz</w:t>
      </w:r>
      <w:r w:rsidR="00DC27EE">
        <w:rPr>
          <w:iCs/>
          <w:szCs w:val="24"/>
        </w:rPr>
        <w:t>ó</w:t>
      </w:r>
      <w:r w:rsidR="007E060A">
        <w:rPr>
          <w:iCs/>
          <w:szCs w:val="24"/>
        </w:rPr>
        <w:t xml:space="preserve"> para campo AC y DC y a tres velocidades de flujo distintas</w:t>
      </w:r>
      <w:r w:rsidR="00DC27EE">
        <w:rPr>
          <w:iCs/>
          <w:szCs w:val="24"/>
        </w:rPr>
        <w:t xml:space="preserve"> únicamente para la fosa Acema-100</w:t>
      </w:r>
      <w:r w:rsidR="007E060A">
        <w:rPr>
          <w:iCs/>
          <w:szCs w:val="24"/>
        </w:rPr>
        <w:t xml:space="preserve">. </w:t>
      </w:r>
      <w:r w:rsidR="00D373EA">
        <w:rPr>
          <w:iCs/>
          <w:szCs w:val="24"/>
        </w:rPr>
        <w:t xml:space="preserve">Es importante recalcar </w:t>
      </w:r>
      <w:r w:rsidR="00D373EA" w:rsidRPr="008E6002">
        <w:rPr>
          <w:iCs/>
          <w:szCs w:val="24"/>
        </w:rPr>
        <w:t>que</w:t>
      </w:r>
      <w:r w:rsidR="00D373EA">
        <w:rPr>
          <w:iCs/>
          <w:szCs w:val="24"/>
        </w:rPr>
        <w:t xml:space="preserve"> a pesar de que</w:t>
      </w:r>
      <w:r w:rsidR="00D373EA" w:rsidRPr="008E6002">
        <w:rPr>
          <w:iCs/>
          <w:szCs w:val="24"/>
        </w:rPr>
        <w:t xml:space="preserve"> en este trabajo no se considera</w:t>
      </w:r>
      <w:r w:rsidR="00D373EA">
        <w:rPr>
          <w:iCs/>
          <w:szCs w:val="24"/>
        </w:rPr>
        <w:t>rá</w:t>
      </w:r>
      <w:r w:rsidR="00D373EA" w:rsidRPr="008E6002">
        <w:rPr>
          <w:iCs/>
          <w:szCs w:val="24"/>
        </w:rPr>
        <w:t xml:space="preserve"> la temperatura como una variable de estudio en el proceso de coalescencia, se </w:t>
      </w:r>
      <w:r w:rsidR="00DC27EE">
        <w:rPr>
          <w:iCs/>
          <w:szCs w:val="24"/>
        </w:rPr>
        <w:t>consideró calentar las fosas</w:t>
      </w:r>
      <w:r w:rsidR="00D373EA" w:rsidRPr="008E6002">
        <w:rPr>
          <w:iCs/>
          <w:szCs w:val="24"/>
        </w:rPr>
        <w:t xml:space="preserve"> únicamente para disminuir la viscosidad de la emulsión y</w:t>
      </w:r>
      <w:r w:rsidR="00D373EA">
        <w:rPr>
          <w:iCs/>
          <w:szCs w:val="24"/>
        </w:rPr>
        <w:t xml:space="preserve"> así</w:t>
      </w:r>
      <w:r w:rsidR="00D373EA" w:rsidRPr="008E6002">
        <w:rPr>
          <w:iCs/>
          <w:szCs w:val="24"/>
        </w:rPr>
        <w:t xml:space="preserve"> garantizar el flujo d</w:t>
      </w:r>
      <w:r w:rsidR="00D373EA">
        <w:rPr>
          <w:iCs/>
          <w:szCs w:val="24"/>
        </w:rPr>
        <w:t>e la misma a través del sistema en caso de que fuese necesario.</w:t>
      </w:r>
    </w:p>
    <w:p w:rsidR="00DC27EE" w:rsidRDefault="00DC27EE" w:rsidP="007E060A">
      <w:pPr>
        <w:spacing w:line="360" w:lineRule="auto"/>
        <w:jc w:val="both"/>
        <w:rPr>
          <w:iCs/>
          <w:szCs w:val="24"/>
        </w:rPr>
      </w:pPr>
      <w:r>
        <w:rPr>
          <w:iCs/>
          <w:szCs w:val="24"/>
        </w:rPr>
        <w:t>Las experiencias para la fosa Acema-100 y Guara-2 se realizaron para los medios coalescedores que permitieron la mejor separación.</w:t>
      </w:r>
    </w:p>
    <w:p w:rsidR="00C8552B" w:rsidRDefault="00D373EA" w:rsidP="00C8552B">
      <w:pPr>
        <w:spacing w:line="360" w:lineRule="auto"/>
        <w:ind w:firstLine="720"/>
        <w:jc w:val="both"/>
        <w:rPr>
          <w:szCs w:val="24"/>
        </w:rPr>
      </w:pPr>
      <w:bookmarkStart w:id="120" w:name="_Toc299209545"/>
      <w:r w:rsidRPr="008E6002">
        <w:rPr>
          <w:szCs w:val="24"/>
        </w:rPr>
        <w:t>La cuantificación del agua recuperada</w:t>
      </w:r>
      <w:r>
        <w:rPr>
          <w:szCs w:val="24"/>
        </w:rPr>
        <w:t xml:space="preserve"> se realizará de acuerdo a:</w:t>
      </w:r>
      <w:bookmarkStart w:id="121" w:name="_Toc299209546"/>
      <w:bookmarkEnd w:id="120"/>
    </w:p>
    <w:p w:rsidR="00D373EA" w:rsidRDefault="00C8552B" w:rsidP="00C8552B">
      <w:pPr>
        <w:spacing w:line="360" w:lineRule="auto"/>
        <w:jc w:val="both"/>
        <w:rPr>
          <w:szCs w:val="24"/>
        </w:rPr>
      </w:pPr>
      <w:r>
        <w:rPr>
          <w:b/>
          <w:szCs w:val="24"/>
        </w:rPr>
        <w:tab/>
        <w:t xml:space="preserve">- </w:t>
      </w:r>
      <w:r w:rsidR="00D373EA" w:rsidRPr="00D373EA">
        <w:rPr>
          <w:b/>
          <w:szCs w:val="24"/>
        </w:rPr>
        <w:t>Microscopía Óptica</w:t>
      </w:r>
      <w:bookmarkEnd w:id="121"/>
      <w:r w:rsidR="00D373EA" w:rsidRPr="00D373EA">
        <w:rPr>
          <w:b/>
          <w:szCs w:val="24"/>
        </w:rPr>
        <w:t>:</w:t>
      </w:r>
      <w:r w:rsidR="00D373EA" w:rsidRPr="00D373EA">
        <w:rPr>
          <w:szCs w:val="24"/>
        </w:rPr>
        <w:t xml:space="preserve"> </w:t>
      </w:r>
      <w:bookmarkStart w:id="122" w:name="_Toc299209547"/>
      <w:r w:rsidR="00D373EA" w:rsidRPr="00D373EA">
        <w:rPr>
          <w:szCs w:val="24"/>
        </w:rPr>
        <w:t>Se cuenta con un sistema de equipos conformado por un microscopio Nikon Eclipse ME-600, un computador, una cámara captadora de imágenes CCD y el programa Image Pro Plus</w:t>
      </w:r>
      <w:bookmarkEnd w:id="122"/>
      <w:r w:rsidR="00A8565C">
        <w:rPr>
          <w:szCs w:val="24"/>
        </w:rPr>
        <w:t>. En la figura siguiente se esquematiza el procedimiento general de esta técnica de análisis óptico:</w:t>
      </w:r>
    </w:p>
    <w:p w:rsidR="00A8565C" w:rsidRDefault="00A8565C" w:rsidP="00850B9E">
      <w:pPr>
        <w:spacing w:before="240" w:line="360" w:lineRule="auto"/>
        <w:jc w:val="both"/>
        <w:rPr>
          <w:szCs w:val="24"/>
        </w:rPr>
      </w:pPr>
    </w:p>
    <w:p w:rsidR="00C8552B" w:rsidRDefault="00C8552B" w:rsidP="00850B9E">
      <w:pPr>
        <w:spacing w:before="240" w:line="360" w:lineRule="auto"/>
        <w:jc w:val="both"/>
        <w:rPr>
          <w:szCs w:val="24"/>
        </w:rPr>
      </w:pPr>
    </w:p>
    <w:p w:rsidR="00A8565C" w:rsidRDefault="00A8565C" w:rsidP="00850B9E">
      <w:pPr>
        <w:spacing w:before="240" w:line="360" w:lineRule="auto"/>
        <w:jc w:val="both"/>
        <w:rPr>
          <w:szCs w:val="24"/>
        </w:rPr>
      </w:pPr>
    </w:p>
    <w:p w:rsidR="00A8565C" w:rsidRDefault="00A8565C" w:rsidP="00850B9E">
      <w:pPr>
        <w:spacing w:before="240" w:line="360" w:lineRule="auto"/>
        <w:jc w:val="both"/>
        <w:rPr>
          <w:szCs w:val="24"/>
        </w:rPr>
      </w:pPr>
    </w:p>
    <w:p w:rsidR="00A8565C" w:rsidRPr="00D373EA" w:rsidRDefault="00A8565C" w:rsidP="00850B9E">
      <w:pPr>
        <w:spacing w:before="240" w:line="360" w:lineRule="auto"/>
        <w:jc w:val="both"/>
        <w:rPr>
          <w:szCs w:val="24"/>
        </w:rPr>
      </w:pPr>
    </w:p>
    <w:p w:rsidR="00D373EA" w:rsidRDefault="00D373EA" w:rsidP="00850B9E">
      <w:pPr>
        <w:spacing w:line="360" w:lineRule="auto"/>
        <w:jc w:val="both"/>
        <w:rPr>
          <w:szCs w:val="24"/>
        </w:rPr>
      </w:pPr>
    </w:p>
    <w:p w:rsidR="00A8565C" w:rsidRDefault="00A8565C" w:rsidP="00850B9E">
      <w:pPr>
        <w:tabs>
          <w:tab w:val="left" w:pos="0"/>
        </w:tabs>
        <w:spacing w:line="360" w:lineRule="auto"/>
        <w:jc w:val="both"/>
        <w:rPr>
          <w:iCs/>
          <w:szCs w:val="24"/>
        </w:rPr>
      </w:pPr>
    </w:p>
    <w:p w:rsidR="00A8565C" w:rsidRDefault="00A73CD2" w:rsidP="00A8565C">
      <w:pPr>
        <w:tabs>
          <w:tab w:val="left" w:pos="720"/>
        </w:tabs>
        <w:spacing w:line="360" w:lineRule="auto"/>
        <w:jc w:val="both"/>
        <w:rPr>
          <w:iCs/>
          <w:szCs w:val="24"/>
        </w:rPr>
      </w:pPr>
      <w:r>
        <w:rPr>
          <w:iCs/>
          <w:noProof/>
          <w:szCs w:val="24"/>
          <w:lang w:val="en-US" w:eastAsia="en-US"/>
        </w:rPr>
        <w:pict>
          <v:roundrect id="_x0000_s1600" style="position:absolute;left:0;text-align:left;margin-left:41.5pt;margin-top:-5.4pt;width:301.75pt;height:81.45pt;z-index:251841024" arcsize="10923f" filled="f" strokecolor="#d8d8d8 [2732]"/>
        </w:pict>
      </w:r>
      <w:r w:rsidR="00A8565C">
        <w:rPr>
          <w:iCs/>
          <w:noProof/>
          <w:szCs w:val="24"/>
          <w:lang w:val="en-US" w:eastAsia="en-US"/>
        </w:rPr>
        <w:drawing>
          <wp:anchor distT="0" distB="0" distL="114300" distR="114300" simplePos="0" relativeHeight="251835904" behindDoc="1" locked="0" layoutInCell="1" allowOverlap="1">
            <wp:simplePos x="0" y="0"/>
            <wp:positionH relativeFrom="column">
              <wp:posOffset>778780</wp:posOffset>
            </wp:positionH>
            <wp:positionV relativeFrom="paragraph">
              <wp:posOffset>128833</wp:posOffset>
            </wp:positionV>
            <wp:extent cx="3378859" cy="862641"/>
            <wp:effectExtent l="19050" t="0" r="0" b="0"/>
            <wp:wrapNone/>
            <wp:docPr id="6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3378859" cy="862641"/>
                    </a:xfrm>
                    <a:prstGeom prst="rect">
                      <a:avLst/>
                    </a:prstGeom>
                    <a:noFill/>
                    <a:ln w="9525">
                      <a:noFill/>
                      <a:miter lim="800000"/>
                      <a:headEnd/>
                      <a:tailEnd/>
                    </a:ln>
                  </pic:spPr>
                </pic:pic>
              </a:graphicData>
            </a:graphic>
          </wp:anchor>
        </w:drawing>
      </w:r>
      <w:r>
        <w:rPr>
          <w:iCs/>
          <w:noProof/>
          <w:szCs w:val="24"/>
          <w:lang w:val="en-US" w:eastAsia="en-US"/>
        </w:rPr>
        <w:pict>
          <v:rect id="_x0000_s1604" style="position:absolute;left:0;text-align:left;margin-left:134.9pt;margin-top:-5.4pt;width:130.5pt;height:23.2pt;z-index:251845120;mso-position-horizontal-relative:text;mso-position-vertical-relative:text" filled="f" fillcolor="#f2f2f2 [3052]" stroked="f">
            <v:fill color2="#fdfdfd"/>
            <v:textbox style="mso-next-textbox:#_x0000_s1604">
              <w:txbxContent>
                <w:p w:rsidR="004134A0" w:rsidRPr="00A0619D" w:rsidRDefault="004134A0" w:rsidP="00A8565C">
                  <w:pPr>
                    <w:jc w:val="center"/>
                    <w:rPr>
                      <w:b/>
                      <w:sz w:val="20"/>
                      <w:lang w:val="es-VE"/>
                    </w:rPr>
                  </w:pPr>
                  <w:r w:rsidRPr="00A0619D">
                    <w:rPr>
                      <w:b/>
                      <w:sz w:val="20"/>
                      <w:lang w:val="es-VE"/>
                    </w:rPr>
                    <w:t>Toma de muestra</w:t>
                  </w:r>
                </w:p>
              </w:txbxContent>
            </v:textbox>
          </v:rect>
        </w:pict>
      </w:r>
      <w:r>
        <w:rPr>
          <w:iCs/>
          <w:noProof/>
          <w:szCs w:val="24"/>
          <w:lang w:val="en-US" w:eastAsia="en-US"/>
        </w:rPr>
        <w:pict>
          <v:rect id="_x0000_s1603" style="position:absolute;left:0;text-align:left;margin-left:15.2pt;margin-top:-5.4pt;width:346.5pt;height:89.15pt;z-index:251844096;mso-position-horizontal-relative:text;mso-position-vertical-relative:text" filled="f" fillcolor="white [3212]" stroked="f" strokecolor="#d8d8d8 [2732]" strokeweight=".5pt"/>
        </w:pict>
      </w:r>
    </w:p>
    <w:p w:rsidR="00A8565C" w:rsidRDefault="00A8565C" w:rsidP="00A8565C">
      <w:pPr>
        <w:tabs>
          <w:tab w:val="left" w:pos="720"/>
        </w:tabs>
        <w:spacing w:line="360" w:lineRule="auto"/>
        <w:jc w:val="both"/>
        <w:rPr>
          <w:iCs/>
          <w:szCs w:val="24"/>
        </w:rPr>
      </w:pPr>
    </w:p>
    <w:p w:rsidR="00A8565C" w:rsidRDefault="00A8565C" w:rsidP="00A8565C">
      <w:pPr>
        <w:tabs>
          <w:tab w:val="left" w:pos="720"/>
        </w:tabs>
        <w:spacing w:line="360" w:lineRule="auto"/>
        <w:jc w:val="both"/>
        <w:rPr>
          <w:iCs/>
          <w:szCs w:val="24"/>
        </w:rPr>
      </w:pPr>
    </w:p>
    <w:p w:rsidR="00A8565C" w:rsidRDefault="00A73CD2" w:rsidP="00A8565C">
      <w:pPr>
        <w:tabs>
          <w:tab w:val="left" w:pos="720"/>
        </w:tabs>
        <w:spacing w:line="360" w:lineRule="auto"/>
        <w:jc w:val="both"/>
        <w:rPr>
          <w:iCs/>
          <w:szCs w:val="24"/>
        </w:rPr>
      </w:pPr>
      <w:r>
        <w:rPr>
          <w:iCs/>
          <w:noProof/>
          <w:szCs w:val="24"/>
          <w:lang w:val="en-US"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02" type="#_x0000_t67" style="position:absolute;left:0;text-align:left;margin-left:259.4pt;margin-top:13.95pt;width:17.75pt;height:14pt;z-index:251843072" strokecolor="#d8d8d8 [2732]">
            <v:textbox style="layout-flow:vertical-ideographic"/>
          </v:shape>
        </w:pict>
      </w:r>
    </w:p>
    <w:p w:rsidR="00A8565C" w:rsidRDefault="00A73CD2" w:rsidP="00A8565C">
      <w:pPr>
        <w:tabs>
          <w:tab w:val="left" w:pos="720"/>
        </w:tabs>
        <w:spacing w:line="360" w:lineRule="auto"/>
        <w:jc w:val="both"/>
        <w:rPr>
          <w:iCs/>
          <w:szCs w:val="24"/>
        </w:rPr>
      </w:pPr>
      <w:r>
        <w:rPr>
          <w:iCs/>
          <w:noProof/>
          <w:szCs w:val="24"/>
          <w:lang w:val="en-US" w:eastAsia="en-US"/>
        </w:rPr>
        <w:pict>
          <v:roundrect id="_x0000_s1609" style="position:absolute;left:0;text-align:left;margin-left:207.05pt;margin-top:8.65pt;width:136.2pt;height:104.15pt;z-index:251850240" arcsize="10923f" filled="f" strokecolor="#d8d8d8 [2732]"/>
        </w:pict>
      </w:r>
      <w:r>
        <w:rPr>
          <w:iCs/>
          <w:noProof/>
          <w:szCs w:val="24"/>
          <w:lang w:val="en-US" w:eastAsia="en-US"/>
        </w:rPr>
        <w:pict>
          <v:roundrect id="_x0000_s1610" style="position:absolute;left:0;text-align:left;margin-left:46.95pt;margin-top:8.65pt;width:137.8pt;height:104.15pt;z-index:251851264" arcsize="10923f" filled="f" strokecolor="#d8d8d8 [2732]"/>
        </w:pict>
      </w:r>
      <w:r>
        <w:rPr>
          <w:iCs/>
          <w:noProof/>
          <w:szCs w:val="24"/>
          <w:lang w:val="en-US" w:eastAsia="en-US"/>
        </w:rPr>
        <w:pict>
          <v:rect id="_x0000_s1601" style="position:absolute;left:0;text-align:left;margin-left:210.55pt;margin-top:8.65pt;width:121.2pt;height:32.7pt;z-index:251842048" filled="f" fillcolor="white [3212]" stroked="f" strokecolor="#a5a5a5 [2092]" strokeweight=".5pt">
            <v:textbox style="mso-next-textbox:#_x0000_s1601">
              <w:txbxContent>
                <w:p w:rsidR="004134A0" w:rsidRPr="00A0619D" w:rsidRDefault="004134A0" w:rsidP="00A8565C">
                  <w:pPr>
                    <w:jc w:val="center"/>
                    <w:rPr>
                      <w:b/>
                      <w:sz w:val="20"/>
                    </w:rPr>
                  </w:pPr>
                  <w:r w:rsidRPr="00A0619D">
                    <w:rPr>
                      <w:b/>
                      <w:sz w:val="20"/>
                      <w:lang w:val="es-VE"/>
                    </w:rPr>
                    <w:t>Visualización de la muestra</w:t>
                  </w:r>
                </w:p>
              </w:txbxContent>
            </v:textbox>
          </v:rect>
        </w:pict>
      </w:r>
      <w:r>
        <w:rPr>
          <w:iCs/>
          <w:noProof/>
          <w:szCs w:val="24"/>
          <w:lang w:val="en-US" w:eastAsia="en-US"/>
        </w:rPr>
        <w:pict>
          <v:shape id="_x0000_s1615" type="#_x0000_t67" style="position:absolute;left:0;text-align:left;margin-left:187.25pt;margin-top:59.6pt;width:17.75pt;height:21.5pt;rotation:90;z-index:251856384" strokecolor="#d8d8d8 [2732]">
            <v:textbox style="layout-flow:vertical-ideographic"/>
          </v:shape>
        </w:pict>
      </w:r>
      <w:r>
        <w:rPr>
          <w:iCs/>
          <w:noProof/>
          <w:szCs w:val="24"/>
          <w:lang w:val="en-US" w:eastAsia="en-US"/>
        </w:rPr>
        <w:pict>
          <v:rect id="_x0000_s1608" style="position:absolute;left:0;text-align:left;margin-left:61.6pt;margin-top:5.35pt;width:97.85pt;height:50.35pt;z-index:251849216" filled="f" fillcolor="white [3212]" stroked="f" strokecolor="#a5a5a5 [2092]" strokeweight=".5pt">
            <v:textbox style="mso-next-textbox:#_x0000_s1608">
              <w:txbxContent>
                <w:p w:rsidR="004134A0" w:rsidRPr="00A0619D" w:rsidRDefault="004134A0" w:rsidP="00A8565C">
                  <w:pPr>
                    <w:jc w:val="center"/>
                    <w:rPr>
                      <w:b/>
                      <w:sz w:val="20"/>
                      <w:lang w:val="es-VE"/>
                    </w:rPr>
                  </w:pPr>
                  <w:r w:rsidRPr="00A0619D">
                    <w:rPr>
                      <w:b/>
                      <w:sz w:val="20"/>
                      <w:lang w:val="es-VE"/>
                    </w:rPr>
                    <w:t>Aplicación del campo eléctrico</w:t>
                  </w:r>
                </w:p>
                <w:p w:rsidR="004134A0" w:rsidRPr="00341897" w:rsidRDefault="004134A0" w:rsidP="00A8565C"/>
              </w:txbxContent>
            </v:textbox>
          </v:rect>
        </w:pict>
      </w:r>
    </w:p>
    <w:p w:rsidR="00A8565C" w:rsidRDefault="00A8565C" w:rsidP="00A8565C">
      <w:pPr>
        <w:tabs>
          <w:tab w:val="left" w:pos="720"/>
        </w:tabs>
        <w:spacing w:line="360" w:lineRule="auto"/>
        <w:jc w:val="both"/>
        <w:rPr>
          <w:iCs/>
          <w:szCs w:val="24"/>
        </w:rPr>
      </w:pPr>
      <w:r>
        <w:rPr>
          <w:iCs/>
          <w:noProof/>
          <w:szCs w:val="24"/>
          <w:lang w:val="en-US" w:eastAsia="en-US"/>
        </w:rPr>
        <w:drawing>
          <wp:anchor distT="0" distB="0" distL="114300" distR="114300" simplePos="0" relativeHeight="251836928" behindDoc="1" locked="0" layoutInCell="1" allowOverlap="1">
            <wp:simplePos x="0" y="0"/>
            <wp:positionH relativeFrom="column">
              <wp:posOffset>2645493</wp:posOffset>
            </wp:positionH>
            <wp:positionV relativeFrom="paragraph">
              <wp:posOffset>159054</wp:posOffset>
            </wp:positionV>
            <wp:extent cx="958961" cy="930302"/>
            <wp:effectExtent l="19050" t="0" r="0" b="0"/>
            <wp:wrapNone/>
            <wp:docPr id="67" name="Imagen 15" descr="Eclipse 50i Clinical/Laboratory Microscop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lipse 50i Clinical/Laboratory Microscope">
                      <a:hlinkClick r:id="rId41"/>
                    </pic:cNvPr>
                    <pic:cNvPicPr>
                      <a:picLocks noChangeAspect="1" noChangeArrowheads="1"/>
                    </pic:cNvPicPr>
                  </pic:nvPicPr>
                  <pic:blipFill>
                    <a:blip r:embed="rId42" cstate="print"/>
                    <a:srcRect/>
                    <a:stretch>
                      <a:fillRect/>
                    </a:stretch>
                  </pic:blipFill>
                  <pic:spPr bwMode="auto">
                    <a:xfrm>
                      <a:off x="0" y="0"/>
                      <a:ext cx="958961" cy="930302"/>
                    </a:xfrm>
                    <a:prstGeom prst="rect">
                      <a:avLst/>
                    </a:prstGeom>
                    <a:noFill/>
                    <a:ln w="9525">
                      <a:noFill/>
                      <a:miter lim="800000"/>
                      <a:headEnd/>
                      <a:tailEnd/>
                    </a:ln>
                  </pic:spPr>
                </pic:pic>
              </a:graphicData>
            </a:graphic>
          </wp:anchor>
        </w:drawing>
      </w:r>
      <w:r>
        <w:rPr>
          <w:iCs/>
          <w:noProof/>
          <w:szCs w:val="24"/>
          <w:lang w:val="en-US" w:eastAsia="en-US"/>
        </w:rPr>
        <w:drawing>
          <wp:anchor distT="0" distB="0" distL="114300" distR="114300" simplePos="0" relativeHeight="251840000" behindDoc="0" locked="0" layoutInCell="1" allowOverlap="1">
            <wp:simplePos x="0" y="0"/>
            <wp:positionH relativeFrom="column">
              <wp:posOffset>747610</wp:posOffset>
            </wp:positionH>
            <wp:positionV relativeFrom="paragraph">
              <wp:posOffset>171755</wp:posOffset>
            </wp:positionV>
            <wp:extent cx="669719" cy="902525"/>
            <wp:effectExtent l="19050" t="0" r="0" b="0"/>
            <wp:wrapNone/>
            <wp:docPr id="69" name="Imagen 25" descr="C:\Users\Edward Fung\Desktop\Tesis\Cindy\Fotografías\fotos will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dward Fung\Desktop\Tesis\Cindy\Fotografías\fotos will 008.jpg"/>
                    <pic:cNvPicPr>
                      <a:picLocks noChangeAspect="1" noChangeArrowheads="1"/>
                    </pic:cNvPicPr>
                  </pic:nvPicPr>
                  <pic:blipFill>
                    <a:blip r:embed="rId43" cstate="print"/>
                    <a:srcRect/>
                    <a:stretch>
                      <a:fillRect/>
                    </a:stretch>
                  </pic:blipFill>
                  <pic:spPr bwMode="auto">
                    <a:xfrm>
                      <a:off x="0" y="0"/>
                      <a:ext cx="669719" cy="902525"/>
                    </a:xfrm>
                    <a:prstGeom prst="rect">
                      <a:avLst/>
                    </a:prstGeom>
                    <a:noFill/>
                    <a:ln w="9525">
                      <a:noFill/>
                      <a:miter lim="800000"/>
                      <a:headEnd/>
                      <a:tailEnd/>
                    </a:ln>
                  </pic:spPr>
                </pic:pic>
              </a:graphicData>
            </a:graphic>
          </wp:anchor>
        </w:drawing>
      </w:r>
    </w:p>
    <w:p w:rsidR="00A8565C" w:rsidRDefault="00A73CD2" w:rsidP="00A8565C">
      <w:pPr>
        <w:tabs>
          <w:tab w:val="left" w:pos="720"/>
        </w:tabs>
        <w:spacing w:line="360" w:lineRule="auto"/>
        <w:jc w:val="both"/>
        <w:rPr>
          <w:iCs/>
          <w:szCs w:val="24"/>
        </w:rPr>
      </w:pPr>
      <w:r>
        <w:rPr>
          <w:iCs/>
          <w:noProof/>
          <w:szCs w:val="24"/>
          <w:lang w:val="en-US" w:eastAsia="en-US"/>
        </w:rPr>
        <w:pict>
          <v:rect id="_x0000_s1622" style="position:absolute;left:0;text-align:left;margin-left:274.05pt;margin-top:1.7pt;width:75.45pt;height:50.35pt;z-index:251863552" filled="f" fillcolor="white [3212]" stroked="f" strokecolor="#a5a5a5 [2092]" strokeweight=".5pt">
            <v:textbox style="mso-next-textbox:#_x0000_s1622">
              <w:txbxContent>
                <w:p w:rsidR="004134A0" w:rsidRPr="000F241C" w:rsidRDefault="004134A0" w:rsidP="00A8565C">
                  <w:pPr>
                    <w:jc w:val="center"/>
                    <w:rPr>
                      <w:sz w:val="20"/>
                      <w:lang w:val="es-VE"/>
                    </w:rPr>
                  </w:pPr>
                  <w:r>
                    <w:rPr>
                      <w:sz w:val="20"/>
                      <w:lang w:val="es-VE"/>
                    </w:rPr>
                    <w:t>Microscopio NIKON MED 600</w:t>
                  </w:r>
                </w:p>
                <w:p w:rsidR="004134A0" w:rsidRPr="000F241C" w:rsidRDefault="004134A0" w:rsidP="00A8565C"/>
              </w:txbxContent>
            </v:textbox>
          </v:rect>
        </w:pict>
      </w:r>
      <w:r>
        <w:rPr>
          <w:iCs/>
          <w:noProof/>
          <w:szCs w:val="24"/>
          <w:lang w:val="en-US" w:eastAsia="en-US"/>
        </w:rPr>
        <w:pict>
          <v:shape id="_x0000_s1623" type="#_x0000_t32" style="position:absolute;left:0;text-align:left;margin-left:263.65pt;margin-top:10.75pt;width:21.7pt;height:.05pt;flip:x;z-index:251864576" o:connectortype="straight">
            <v:stroke endarrow="block"/>
          </v:shape>
        </w:pict>
      </w:r>
      <w:r>
        <w:rPr>
          <w:iCs/>
          <w:noProof/>
          <w:szCs w:val="24"/>
          <w:lang w:val="en-US" w:eastAsia="en-US"/>
        </w:rPr>
        <w:pict>
          <v:rect id="_x0000_s1621" style="position:absolute;left:0;text-align:left;margin-left:118.55pt;margin-top:1.8pt;width:75.45pt;height:50.35pt;z-index:251862528" filled="f" fillcolor="white [3212]" stroked="f" strokecolor="#a5a5a5 [2092]" strokeweight=".5pt">
            <v:textbox style="mso-next-textbox:#_x0000_s1621">
              <w:txbxContent>
                <w:p w:rsidR="004134A0" w:rsidRPr="000F241C" w:rsidRDefault="004134A0" w:rsidP="00A8565C">
                  <w:pPr>
                    <w:jc w:val="center"/>
                    <w:rPr>
                      <w:sz w:val="20"/>
                      <w:lang w:val="es-VE"/>
                    </w:rPr>
                  </w:pPr>
                  <w:r>
                    <w:rPr>
                      <w:sz w:val="20"/>
                      <w:lang w:val="es-VE"/>
                    </w:rPr>
                    <w:t>Fuente de poder</w:t>
                  </w:r>
                </w:p>
                <w:p w:rsidR="004134A0" w:rsidRPr="000F241C" w:rsidRDefault="004134A0" w:rsidP="00A8565C"/>
              </w:txbxContent>
            </v:textbox>
          </v:rect>
        </w:pict>
      </w:r>
    </w:p>
    <w:p w:rsidR="00A8565C" w:rsidRDefault="00A8565C" w:rsidP="00A8565C">
      <w:pPr>
        <w:tabs>
          <w:tab w:val="left" w:pos="720"/>
        </w:tabs>
        <w:spacing w:line="360" w:lineRule="auto"/>
        <w:jc w:val="both"/>
        <w:rPr>
          <w:iCs/>
          <w:szCs w:val="24"/>
        </w:rPr>
      </w:pPr>
    </w:p>
    <w:p w:rsidR="00A8565C" w:rsidRDefault="00A73CD2" w:rsidP="00A8565C">
      <w:pPr>
        <w:tabs>
          <w:tab w:val="left" w:pos="720"/>
        </w:tabs>
        <w:spacing w:line="360" w:lineRule="auto"/>
        <w:jc w:val="center"/>
        <w:rPr>
          <w:iCs/>
          <w:szCs w:val="24"/>
        </w:rPr>
      </w:pPr>
      <w:r>
        <w:rPr>
          <w:iCs/>
          <w:noProof/>
          <w:szCs w:val="24"/>
          <w:lang w:val="en-US" w:eastAsia="en-US"/>
        </w:rPr>
        <w:pict>
          <v:shape id="_x0000_s1620" type="#_x0000_t32" style="position:absolute;left:0;text-align:left;margin-left:108pt;margin-top:-21.6pt;width:25.9pt;height:0;flip:x;z-index:251861504" o:connectortype="straight">
            <v:stroke endarrow="block"/>
          </v:shape>
        </w:pict>
      </w:r>
      <w:r>
        <w:rPr>
          <w:iCs/>
          <w:noProof/>
          <w:szCs w:val="24"/>
          <w:lang w:val="en-US" w:eastAsia="en-US"/>
        </w:rPr>
        <w:pict>
          <v:rect id="_x0000_s1619" style="position:absolute;left:0;text-align:left;margin-left:113.6pt;margin-top:.6pt;width:75.45pt;height:50.35pt;z-index:251860480" filled="f" fillcolor="white [3212]" stroked="f" strokecolor="#a5a5a5 [2092]" strokeweight=".5pt">
            <v:textbox style="mso-next-textbox:#_x0000_s1619">
              <w:txbxContent>
                <w:p w:rsidR="004134A0" w:rsidRPr="000F241C" w:rsidRDefault="004134A0" w:rsidP="00A8565C">
                  <w:pPr>
                    <w:jc w:val="center"/>
                    <w:rPr>
                      <w:sz w:val="20"/>
                      <w:lang w:val="es-VE"/>
                    </w:rPr>
                  </w:pPr>
                  <w:r w:rsidRPr="000F241C">
                    <w:rPr>
                      <w:sz w:val="20"/>
                      <w:lang w:val="es-VE"/>
                    </w:rPr>
                    <w:t>Celda de observación</w:t>
                  </w:r>
                </w:p>
                <w:p w:rsidR="004134A0" w:rsidRPr="000F241C" w:rsidRDefault="004134A0" w:rsidP="00A8565C"/>
              </w:txbxContent>
            </v:textbox>
          </v:rect>
        </w:pict>
      </w:r>
      <w:r>
        <w:rPr>
          <w:iCs/>
          <w:noProof/>
          <w:szCs w:val="24"/>
          <w:lang w:val="en-US" w:eastAsia="en-US"/>
        </w:rPr>
        <w:pict>
          <v:shape id="_x0000_s1618" type="#_x0000_t32" style="position:absolute;left:0;text-align:left;margin-left:99.75pt;margin-top:15.95pt;width:25.9pt;height:0;flip:x;z-index:251859456" o:connectortype="straight">
            <v:stroke endarrow="block"/>
          </v:shape>
        </w:pict>
      </w:r>
    </w:p>
    <w:p w:rsidR="00A8565C" w:rsidRDefault="00A73CD2" w:rsidP="00A8565C">
      <w:pPr>
        <w:tabs>
          <w:tab w:val="left" w:pos="720"/>
        </w:tabs>
        <w:spacing w:line="360" w:lineRule="auto"/>
        <w:jc w:val="center"/>
        <w:rPr>
          <w:iCs/>
          <w:szCs w:val="24"/>
        </w:rPr>
      </w:pPr>
      <w:r>
        <w:rPr>
          <w:iCs/>
          <w:noProof/>
          <w:szCs w:val="24"/>
          <w:lang w:val="en-US" w:eastAsia="en-US"/>
        </w:rPr>
        <w:pict>
          <v:shape id="_x0000_s1614" type="#_x0000_t67" style="position:absolute;left:0;text-align:left;margin-left:99.75pt;margin-top:9.3pt;width:17.75pt;height:16.3pt;z-index:251855360" strokecolor="#d8d8d8 [2732]">
            <v:textbox style="layout-flow:vertical-ideographic"/>
          </v:shape>
        </w:pict>
      </w:r>
    </w:p>
    <w:p w:rsidR="00A8565C" w:rsidRDefault="00A73CD2" w:rsidP="00A8565C">
      <w:pPr>
        <w:tabs>
          <w:tab w:val="left" w:pos="720"/>
        </w:tabs>
        <w:spacing w:line="360" w:lineRule="auto"/>
        <w:jc w:val="center"/>
        <w:rPr>
          <w:iCs/>
          <w:szCs w:val="24"/>
        </w:rPr>
      </w:pPr>
      <w:r>
        <w:rPr>
          <w:iCs/>
          <w:noProof/>
          <w:szCs w:val="24"/>
          <w:lang w:val="en-US" w:eastAsia="en-US"/>
        </w:rPr>
        <w:pict>
          <v:roundrect id="_x0000_s1613" style="position:absolute;left:0;text-align:left;margin-left:205.9pt;margin-top:4.9pt;width:137.35pt;height:110.75pt;z-index:251854336" arcsize="10923f" filled="f" strokecolor="#d8d8d8 [2732]"/>
        </w:pict>
      </w:r>
      <w:r>
        <w:rPr>
          <w:iCs/>
          <w:noProof/>
          <w:szCs w:val="24"/>
          <w:lang w:val="en-US" w:eastAsia="en-US"/>
        </w:rPr>
        <w:pict>
          <v:shape id="_x0000_s1611" type="#_x0000_t67" style="position:absolute;left:0;text-align:left;margin-left:186.65pt;margin-top:44.85pt;width:17.75pt;height:21.5pt;rotation:270;z-index:251852288" strokecolor="#d8d8d8 [2732]">
            <v:textbox style="layout-flow:vertical-ideographic"/>
          </v:shape>
        </w:pict>
      </w:r>
      <w:r>
        <w:rPr>
          <w:iCs/>
          <w:noProof/>
          <w:szCs w:val="24"/>
          <w:lang w:val="en-US" w:eastAsia="en-US"/>
        </w:rPr>
        <w:pict>
          <v:roundrect id="_x0000_s1612" style="position:absolute;left:0;text-align:left;margin-left:46.9pt;margin-top:4.9pt;width:137.8pt;height:110.75pt;z-index:251853312" arcsize="10923f" filled="f" strokecolor="#d8d8d8 [2732]"/>
        </w:pict>
      </w:r>
      <w:r>
        <w:rPr>
          <w:iCs/>
          <w:noProof/>
          <w:szCs w:val="24"/>
          <w:lang w:val="en-US" w:eastAsia="en-US"/>
        </w:rPr>
        <w:pict>
          <v:rect id="_x0000_s1606" style="position:absolute;left:0;text-align:left;margin-left:215.15pt;margin-top:9.1pt;width:111pt;height:36.75pt;z-index:251847168" filled="f" stroked="f">
            <v:textbox style="mso-next-textbox:#_x0000_s1606">
              <w:txbxContent>
                <w:p w:rsidR="004134A0" w:rsidRPr="00A0619D" w:rsidRDefault="004134A0" w:rsidP="00A8565C">
                  <w:pPr>
                    <w:jc w:val="center"/>
                    <w:rPr>
                      <w:b/>
                      <w:sz w:val="20"/>
                      <w:lang w:val="es-VE"/>
                    </w:rPr>
                  </w:pPr>
                  <w:r w:rsidRPr="00A0619D">
                    <w:rPr>
                      <w:b/>
                      <w:sz w:val="20"/>
                      <w:lang w:val="es-VE"/>
                    </w:rPr>
                    <w:t>Análisis de imagen</w:t>
                  </w:r>
                </w:p>
              </w:txbxContent>
            </v:textbox>
          </v:rect>
        </w:pict>
      </w:r>
      <w:r>
        <w:rPr>
          <w:iCs/>
          <w:noProof/>
          <w:szCs w:val="24"/>
          <w:lang w:val="en-US" w:eastAsia="en-US"/>
        </w:rPr>
        <w:pict>
          <v:rect id="_x0000_s1605" style="position:absolute;left:0;text-align:left;margin-left:37.6pt;margin-top:9.95pt;width:147.1pt;height:36.75pt;z-index:251846144" stroked="f">
            <v:textbox style="mso-next-textbox:#_x0000_s1605">
              <w:txbxContent>
                <w:p w:rsidR="004134A0" w:rsidRPr="00A0619D" w:rsidRDefault="004134A0" w:rsidP="00A8565C">
                  <w:pPr>
                    <w:jc w:val="center"/>
                    <w:rPr>
                      <w:b/>
                      <w:sz w:val="20"/>
                      <w:lang w:val="es-VE"/>
                    </w:rPr>
                  </w:pPr>
                  <w:r w:rsidRPr="00A0619D">
                    <w:rPr>
                      <w:b/>
                      <w:sz w:val="20"/>
                      <w:lang w:val="es-VE"/>
                    </w:rPr>
                    <w:t>Captura de imagen</w:t>
                  </w:r>
                </w:p>
              </w:txbxContent>
            </v:textbox>
          </v:rect>
        </w:pict>
      </w:r>
    </w:p>
    <w:p w:rsidR="00A8565C" w:rsidRDefault="00A8565C" w:rsidP="00A8565C">
      <w:pPr>
        <w:tabs>
          <w:tab w:val="left" w:pos="720"/>
          <w:tab w:val="left" w:pos="6005"/>
        </w:tabs>
        <w:spacing w:line="360" w:lineRule="auto"/>
        <w:rPr>
          <w:iCs/>
          <w:szCs w:val="24"/>
        </w:rPr>
      </w:pPr>
      <w:r>
        <w:rPr>
          <w:iCs/>
          <w:noProof/>
          <w:szCs w:val="24"/>
          <w:lang w:val="en-US" w:eastAsia="en-US"/>
        </w:rPr>
        <w:drawing>
          <wp:anchor distT="0" distB="0" distL="114300" distR="114300" simplePos="0" relativeHeight="251837952" behindDoc="0" locked="0" layoutInCell="1" allowOverlap="1">
            <wp:simplePos x="0" y="0"/>
            <wp:positionH relativeFrom="column">
              <wp:posOffset>2748860</wp:posOffset>
            </wp:positionH>
            <wp:positionV relativeFrom="paragraph">
              <wp:posOffset>92462</wp:posOffset>
            </wp:positionV>
            <wp:extent cx="1412185" cy="826935"/>
            <wp:effectExtent l="19050" t="0" r="0" b="0"/>
            <wp:wrapNone/>
            <wp:docPr id="7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1412185" cy="826935"/>
                    </a:xfrm>
                    <a:prstGeom prst="rect">
                      <a:avLst/>
                    </a:prstGeom>
                    <a:noFill/>
                    <a:ln w="9525">
                      <a:noFill/>
                      <a:miter lim="800000"/>
                      <a:headEnd/>
                      <a:tailEnd/>
                    </a:ln>
                  </pic:spPr>
                </pic:pic>
              </a:graphicData>
            </a:graphic>
          </wp:anchor>
        </w:drawing>
      </w:r>
      <w:r>
        <w:rPr>
          <w:iCs/>
          <w:noProof/>
          <w:szCs w:val="24"/>
          <w:lang w:val="en-US" w:eastAsia="en-US"/>
        </w:rPr>
        <w:drawing>
          <wp:anchor distT="0" distB="0" distL="114300" distR="114300" simplePos="0" relativeHeight="251838976" behindDoc="0" locked="0" layoutInCell="1" allowOverlap="1">
            <wp:simplePos x="0" y="0"/>
            <wp:positionH relativeFrom="column">
              <wp:posOffset>824644</wp:posOffset>
            </wp:positionH>
            <wp:positionV relativeFrom="paragraph">
              <wp:posOffset>124267</wp:posOffset>
            </wp:positionV>
            <wp:extent cx="656811" cy="938254"/>
            <wp:effectExtent l="19050" t="0" r="0" b="0"/>
            <wp:wrapNone/>
            <wp:docPr id="7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656811" cy="938254"/>
                    </a:xfrm>
                    <a:prstGeom prst="rect">
                      <a:avLst/>
                    </a:prstGeom>
                    <a:noFill/>
                    <a:ln w="9525">
                      <a:noFill/>
                      <a:miter lim="800000"/>
                      <a:headEnd/>
                      <a:tailEnd/>
                    </a:ln>
                  </pic:spPr>
                </pic:pic>
              </a:graphicData>
            </a:graphic>
          </wp:anchor>
        </w:drawing>
      </w:r>
      <w:r>
        <w:rPr>
          <w:iCs/>
          <w:szCs w:val="24"/>
        </w:rPr>
        <w:tab/>
      </w:r>
    </w:p>
    <w:p w:rsidR="00A8565C" w:rsidRDefault="00A73CD2" w:rsidP="00A8565C">
      <w:pPr>
        <w:tabs>
          <w:tab w:val="left" w:pos="720"/>
        </w:tabs>
        <w:spacing w:line="360" w:lineRule="auto"/>
        <w:jc w:val="center"/>
        <w:rPr>
          <w:iCs/>
          <w:szCs w:val="24"/>
        </w:rPr>
      </w:pPr>
      <w:r>
        <w:rPr>
          <w:iCs/>
          <w:noProof/>
          <w:szCs w:val="24"/>
          <w:lang w:val="en-US" w:eastAsia="en-US"/>
        </w:rPr>
        <w:pict>
          <v:rect id="_x0000_s1625" style="position:absolute;left:0;text-align:left;margin-left:127.9pt;margin-top:6.4pt;width:55.65pt;height:50.35pt;z-index:251866624" filled="f" fillcolor="white [3212]" stroked="f" strokecolor="#a5a5a5 [2092]" strokeweight=".5pt">
            <v:textbox style="mso-next-textbox:#_x0000_s1625">
              <w:txbxContent>
                <w:p w:rsidR="004134A0" w:rsidRPr="000F241C" w:rsidRDefault="004134A0" w:rsidP="00A8565C">
                  <w:pPr>
                    <w:jc w:val="center"/>
                    <w:rPr>
                      <w:sz w:val="20"/>
                      <w:lang w:val="es-VE"/>
                    </w:rPr>
                  </w:pPr>
                  <w:r>
                    <w:rPr>
                      <w:sz w:val="20"/>
                      <w:lang w:val="es-VE"/>
                    </w:rPr>
                    <w:t>Cámara CCD</w:t>
                  </w:r>
                </w:p>
                <w:p w:rsidR="004134A0" w:rsidRPr="000F241C" w:rsidRDefault="004134A0" w:rsidP="00A8565C"/>
              </w:txbxContent>
            </v:textbox>
          </v:rect>
        </w:pict>
      </w:r>
    </w:p>
    <w:p w:rsidR="00A8565C" w:rsidRDefault="00A73CD2" w:rsidP="00A8565C">
      <w:pPr>
        <w:tabs>
          <w:tab w:val="left" w:pos="720"/>
        </w:tabs>
        <w:spacing w:line="360" w:lineRule="auto"/>
        <w:jc w:val="center"/>
        <w:rPr>
          <w:iCs/>
          <w:szCs w:val="24"/>
        </w:rPr>
      </w:pPr>
      <w:r>
        <w:rPr>
          <w:iCs/>
          <w:noProof/>
          <w:szCs w:val="24"/>
          <w:lang w:val="en-US" w:eastAsia="en-US"/>
        </w:rPr>
        <w:pict>
          <v:shape id="_x0000_s1624" type="#_x0000_t32" style="position:absolute;left:0;text-align:left;margin-left:116.45pt;margin-top:.9pt;width:21.7pt;height:.05pt;flip:x;z-index:251865600" o:connectortype="straight">
            <v:stroke endarrow="block"/>
          </v:shape>
        </w:pict>
      </w:r>
    </w:p>
    <w:p w:rsidR="00A8565C" w:rsidRDefault="00A73CD2" w:rsidP="00A8565C">
      <w:pPr>
        <w:tabs>
          <w:tab w:val="left" w:pos="720"/>
        </w:tabs>
        <w:spacing w:line="360" w:lineRule="auto"/>
        <w:jc w:val="center"/>
        <w:rPr>
          <w:iCs/>
          <w:szCs w:val="24"/>
        </w:rPr>
      </w:pPr>
      <w:r>
        <w:rPr>
          <w:iCs/>
          <w:noProof/>
          <w:szCs w:val="24"/>
          <w:lang w:val="en-US" w:eastAsia="en-US"/>
        </w:rPr>
        <w:pict>
          <v:rect id="_x0000_s1626" style="position:absolute;left:0;text-align:left;margin-left:194pt;margin-top:9.1pt;width:137.9pt;height:50.35pt;z-index:251867648" filled="f" fillcolor="white [3212]" stroked="f" strokecolor="#a5a5a5 [2092]" strokeweight=".5pt">
            <v:textbox style="mso-next-textbox:#_x0000_s1626">
              <w:txbxContent>
                <w:p w:rsidR="004134A0" w:rsidRPr="000F241C" w:rsidRDefault="004134A0" w:rsidP="00A8565C">
                  <w:pPr>
                    <w:jc w:val="center"/>
                    <w:rPr>
                      <w:sz w:val="20"/>
                      <w:lang w:val="es-VE"/>
                    </w:rPr>
                  </w:pPr>
                  <w:r>
                    <w:rPr>
                      <w:sz w:val="20"/>
                      <w:lang w:val="es-VE"/>
                    </w:rPr>
                    <w:t>Software Image Pro Plus</w:t>
                  </w:r>
                </w:p>
                <w:p w:rsidR="004134A0" w:rsidRPr="000F241C" w:rsidRDefault="004134A0" w:rsidP="00A8565C"/>
              </w:txbxContent>
            </v:textbox>
          </v:rect>
        </w:pict>
      </w:r>
    </w:p>
    <w:p w:rsidR="00A8565C" w:rsidRDefault="00A73CD2" w:rsidP="00A8565C">
      <w:pPr>
        <w:tabs>
          <w:tab w:val="left" w:pos="720"/>
        </w:tabs>
        <w:spacing w:line="360" w:lineRule="auto"/>
        <w:jc w:val="center"/>
        <w:rPr>
          <w:iCs/>
          <w:szCs w:val="24"/>
        </w:rPr>
      </w:pPr>
      <w:r>
        <w:rPr>
          <w:iCs/>
          <w:noProof/>
          <w:szCs w:val="24"/>
          <w:lang w:val="en-US" w:eastAsia="en-US"/>
        </w:rPr>
        <w:pict>
          <v:shape id="_x0000_s1617" type="#_x0000_t67" style="position:absolute;left:0;text-align:left;margin-left:245.9pt;margin-top:12.2pt;width:17.75pt;height:15pt;z-index:251858432" strokecolor="#d8d8d8 [2732]">
            <v:textbox style="layout-flow:vertical-ideographic"/>
          </v:shape>
        </w:pict>
      </w:r>
    </w:p>
    <w:p w:rsidR="00A8565C" w:rsidRDefault="00A73CD2" w:rsidP="00A8565C">
      <w:pPr>
        <w:tabs>
          <w:tab w:val="left" w:pos="720"/>
        </w:tabs>
        <w:spacing w:line="360" w:lineRule="auto"/>
        <w:jc w:val="center"/>
        <w:rPr>
          <w:iCs/>
          <w:szCs w:val="24"/>
        </w:rPr>
      </w:pPr>
      <w:r>
        <w:rPr>
          <w:iCs/>
          <w:noProof/>
          <w:szCs w:val="24"/>
          <w:lang w:val="en-US" w:eastAsia="en-US"/>
        </w:rPr>
        <w:pict>
          <v:roundrect id="_x0000_s1616" style="position:absolute;left:0;text-align:left;margin-left:113.6pt;margin-top:6.5pt;width:192.2pt;height:110.75pt;z-index:251857408" arcsize="10923f" filled="f" strokecolor="#d8d8d8 [2732]"/>
        </w:pict>
      </w:r>
      <w:r>
        <w:rPr>
          <w:iCs/>
          <w:noProof/>
          <w:szCs w:val="24"/>
          <w:lang w:val="en-US" w:eastAsia="en-US"/>
        </w:rPr>
        <w:pict>
          <v:rect id="_x0000_s1607" style="position:absolute;left:0;text-align:left;margin-left:159.45pt;margin-top:6.5pt;width:87.6pt;height:17.5pt;z-index:251848192" filled="f" stroked="f">
            <v:textbox style="mso-next-textbox:#_x0000_s1607">
              <w:txbxContent>
                <w:p w:rsidR="004134A0" w:rsidRPr="00E8444C" w:rsidRDefault="004134A0" w:rsidP="00A8565C">
                  <w:pPr>
                    <w:jc w:val="center"/>
                    <w:rPr>
                      <w:b/>
                      <w:sz w:val="20"/>
                      <w:lang w:val="es-VE"/>
                    </w:rPr>
                  </w:pPr>
                  <w:r w:rsidRPr="00E8444C">
                    <w:rPr>
                      <w:b/>
                      <w:sz w:val="20"/>
                      <w:lang w:val="es-VE"/>
                    </w:rPr>
                    <w:t>Resultados</w:t>
                  </w:r>
                </w:p>
              </w:txbxContent>
            </v:textbox>
          </v:rect>
        </w:pict>
      </w:r>
    </w:p>
    <w:p w:rsidR="00A8565C" w:rsidRDefault="00A8565C" w:rsidP="00A8565C">
      <w:pPr>
        <w:keepNext/>
        <w:tabs>
          <w:tab w:val="left" w:pos="720"/>
        </w:tabs>
        <w:spacing w:line="360" w:lineRule="auto"/>
        <w:jc w:val="center"/>
      </w:pPr>
      <w:r>
        <w:rPr>
          <w:iCs/>
          <w:noProof/>
          <w:szCs w:val="24"/>
          <w:lang w:val="en-US" w:eastAsia="en-US"/>
        </w:rPr>
        <w:drawing>
          <wp:inline distT="0" distB="0" distL="0" distR="0">
            <wp:extent cx="2219325" cy="866775"/>
            <wp:effectExtent l="19050" t="0" r="9525" b="0"/>
            <wp:docPr id="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219325" cy="866775"/>
                    </a:xfrm>
                    <a:prstGeom prst="rect">
                      <a:avLst/>
                    </a:prstGeom>
                    <a:noFill/>
                    <a:ln w="9525">
                      <a:noFill/>
                      <a:miter lim="800000"/>
                      <a:headEnd/>
                      <a:tailEnd/>
                    </a:ln>
                  </pic:spPr>
                </pic:pic>
              </a:graphicData>
            </a:graphic>
          </wp:inline>
        </w:drawing>
      </w:r>
    </w:p>
    <w:p w:rsidR="00A8565C" w:rsidRDefault="00A8565C" w:rsidP="00A8565C">
      <w:pPr>
        <w:pStyle w:val="Epgrafe"/>
        <w:spacing w:after="0"/>
      </w:pPr>
    </w:p>
    <w:p w:rsidR="00A8565C" w:rsidRDefault="00A8565C" w:rsidP="00A8565C">
      <w:pPr>
        <w:pStyle w:val="Epgrafe"/>
        <w:spacing w:after="0"/>
      </w:pPr>
    </w:p>
    <w:p w:rsidR="00A8565C" w:rsidRDefault="00A8565C" w:rsidP="00A8565C">
      <w:pPr>
        <w:pStyle w:val="Epgrafe"/>
        <w:spacing w:after="0"/>
      </w:pPr>
    </w:p>
    <w:p w:rsidR="00A8565C" w:rsidRDefault="00A8565C" w:rsidP="00A8565C">
      <w:pPr>
        <w:pStyle w:val="Epgrafe"/>
      </w:pPr>
      <w:bookmarkStart w:id="123" w:name="_Toc306490687"/>
      <w:bookmarkStart w:id="124" w:name="_Toc327481440"/>
      <w:r>
        <w:t>Figura N˚</w:t>
      </w:r>
      <w:fldSimple w:instr=" SEQ Figura_N° \* ARABIC ">
        <w:r w:rsidR="004A5F6F">
          <w:rPr>
            <w:noProof/>
          </w:rPr>
          <w:t>28</w:t>
        </w:r>
      </w:fldSimple>
      <w:r w:rsidR="00C76EB1">
        <w:t>:</w:t>
      </w:r>
      <w:r>
        <w:t xml:space="preserve"> Procedimiento general para la obtención de datos</w:t>
      </w:r>
      <w:r w:rsidR="00107EE1">
        <w:t xml:space="preserve"> empleando la técnica de m</w:t>
      </w:r>
      <w:r>
        <w:t>icroscopía óptica</w:t>
      </w:r>
      <w:r w:rsidRPr="00C17F12">
        <w:t>.</w:t>
      </w:r>
      <w:bookmarkEnd w:id="123"/>
      <w:bookmarkEnd w:id="124"/>
    </w:p>
    <w:p w:rsidR="001D0160" w:rsidRDefault="001D0160" w:rsidP="00A8565C">
      <w:pPr>
        <w:spacing w:before="240" w:line="360" w:lineRule="auto"/>
        <w:ind w:firstLine="720"/>
        <w:jc w:val="both"/>
        <w:rPr>
          <w:szCs w:val="24"/>
        </w:rPr>
      </w:pPr>
      <w:bookmarkStart w:id="125" w:name="_Toc299209549"/>
      <w:r>
        <w:rPr>
          <w:szCs w:val="24"/>
        </w:rPr>
        <w:t xml:space="preserve">A continuación se </w:t>
      </w:r>
      <w:r w:rsidR="00A8565C">
        <w:rPr>
          <w:szCs w:val="24"/>
        </w:rPr>
        <w:t>presentan</w:t>
      </w:r>
      <w:r>
        <w:rPr>
          <w:szCs w:val="24"/>
        </w:rPr>
        <w:t xml:space="preserve"> cada uno de los pasos a considerar para el muestreo y análisis de la emulsión con el microscopio óptico:</w:t>
      </w:r>
    </w:p>
    <w:p w:rsidR="00C8552B" w:rsidRDefault="001E1B5B" w:rsidP="00144533">
      <w:pPr>
        <w:spacing w:before="240" w:line="360" w:lineRule="auto"/>
        <w:rPr>
          <w:b/>
        </w:rPr>
      </w:pPr>
      <w:r>
        <w:rPr>
          <w:b/>
        </w:rPr>
        <w:tab/>
      </w:r>
    </w:p>
    <w:p w:rsidR="00C8552B" w:rsidRDefault="00C8552B" w:rsidP="00144533">
      <w:pPr>
        <w:spacing w:before="240" w:line="360" w:lineRule="auto"/>
        <w:rPr>
          <w:b/>
        </w:rPr>
      </w:pPr>
    </w:p>
    <w:p w:rsidR="001D0160" w:rsidRPr="0096563F" w:rsidRDefault="00C8552B" w:rsidP="00144533">
      <w:pPr>
        <w:spacing w:before="240" w:line="360" w:lineRule="auto"/>
        <w:rPr>
          <w:b/>
        </w:rPr>
      </w:pPr>
      <w:r>
        <w:rPr>
          <w:b/>
        </w:rPr>
        <w:lastRenderedPageBreak/>
        <w:tab/>
      </w:r>
      <w:r w:rsidR="001D0160" w:rsidRPr="0096563F">
        <w:rPr>
          <w:b/>
        </w:rPr>
        <w:t>Toma de muestra</w:t>
      </w:r>
    </w:p>
    <w:p w:rsidR="001D0160" w:rsidRDefault="001E1B5B" w:rsidP="001D0160">
      <w:pPr>
        <w:pStyle w:val="Prrafodelista"/>
        <w:spacing w:line="360" w:lineRule="auto"/>
        <w:ind w:left="0"/>
        <w:jc w:val="both"/>
        <w:rPr>
          <w:iCs/>
          <w:szCs w:val="24"/>
        </w:rPr>
      </w:pPr>
      <w:r>
        <w:rPr>
          <w:iCs/>
          <w:szCs w:val="24"/>
        </w:rPr>
        <w:tab/>
      </w:r>
      <w:r w:rsidR="001D0160">
        <w:rPr>
          <w:iCs/>
          <w:szCs w:val="24"/>
        </w:rPr>
        <w:t>Para la recolección y análisis de la muestra se hará uso de portaobjetos, cubreobjetos y un capilar delgado. Para garantizar una buena calidad de imagen será necesario considerar lo siguiente:</w:t>
      </w:r>
    </w:p>
    <w:p w:rsidR="00336675" w:rsidRDefault="00336675" w:rsidP="001E1B5B">
      <w:pPr>
        <w:pStyle w:val="Prrafodelista"/>
        <w:numPr>
          <w:ilvl w:val="0"/>
          <w:numId w:val="25"/>
        </w:numPr>
        <w:spacing w:line="360" w:lineRule="auto"/>
        <w:jc w:val="both"/>
        <w:rPr>
          <w:iCs/>
          <w:szCs w:val="24"/>
        </w:rPr>
      </w:pPr>
      <w:r>
        <w:rPr>
          <w:iCs/>
          <w:szCs w:val="24"/>
        </w:rPr>
        <w:t xml:space="preserve">Garantizar que el portaobjetos, el cubreobjetos y el capilar estén lo más limpio posible. Se recomienda la limpieza con agua y jabón o kerosén y luego alcohol a fin de eliminar cualquier impureza o grasa en el material. </w:t>
      </w:r>
      <w:r w:rsidR="001D0160" w:rsidRPr="0076314C">
        <w:rPr>
          <w:iCs/>
          <w:szCs w:val="24"/>
        </w:rPr>
        <w:t xml:space="preserve"> </w:t>
      </w:r>
    </w:p>
    <w:p w:rsidR="00336675" w:rsidRDefault="00336675" w:rsidP="001E1B5B">
      <w:pPr>
        <w:pStyle w:val="Prrafodelista"/>
        <w:numPr>
          <w:ilvl w:val="0"/>
          <w:numId w:val="25"/>
        </w:numPr>
        <w:spacing w:line="360" w:lineRule="auto"/>
        <w:jc w:val="both"/>
        <w:rPr>
          <w:iCs/>
          <w:szCs w:val="24"/>
        </w:rPr>
      </w:pPr>
      <w:r>
        <w:rPr>
          <w:iCs/>
          <w:szCs w:val="24"/>
        </w:rPr>
        <w:t xml:space="preserve">La muestra a recolectar con el capilar deberá ser lo más pequeña posible a fin de obtener una película lo suficientemente delgada que permita el paso de la luz de manera uniforme en el microscopio. Para esto deberá aplicarse un presión uniforme en la muestra. </w:t>
      </w:r>
    </w:p>
    <w:p w:rsidR="00336675" w:rsidRDefault="00336675" w:rsidP="001E1B5B">
      <w:pPr>
        <w:pStyle w:val="Prrafodelista"/>
        <w:numPr>
          <w:ilvl w:val="0"/>
          <w:numId w:val="25"/>
        </w:numPr>
        <w:spacing w:line="360" w:lineRule="auto"/>
        <w:jc w:val="both"/>
        <w:rPr>
          <w:iCs/>
          <w:szCs w:val="24"/>
        </w:rPr>
      </w:pPr>
      <w:r>
        <w:rPr>
          <w:iCs/>
          <w:szCs w:val="24"/>
        </w:rPr>
        <w:t>Evitar que el capilar toque el portaobjeto al momento de colocar la muestra. Esto evitará perturbar la película de crudo.</w:t>
      </w:r>
    </w:p>
    <w:p w:rsidR="00336675" w:rsidRDefault="00336675" w:rsidP="001E1B5B">
      <w:pPr>
        <w:pStyle w:val="Prrafodelista"/>
        <w:numPr>
          <w:ilvl w:val="0"/>
          <w:numId w:val="25"/>
        </w:numPr>
        <w:spacing w:line="360" w:lineRule="auto"/>
        <w:jc w:val="both"/>
        <w:rPr>
          <w:iCs/>
          <w:szCs w:val="24"/>
        </w:rPr>
      </w:pPr>
      <w:r>
        <w:rPr>
          <w:iCs/>
          <w:szCs w:val="24"/>
        </w:rPr>
        <w:t>El cubreobjetos deberá colocarse de la manera más lenta posible y asegurando la muestra quede distribuida espacialmente lo más uniforme posible.</w:t>
      </w:r>
    </w:p>
    <w:p w:rsidR="001D0160" w:rsidRPr="0045131F" w:rsidRDefault="00C8552B" w:rsidP="001D0160">
      <w:pPr>
        <w:spacing w:before="240" w:after="120"/>
        <w:rPr>
          <w:b/>
        </w:rPr>
      </w:pPr>
      <w:r>
        <w:rPr>
          <w:b/>
        </w:rPr>
        <w:tab/>
      </w:r>
      <w:r w:rsidR="001D0160" w:rsidRPr="0045131F">
        <w:rPr>
          <w:b/>
        </w:rPr>
        <w:t>Calibración del microscopio</w:t>
      </w:r>
    </w:p>
    <w:p w:rsidR="00336675" w:rsidRDefault="00336675" w:rsidP="001D0160">
      <w:pPr>
        <w:pStyle w:val="Prrafodelista"/>
        <w:spacing w:line="360" w:lineRule="auto"/>
        <w:ind w:left="0" w:firstLine="708"/>
        <w:jc w:val="both"/>
        <w:rPr>
          <w:iCs/>
          <w:szCs w:val="24"/>
        </w:rPr>
      </w:pPr>
      <w:r>
        <w:rPr>
          <w:iCs/>
          <w:szCs w:val="24"/>
        </w:rPr>
        <w:t>Antes de cada ronda de análisis, se deberá corroborar la calibración del microscopio a fin de garantizar una iluminación uniforme en toda el área de visualización</w:t>
      </w:r>
      <w:r w:rsidR="001E1B5B">
        <w:rPr>
          <w:iCs/>
          <w:szCs w:val="24"/>
        </w:rPr>
        <w:t>.</w:t>
      </w:r>
    </w:p>
    <w:p w:rsidR="001D0160" w:rsidRPr="0045131F" w:rsidRDefault="00C8552B" w:rsidP="001D0160">
      <w:pPr>
        <w:spacing w:before="240" w:after="120"/>
        <w:rPr>
          <w:b/>
        </w:rPr>
      </w:pPr>
      <w:r>
        <w:rPr>
          <w:b/>
        </w:rPr>
        <w:tab/>
      </w:r>
      <w:r w:rsidR="001D0160" w:rsidRPr="0045131F">
        <w:rPr>
          <w:b/>
        </w:rPr>
        <w:t>Análisis de imágenes</w:t>
      </w:r>
    </w:p>
    <w:p w:rsidR="001D0160" w:rsidRPr="001E1B5B" w:rsidRDefault="0005538D" w:rsidP="001D0160">
      <w:pPr>
        <w:spacing w:before="240" w:after="120"/>
        <w:rPr>
          <w:b/>
        </w:rPr>
      </w:pPr>
      <w:r>
        <w:rPr>
          <w:b/>
        </w:rPr>
        <w:tab/>
      </w:r>
      <w:r w:rsidR="001D0160" w:rsidRPr="001E1B5B">
        <w:rPr>
          <w:b/>
        </w:rPr>
        <w:t>Calibración de la escala de medición</w:t>
      </w:r>
    </w:p>
    <w:p w:rsidR="00A8565C" w:rsidRDefault="001E1B5B" w:rsidP="00A8565C">
      <w:pPr>
        <w:pStyle w:val="Prrafodelista"/>
        <w:spacing w:after="240" w:line="360" w:lineRule="auto"/>
        <w:ind w:left="0" w:firstLine="708"/>
        <w:jc w:val="both"/>
        <w:rPr>
          <w:iCs/>
          <w:szCs w:val="24"/>
        </w:rPr>
      </w:pPr>
      <w:r>
        <w:rPr>
          <w:iCs/>
          <w:szCs w:val="24"/>
        </w:rPr>
        <w:t>En función al aumento a emplear se deberá definir la escala correspondiente. Esta calibración se realizará empleando una platina micrométrica.</w:t>
      </w:r>
      <w:r w:rsidR="00A8565C">
        <w:rPr>
          <w:iCs/>
          <w:szCs w:val="24"/>
        </w:rPr>
        <w:t xml:space="preserve"> </w:t>
      </w:r>
    </w:p>
    <w:p w:rsidR="001E1B5B" w:rsidRPr="001E1B5B" w:rsidRDefault="00144533" w:rsidP="00A8565C">
      <w:pPr>
        <w:pStyle w:val="Prrafodelista"/>
        <w:spacing w:before="240" w:after="240" w:line="360" w:lineRule="auto"/>
        <w:ind w:left="0" w:firstLine="708"/>
        <w:jc w:val="both"/>
        <w:rPr>
          <w:b/>
          <w:iCs/>
          <w:szCs w:val="24"/>
        </w:rPr>
      </w:pPr>
      <w:r>
        <w:rPr>
          <w:b/>
          <w:iCs/>
          <w:szCs w:val="24"/>
        </w:rPr>
        <w:tab/>
      </w:r>
      <w:r w:rsidR="001E1B5B" w:rsidRPr="001E1B5B">
        <w:rPr>
          <w:b/>
          <w:iCs/>
          <w:szCs w:val="24"/>
        </w:rPr>
        <w:t>Ajuste de la intensidad luminosa</w:t>
      </w:r>
    </w:p>
    <w:p w:rsidR="001E1B5B" w:rsidRDefault="001E1B5B" w:rsidP="001D0160">
      <w:pPr>
        <w:pStyle w:val="Prrafodelista"/>
        <w:spacing w:line="360" w:lineRule="auto"/>
        <w:ind w:left="0" w:firstLine="708"/>
        <w:jc w:val="both"/>
        <w:rPr>
          <w:iCs/>
          <w:szCs w:val="24"/>
        </w:rPr>
      </w:pPr>
      <w:r>
        <w:rPr>
          <w:iCs/>
          <w:szCs w:val="24"/>
        </w:rPr>
        <w:t>Se deberá modificar, para cada una de las muestras, la intensidad luminosa aplicada y el brillo de la imagen. Todo esto se realizará en función de garantizar que las imágenes para cada una de las muestras sean lo más uniforme posible en cuanto a la intensidad de color y el contraste. Un buen contraste permitirá realizar conteos más precisos.</w:t>
      </w:r>
    </w:p>
    <w:p w:rsidR="001F5B6A" w:rsidRPr="00144533" w:rsidRDefault="001F5B6A" w:rsidP="001F5B6A">
      <w:pPr>
        <w:pStyle w:val="Prrafodelista"/>
        <w:spacing w:line="360" w:lineRule="auto"/>
        <w:ind w:left="0"/>
        <w:jc w:val="both"/>
        <w:rPr>
          <w:b/>
          <w:iCs/>
          <w:szCs w:val="24"/>
        </w:rPr>
      </w:pPr>
      <w:r w:rsidRPr="00144533">
        <w:rPr>
          <w:b/>
          <w:iCs/>
          <w:szCs w:val="24"/>
        </w:rPr>
        <w:lastRenderedPageBreak/>
        <w:t>Cálculos</w:t>
      </w:r>
    </w:p>
    <w:p w:rsidR="001F5B6A" w:rsidRDefault="00A8565C" w:rsidP="001F5B6A">
      <w:pPr>
        <w:pStyle w:val="Prrafodelista"/>
        <w:spacing w:line="360" w:lineRule="auto"/>
        <w:ind w:left="0"/>
        <w:jc w:val="both"/>
        <w:rPr>
          <w:iCs/>
          <w:szCs w:val="24"/>
        </w:rPr>
      </w:pPr>
      <w:r>
        <w:rPr>
          <w:iCs/>
          <w:szCs w:val="24"/>
        </w:rPr>
        <w:tab/>
      </w:r>
      <w:r w:rsidR="001F5B6A">
        <w:rPr>
          <w:iCs/>
          <w:szCs w:val="24"/>
        </w:rPr>
        <w:t>Una vez realizado el conteo de gotas con el software de im</w:t>
      </w:r>
      <w:r w:rsidR="003D5DCB">
        <w:rPr>
          <w:iCs/>
          <w:szCs w:val="24"/>
        </w:rPr>
        <w:t>ágenes Image Pro Plus, se empleó</w:t>
      </w:r>
      <w:r w:rsidR="001F5B6A">
        <w:rPr>
          <w:iCs/>
          <w:szCs w:val="24"/>
        </w:rPr>
        <w:t xml:space="preserve"> la hoja de cálculo Excel desarrollada por Fung, E. en el 2011, a fin de estimar la cantidad de agua en cada de una las muestras y trazar las distribuciones de tamaño (diámetro) o área de las gotas </w:t>
      </w:r>
    </w:p>
    <w:p w:rsidR="001F5B6A" w:rsidRDefault="00144533" w:rsidP="0005538D">
      <w:pPr>
        <w:pStyle w:val="Prrafodelista"/>
        <w:spacing w:after="240" w:line="360" w:lineRule="auto"/>
        <w:ind w:left="0"/>
        <w:jc w:val="both"/>
        <w:rPr>
          <w:iCs/>
          <w:szCs w:val="24"/>
        </w:rPr>
      </w:pPr>
      <w:r>
        <w:rPr>
          <w:iCs/>
          <w:szCs w:val="24"/>
        </w:rPr>
        <w:tab/>
      </w:r>
      <w:r w:rsidR="001F5B6A">
        <w:rPr>
          <w:iCs/>
          <w:szCs w:val="24"/>
        </w:rPr>
        <w:t>A continuación, en la siguiente tabla, se presentan los parámetros resultados que proporciona la hoja de cálculo Excel en cuestión en función a la información recopilada con el software Image Pro Plus:</w:t>
      </w:r>
    </w:p>
    <w:p w:rsidR="00144533" w:rsidRDefault="0005538D" w:rsidP="0005538D">
      <w:pPr>
        <w:pStyle w:val="Epgrafe"/>
      </w:pPr>
      <w:bookmarkStart w:id="126" w:name="_Toc325636317"/>
      <w:r>
        <w:t xml:space="preserve">Tabla N° </w:t>
      </w:r>
      <w:fldSimple w:instr=" SEQ Tabla_N° \* ARABIC ">
        <w:r w:rsidR="004A5F6F">
          <w:rPr>
            <w:noProof/>
          </w:rPr>
          <w:t>3</w:t>
        </w:r>
      </w:fldSimple>
      <w:r w:rsidR="00C308AE">
        <w:t xml:space="preserve">: </w:t>
      </w:r>
      <w:r w:rsidR="00144533">
        <w:t>Parámetros obtenidos a partir de la hoja de cálculo desarrollada por Fung, Ed. X: Diámetro equivalente. (Fung, 2011).</w:t>
      </w:r>
      <w:bookmarkEnd w:id="126"/>
    </w:p>
    <w:tbl>
      <w:tblPr>
        <w:tblStyle w:val="Tablaconcuadrcula"/>
        <w:tblW w:w="8517" w:type="dxa"/>
        <w:jc w:val="center"/>
        <w:tblLook w:val="04A0"/>
      </w:tblPr>
      <w:tblGrid>
        <w:gridCol w:w="2898"/>
        <w:gridCol w:w="5619"/>
      </w:tblGrid>
      <w:tr w:rsidR="001F5B6A" w:rsidRPr="00277C3B" w:rsidTr="00850B9E">
        <w:trPr>
          <w:trHeight w:val="346"/>
          <w:jc w:val="center"/>
        </w:trPr>
        <w:tc>
          <w:tcPr>
            <w:tcW w:w="2898" w:type="dxa"/>
            <w:vAlign w:val="center"/>
          </w:tcPr>
          <w:p w:rsidR="001F5B6A" w:rsidRPr="001F5B6A" w:rsidRDefault="001F5B6A" w:rsidP="001F5B6A">
            <w:pPr>
              <w:jc w:val="center"/>
              <w:rPr>
                <w:b/>
                <w:sz w:val="20"/>
              </w:rPr>
            </w:pPr>
            <w:r w:rsidRPr="001F5B6A">
              <w:rPr>
                <w:b/>
                <w:sz w:val="20"/>
              </w:rPr>
              <w:t>Parámetro</w:t>
            </w:r>
          </w:p>
        </w:tc>
        <w:tc>
          <w:tcPr>
            <w:tcW w:w="5619" w:type="dxa"/>
            <w:vAlign w:val="center"/>
          </w:tcPr>
          <w:p w:rsidR="001F5B6A" w:rsidRPr="001F5B6A" w:rsidRDefault="001F5B6A" w:rsidP="001F5B6A">
            <w:pPr>
              <w:jc w:val="center"/>
              <w:rPr>
                <w:b/>
                <w:sz w:val="20"/>
              </w:rPr>
            </w:pPr>
            <w:r w:rsidRPr="001F5B6A">
              <w:rPr>
                <w:b/>
                <w:sz w:val="20"/>
              </w:rPr>
              <w:t>Descripción</w:t>
            </w:r>
          </w:p>
        </w:tc>
      </w:tr>
      <w:tr w:rsidR="001F5B6A" w:rsidRPr="00277C3B" w:rsidTr="00850B9E">
        <w:trPr>
          <w:trHeight w:val="346"/>
          <w:jc w:val="center"/>
        </w:trPr>
        <w:tc>
          <w:tcPr>
            <w:tcW w:w="2898" w:type="dxa"/>
            <w:vAlign w:val="center"/>
          </w:tcPr>
          <w:p w:rsidR="001F5B6A" w:rsidRPr="001F5B6A" w:rsidRDefault="001F5B6A" w:rsidP="00144533">
            <w:pPr>
              <w:jc w:val="center"/>
              <w:rPr>
                <w:sz w:val="20"/>
              </w:rPr>
            </w:pPr>
            <w:r w:rsidRPr="001F5B6A">
              <w:rPr>
                <w:sz w:val="20"/>
              </w:rPr>
              <w:t>F</w:t>
            </w:r>
            <w:r w:rsidRPr="001F5B6A">
              <w:rPr>
                <w:sz w:val="20"/>
                <w:vertAlign w:val="subscript"/>
              </w:rPr>
              <w:t>2</w:t>
            </w:r>
            <w:r w:rsidR="00144533">
              <w:rPr>
                <w:sz w:val="20"/>
                <w:vertAlign w:val="subscript"/>
              </w:rPr>
              <w:t xml:space="preserve"> </w:t>
            </w:r>
            <w:r w:rsidRPr="001F5B6A">
              <w:rPr>
                <w:sz w:val="20"/>
              </w:rPr>
              <w:t>(</w:t>
            </w:r>
            <w:r w:rsidR="00144533">
              <w:rPr>
                <w:sz w:val="20"/>
              </w:rPr>
              <w:t xml:space="preserve">X </w:t>
            </w:r>
            <w:r w:rsidRPr="001F5B6A">
              <w:rPr>
                <w:sz w:val="20"/>
              </w:rPr>
              <w:t>µm)</w:t>
            </w:r>
          </w:p>
        </w:tc>
        <w:tc>
          <w:tcPr>
            <w:tcW w:w="5619" w:type="dxa"/>
            <w:vAlign w:val="center"/>
          </w:tcPr>
          <w:p w:rsidR="001F5B6A" w:rsidRPr="001F5B6A" w:rsidRDefault="001F5B6A" w:rsidP="00144533">
            <w:pPr>
              <w:jc w:val="center"/>
              <w:rPr>
                <w:sz w:val="20"/>
              </w:rPr>
            </w:pPr>
            <w:r w:rsidRPr="001F5B6A">
              <w:rPr>
                <w:sz w:val="20"/>
              </w:rPr>
              <w:t xml:space="preserve">Fracción de gotas con diámetro  ≤ </w:t>
            </w:r>
            <w:r w:rsidR="00144533">
              <w:rPr>
                <w:sz w:val="20"/>
              </w:rPr>
              <w:t>X</w:t>
            </w:r>
            <w:r w:rsidRPr="001F5B6A">
              <w:rPr>
                <w:sz w:val="20"/>
              </w:rPr>
              <w:t xml:space="preserve"> µm</w:t>
            </w:r>
          </w:p>
        </w:tc>
      </w:tr>
      <w:tr w:rsidR="001F5B6A" w:rsidRPr="00277C3B" w:rsidTr="00850B9E">
        <w:trPr>
          <w:trHeight w:val="346"/>
          <w:jc w:val="center"/>
        </w:trPr>
        <w:tc>
          <w:tcPr>
            <w:tcW w:w="2898" w:type="dxa"/>
            <w:vAlign w:val="center"/>
          </w:tcPr>
          <w:p w:rsidR="001F5B6A" w:rsidRPr="001F5B6A" w:rsidRDefault="001F5B6A" w:rsidP="00144533">
            <w:pPr>
              <w:jc w:val="center"/>
              <w:rPr>
                <w:sz w:val="20"/>
              </w:rPr>
            </w:pPr>
            <w:r w:rsidRPr="001F5B6A">
              <w:rPr>
                <w:sz w:val="20"/>
              </w:rPr>
              <w:t>R</w:t>
            </w:r>
            <w:r w:rsidRPr="001F5B6A">
              <w:rPr>
                <w:sz w:val="20"/>
                <w:vertAlign w:val="subscript"/>
              </w:rPr>
              <w:t>2</w:t>
            </w:r>
            <w:r w:rsidRPr="001F5B6A">
              <w:rPr>
                <w:sz w:val="20"/>
              </w:rPr>
              <w:t>(</w:t>
            </w:r>
            <w:r w:rsidR="00144533">
              <w:rPr>
                <w:sz w:val="20"/>
              </w:rPr>
              <w:t xml:space="preserve">X </w:t>
            </w:r>
            <w:r w:rsidRPr="001F5B6A">
              <w:rPr>
                <w:sz w:val="20"/>
              </w:rPr>
              <w:t>µm)= 1- F</w:t>
            </w:r>
            <w:r w:rsidRPr="001F5B6A">
              <w:rPr>
                <w:sz w:val="20"/>
                <w:vertAlign w:val="subscript"/>
              </w:rPr>
              <w:t>2</w:t>
            </w:r>
            <w:r w:rsidRPr="001F5B6A">
              <w:rPr>
                <w:sz w:val="20"/>
              </w:rPr>
              <w:t>(</w:t>
            </w:r>
            <w:r w:rsidR="00144533">
              <w:rPr>
                <w:sz w:val="20"/>
              </w:rPr>
              <w:t xml:space="preserve">X </w:t>
            </w:r>
            <w:r w:rsidRPr="001F5B6A">
              <w:rPr>
                <w:sz w:val="20"/>
              </w:rPr>
              <w:t>µm)</w:t>
            </w:r>
          </w:p>
        </w:tc>
        <w:tc>
          <w:tcPr>
            <w:tcW w:w="5619" w:type="dxa"/>
            <w:vAlign w:val="center"/>
          </w:tcPr>
          <w:p w:rsidR="001F5B6A" w:rsidRPr="001F5B6A" w:rsidRDefault="001F5B6A" w:rsidP="00144533">
            <w:pPr>
              <w:jc w:val="center"/>
              <w:rPr>
                <w:sz w:val="20"/>
              </w:rPr>
            </w:pPr>
            <w:r w:rsidRPr="001F5B6A">
              <w:rPr>
                <w:sz w:val="20"/>
              </w:rPr>
              <w:t xml:space="preserve">Fracción de gotas con diámetro  &gt; </w:t>
            </w:r>
            <w:r w:rsidR="00144533">
              <w:rPr>
                <w:sz w:val="20"/>
              </w:rPr>
              <w:t>X</w:t>
            </w:r>
            <w:r w:rsidRPr="001F5B6A">
              <w:rPr>
                <w:sz w:val="20"/>
              </w:rPr>
              <w:t xml:space="preserve"> µm</w:t>
            </w:r>
          </w:p>
        </w:tc>
      </w:tr>
      <w:tr w:rsidR="001F5B6A" w:rsidRPr="00277C3B" w:rsidTr="00850B9E">
        <w:trPr>
          <w:trHeight w:val="331"/>
          <w:jc w:val="center"/>
        </w:trPr>
        <w:tc>
          <w:tcPr>
            <w:tcW w:w="2898" w:type="dxa"/>
            <w:vAlign w:val="center"/>
          </w:tcPr>
          <w:p w:rsidR="001F5B6A" w:rsidRPr="001F5B6A" w:rsidRDefault="001F5B6A" w:rsidP="001F5B6A">
            <w:pPr>
              <w:jc w:val="center"/>
              <w:rPr>
                <w:sz w:val="20"/>
              </w:rPr>
            </w:pPr>
            <w:r w:rsidRPr="001F5B6A">
              <w:rPr>
                <w:sz w:val="20"/>
              </w:rPr>
              <w:t>D</w:t>
            </w:r>
            <w:r w:rsidRPr="001F5B6A">
              <w:rPr>
                <w:sz w:val="20"/>
                <w:vertAlign w:val="subscript"/>
              </w:rPr>
              <w:t>50</w:t>
            </w:r>
          </w:p>
        </w:tc>
        <w:tc>
          <w:tcPr>
            <w:tcW w:w="5619" w:type="dxa"/>
            <w:vAlign w:val="center"/>
          </w:tcPr>
          <w:p w:rsidR="001F5B6A" w:rsidRPr="001F5B6A" w:rsidRDefault="001F5B6A" w:rsidP="001F5B6A">
            <w:pPr>
              <w:jc w:val="center"/>
              <w:rPr>
                <w:sz w:val="20"/>
              </w:rPr>
            </w:pPr>
            <w:r w:rsidRPr="001F5B6A">
              <w:rPr>
                <w:sz w:val="20"/>
              </w:rPr>
              <w:t>Diámetro de gota para una fracción acumulada del 50 %</w:t>
            </w:r>
          </w:p>
        </w:tc>
      </w:tr>
      <w:tr w:rsidR="001F5B6A" w:rsidRPr="00277C3B" w:rsidTr="00850B9E">
        <w:trPr>
          <w:trHeight w:val="346"/>
          <w:jc w:val="center"/>
        </w:trPr>
        <w:tc>
          <w:tcPr>
            <w:tcW w:w="2898" w:type="dxa"/>
            <w:vAlign w:val="center"/>
          </w:tcPr>
          <w:p w:rsidR="001F5B6A" w:rsidRPr="001F5B6A" w:rsidRDefault="001F5B6A" w:rsidP="001F5B6A">
            <w:pPr>
              <w:jc w:val="center"/>
              <w:rPr>
                <w:sz w:val="20"/>
              </w:rPr>
            </w:pPr>
            <w:r w:rsidRPr="001F5B6A">
              <w:rPr>
                <w:sz w:val="20"/>
              </w:rPr>
              <w:t>D</w:t>
            </w:r>
            <w:r w:rsidRPr="001F5B6A">
              <w:rPr>
                <w:sz w:val="20"/>
                <w:vertAlign w:val="subscript"/>
              </w:rPr>
              <w:t>01</w:t>
            </w:r>
          </w:p>
        </w:tc>
        <w:tc>
          <w:tcPr>
            <w:tcW w:w="5619" w:type="dxa"/>
            <w:vAlign w:val="center"/>
          </w:tcPr>
          <w:p w:rsidR="001F5B6A" w:rsidRPr="001F5B6A" w:rsidRDefault="001F5B6A" w:rsidP="001F5B6A">
            <w:pPr>
              <w:jc w:val="center"/>
              <w:rPr>
                <w:sz w:val="20"/>
              </w:rPr>
            </w:pPr>
            <w:r w:rsidRPr="001F5B6A">
              <w:rPr>
                <w:sz w:val="20"/>
              </w:rPr>
              <w:t>Diámetro de gota para una fracción acumulada del 1 %</w:t>
            </w:r>
          </w:p>
        </w:tc>
      </w:tr>
      <w:tr w:rsidR="001F5B6A" w:rsidRPr="00277C3B" w:rsidTr="00850B9E">
        <w:trPr>
          <w:trHeight w:val="346"/>
          <w:jc w:val="center"/>
        </w:trPr>
        <w:tc>
          <w:tcPr>
            <w:tcW w:w="2898" w:type="dxa"/>
            <w:vAlign w:val="center"/>
          </w:tcPr>
          <w:p w:rsidR="001F5B6A" w:rsidRPr="001F5B6A" w:rsidRDefault="001F5B6A" w:rsidP="001F5B6A">
            <w:pPr>
              <w:jc w:val="center"/>
              <w:rPr>
                <w:sz w:val="20"/>
              </w:rPr>
            </w:pPr>
            <w:r w:rsidRPr="001F5B6A">
              <w:rPr>
                <w:sz w:val="20"/>
              </w:rPr>
              <w:t>D</w:t>
            </w:r>
            <w:r w:rsidRPr="001F5B6A">
              <w:rPr>
                <w:sz w:val="20"/>
                <w:vertAlign w:val="subscript"/>
              </w:rPr>
              <w:t>05</w:t>
            </w:r>
          </w:p>
        </w:tc>
        <w:tc>
          <w:tcPr>
            <w:tcW w:w="5619" w:type="dxa"/>
            <w:vAlign w:val="center"/>
          </w:tcPr>
          <w:p w:rsidR="001F5B6A" w:rsidRPr="001F5B6A" w:rsidRDefault="001F5B6A" w:rsidP="001F5B6A">
            <w:pPr>
              <w:jc w:val="center"/>
              <w:rPr>
                <w:sz w:val="20"/>
              </w:rPr>
            </w:pPr>
            <w:r w:rsidRPr="001F5B6A">
              <w:rPr>
                <w:sz w:val="20"/>
              </w:rPr>
              <w:t>Diámetro de gota para una fracción acumulada del 05 %</w:t>
            </w:r>
          </w:p>
        </w:tc>
      </w:tr>
      <w:tr w:rsidR="001F5B6A" w:rsidRPr="00277C3B" w:rsidTr="00850B9E">
        <w:trPr>
          <w:trHeight w:val="346"/>
          <w:jc w:val="center"/>
        </w:trPr>
        <w:tc>
          <w:tcPr>
            <w:tcW w:w="2898" w:type="dxa"/>
            <w:vAlign w:val="center"/>
          </w:tcPr>
          <w:p w:rsidR="001F5B6A" w:rsidRPr="001F5B6A" w:rsidRDefault="001F5B6A" w:rsidP="001F5B6A">
            <w:pPr>
              <w:jc w:val="center"/>
              <w:rPr>
                <w:sz w:val="20"/>
              </w:rPr>
            </w:pPr>
            <w:r w:rsidRPr="001F5B6A">
              <w:rPr>
                <w:sz w:val="20"/>
              </w:rPr>
              <w:t>D</w:t>
            </w:r>
            <w:r w:rsidRPr="001F5B6A">
              <w:rPr>
                <w:sz w:val="20"/>
                <w:vertAlign w:val="subscript"/>
              </w:rPr>
              <w:t>10</w:t>
            </w:r>
          </w:p>
        </w:tc>
        <w:tc>
          <w:tcPr>
            <w:tcW w:w="5619" w:type="dxa"/>
            <w:vAlign w:val="center"/>
          </w:tcPr>
          <w:p w:rsidR="001F5B6A" w:rsidRPr="001F5B6A" w:rsidRDefault="001F5B6A" w:rsidP="001F5B6A">
            <w:pPr>
              <w:jc w:val="center"/>
              <w:rPr>
                <w:sz w:val="20"/>
              </w:rPr>
            </w:pPr>
            <w:r w:rsidRPr="001F5B6A">
              <w:rPr>
                <w:sz w:val="20"/>
              </w:rPr>
              <w:t>Diámetro de gota para una fracción acumulada del 10 %</w:t>
            </w:r>
          </w:p>
        </w:tc>
      </w:tr>
      <w:tr w:rsidR="001F5B6A" w:rsidRPr="00277C3B" w:rsidTr="00850B9E">
        <w:trPr>
          <w:trHeight w:val="331"/>
          <w:jc w:val="center"/>
        </w:trPr>
        <w:tc>
          <w:tcPr>
            <w:tcW w:w="2898" w:type="dxa"/>
            <w:vAlign w:val="center"/>
          </w:tcPr>
          <w:p w:rsidR="001F5B6A" w:rsidRPr="001F5B6A" w:rsidRDefault="001F5B6A" w:rsidP="001F5B6A">
            <w:pPr>
              <w:jc w:val="center"/>
              <w:rPr>
                <w:sz w:val="20"/>
              </w:rPr>
            </w:pPr>
            <w:r w:rsidRPr="001F5B6A">
              <w:rPr>
                <w:sz w:val="20"/>
              </w:rPr>
              <w:t>D</w:t>
            </w:r>
            <w:r w:rsidRPr="001F5B6A">
              <w:rPr>
                <w:sz w:val="20"/>
                <w:vertAlign w:val="subscript"/>
              </w:rPr>
              <w:t>25</w:t>
            </w:r>
          </w:p>
        </w:tc>
        <w:tc>
          <w:tcPr>
            <w:tcW w:w="5619" w:type="dxa"/>
            <w:vAlign w:val="center"/>
          </w:tcPr>
          <w:p w:rsidR="001F5B6A" w:rsidRPr="001F5B6A" w:rsidRDefault="001F5B6A" w:rsidP="001F5B6A">
            <w:pPr>
              <w:jc w:val="center"/>
              <w:rPr>
                <w:sz w:val="20"/>
              </w:rPr>
            </w:pPr>
            <w:r w:rsidRPr="001F5B6A">
              <w:rPr>
                <w:sz w:val="20"/>
              </w:rPr>
              <w:t>Diámetro de gota para una fracción acumulada del 25 %</w:t>
            </w:r>
          </w:p>
        </w:tc>
      </w:tr>
      <w:tr w:rsidR="001F5B6A" w:rsidRPr="00277C3B" w:rsidTr="00850B9E">
        <w:trPr>
          <w:trHeight w:val="346"/>
          <w:jc w:val="center"/>
        </w:trPr>
        <w:tc>
          <w:tcPr>
            <w:tcW w:w="2898" w:type="dxa"/>
            <w:vAlign w:val="center"/>
          </w:tcPr>
          <w:p w:rsidR="001F5B6A" w:rsidRPr="001F5B6A" w:rsidRDefault="001F5B6A" w:rsidP="001F5B6A">
            <w:pPr>
              <w:jc w:val="center"/>
              <w:rPr>
                <w:sz w:val="20"/>
              </w:rPr>
            </w:pPr>
            <w:r w:rsidRPr="001F5B6A">
              <w:rPr>
                <w:sz w:val="20"/>
              </w:rPr>
              <w:t>D</w:t>
            </w:r>
            <w:r w:rsidRPr="001F5B6A">
              <w:rPr>
                <w:sz w:val="20"/>
                <w:vertAlign w:val="subscript"/>
              </w:rPr>
              <w:t>75</w:t>
            </w:r>
          </w:p>
        </w:tc>
        <w:tc>
          <w:tcPr>
            <w:tcW w:w="5619" w:type="dxa"/>
            <w:vAlign w:val="center"/>
          </w:tcPr>
          <w:p w:rsidR="001F5B6A" w:rsidRPr="001F5B6A" w:rsidRDefault="001F5B6A" w:rsidP="001F5B6A">
            <w:pPr>
              <w:jc w:val="center"/>
              <w:rPr>
                <w:sz w:val="20"/>
              </w:rPr>
            </w:pPr>
            <w:r w:rsidRPr="001F5B6A">
              <w:rPr>
                <w:sz w:val="20"/>
              </w:rPr>
              <w:t>Diámetro de gota para una fracción acumulada del 75 %</w:t>
            </w:r>
          </w:p>
        </w:tc>
      </w:tr>
      <w:tr w:rsidR="001F5B6A" w:rsidRPr="00277C3B" w:rsidTr="00850B9E">
        <w:trPr>
          <w:trHeight w:val="346"/>
          <w:jc w:val="center"/>
        </w:trPr>
        <w:tc>
          <w:tcPr>
            <w:tcW w:w="2898" w:type="dxa"/>
            <w:vAlign w:val="center"/>
          </w:tcPr>
          <w:p w:rsidR="001F5B6A" w:rsidRPr="001F5B6A" w:rsidRDefault="001F5B6A" w:rsidP="001F5B6A">
            <w:pPr>
              <w:jc w:val="center"/>
              <w:rPr>
                <w:sz w:val="20"/>
              </w:rPr>
            </w:pPr>
            <w:r w:rsidRPr="001F5B6A">
              <w:rPr>
                <w:sz w:val="20"/>
              </w:rPr>
              <w:t>D</w:t>
            </w:r>
            <w:r w:rsidRPr="001F5B6A">
              <w:rPr>
                <w:sz w:val="20"/>
                <w:vertAlign w:val="subscript"/>
              </w:rPr>
              <w:t>90</w:t>
            </w:r>
          </w:p>
        </w:tc>
        <w:tc>
          <w:tcPr>
            <w:tcW w:w="5619" w:type="dxa"/>
            <w:vAlign w:val="center"/>
          </w:tcPr>
          <w:p w:rsidR="001F5B6A" w:rsidRPr="001F5B6A" w:rsidRDefault="001F5B6A" w:rsidP="001F5B6A">
            <w:pPr>
              <w:jc w:val="center"/>
              <w:rPr>
                <w:sz w:val="20"/>
              </w:rPr>
            </w:pPr>
            <w:r w:rsidRPr="001F5B6A">
              <w:rPr>
                <w:sz w:val="20"/>
              </w:rPr>
              <w:t>Diámetro de gota para una fracción acumulada del 90 %</w:t>
            </w:r>
          </w:p>
        </w:tc>
      </w:tr>
      <w:tr w:rsidR="001F5B6A" w:rsidRPr="00277C3B" w:rsidTr="00850B9E">
        <w:trPr>
          <w:trHeight w:val="331"/>
          <w:jc w:val="center"/>
        </w:trPr>
        <w:tc>
          <w:tcPr>
            <w:tcW w:w="2898" w:type="dxa"/>
            <w:vAlign w:val="center"/>
          </w:tcPr>
          <w:p w:rsidR="001F5B6A" w:rsidRPr="001F5B6A" w:rsidRDefault="001F5B6A" w:rsidP="001F5B6A">
            <w:pPr>
              <w:jc w:val="center"/>
              <w:rPr>
                <w:sz w:val="20"/>
              </w:rPr>
            </w:pPr>
            <w:r w:rsidRPr="001F5B6A">
              <w:rPr>
                <w:sz w:val="20"/>
              </w:rPr>
              <w:t>D</w:t>
            </w:r>
            <w:r w:rsidRPr="001F5B6A">
              <w:rPr>
                <w:sz w:val="20"/>
                <w:vertAlign w:val="subscript"/>
              </w:rPr>
              <w:t>95</w:t>
            </w:r>
          </w:p>
        </w:tc>
        <w:tc>
          <w:tcPr>
            <w:tcW w:w="5619" w:type="dxa"/>
            <w:vAlign w:val="center"/>
          </w:tcPr>
          <w:p w:rsidR="001F5B6A" w:rsidRPr="001F5B6A" w:rsidRDefault="001F5B6A" w:rsidP="001F5B6A">
            <w:pPr>
              <w:jc w:val="center"/>
              <w:rPr>
                <w:sz w:val="20"/>
              </w:rPr>
            </w:pPr>
            <w:r w:rsidRPr="001F5B6A">
              <w:rPr>
                <w:sz w:val="20"/>
              </w:rPr>
              <w:t>Diámetro de gota para una fracción acumulada del 95 %</w:t>
            </w:r>
          </w:p>
        </w:tc>
      </w:tr>
      <w:tr w:rsidR="001F5B6A" w:rsidRPr="00277C3B" w:rsidTr="00850B9E">
        <w:trPr>
          <w:trHeight w:val="346"/>
          <w:jc w:val="center"/>
        </w:trPr>
        <w:tc>
          <w:tcPr>
            <w:tcW w:w="2898" w:type="dxa"/>
            <w:vAlign w:val="center"/>
          </w:tcPr>
          <w:p w:rsidR="001F5B6A" w:rsidRPr="001F5B6A" w:rsidRDefault="001F5B6A" w:rsidP="001F5B6A">
            <w:pPr>
              <w:jc w:val="center"/>
              <w:rPr>
                <w:sz w:val="20"/>
              </w:rPr>
            </w:pPr>
            <w:r w:rsidRPr="001F5B6A">
              <w:rPr>
                <w:sz w:val="20"/>
              </w:rPr>
              <w:t>D</w:t>
            </w:r>
            <w:r w:rsidRPr="001F5B6A">
              <w:rPr>
                <w:sz w:val="20"/>
                <w:vertAlign w:val="subscript"/>
              </w:rPr>
              <w:t>max</w:t>
            </w:r>
          </w:p>
        </w:tc>
        <w:tc>
          <w:tcPr>
            <w:tcW w:w="5619" w:type="dxa"/>
            <w:vAlign w:val="center"/>
          </w:tcPr>
          <w:p w:rsidR="001F5B6A" w:rsidRPr="001F5B6A" w:rsidRDefault="001F5B6A" w:rsidP="001F5B6A">
            <w:pPr>
              <w:jc w:val="center"/>
              <w:rPr>
                <w:sz w:val="20"/>
              </w:rPr>
            </w:pPr>
            <w:r w:rsidRPr="001F5B6A">
              <w:rPr>
                <w:sz w:val="20"/>
              </w:rPr>
              <w:t>Diámetro de gota para una fracción acumulada del 100 %</w:t>
            </w:r>
          </w:p>
        </w:tc>
      </w:tr>
      <w:tr w:rsidR="001F5B6A" w:rsidRPr="00277C3B" w:rsidTr="00850B9E">
        <w:trPr>
          <w:trHeight w:val="346"/>
          <w:jc w:val="center"/>
        </w:trPr>
        <w:tc>
          <w:tcPr>
            <w:tcW w:w="2898" w:type="dxa"/>
            <w:vAlign w:val="center"/>
          </w:tcPr>
          <w:p w:rsidR="001F5B6A" w:rsidRPr="001F5B6A" w:rsidRDefault="001F5B6A" w:rsidP="001F5B6A">
            <w:pPr>
              <w:jc w:val="center"/>
              <w:rPr>
                <w:sz w:val="20"/>
              </w:rPr>
            </w:pPr>
            <w:r w:rsidRPr="001F5B6A">
              <w:rPr>
                <w:sz w:val="20"/>
              </w:rPr>
              <w:sym w:font="Symbol" w:char="F066"/>
            </w:r>
            <w:r w:rsidRPr="001F5B6A">
              <w:rPr>
                <w:sz w:val="20"/>
                <w:vertAlign w:val="subscript"/>
              </w:rPr>
              <w:t xml:space="preserve">W   </w:t>
            </w:r>
            <w:r w:rsidRPr="001F5B6A">
              <w:rPr>
                <w:sz w:val="20"/>
              </w:rPr>
              <w:t>(%)</w:t>
            </w:r>
          </w:p>
        </w:tc>
        <w:tc>
          <w:tcPr>
            <w:tcW w:w="5619" w:type="dxa"/>
            <w:vAlign w:val="center"/>
          </w:tcPr>
          <w:p w:rsidR="001F5B6A" w:rsidRPr="001F5B6A" w:rsidRDefault="001F5B6A" w:rsidP="001F5B6A">
            <w:pPr>
              <w:jc w:val="center"/>
              <w:rPr>
                <w:sz w:val="20"/>
              </w:rPr>
            </w:pPr>
            <w:r w:rsidRPr="001F5B6A">
              <w:rPr>
                <w:sz w:val="20"/>
              </w:rPr>
              <w:t>Porcentaje de agua total</w:t>
            </w:r>
          </w:p>
        </w:tc>
      </w:tr>
      <w:tr w:rsidR="001F5B6A" w:rsidRPr="00277C3B" w:rsidTr="00850B9E">
        <w:trPr>
          <w:trHeight w:val="692"/>
          <w:jc w:val="center"/>
        </w:trPr>
        <w:tc>
          <w:tcPr>
            <w:tcW w:w="2898" w:type="dxa"/>
            <w:vAlign w:val="center"/>
          </w:tcPr>
          <w:p w:rsidR="001F5B6A" w:rsidRPr="001F5B6A" w:rsidRDefault="001F5B6A" w:rsidP="00144533">
            <w:pPr>
              <w:jc w:val="center"/>
              <w:rPr>
                <w:sz w:val="20"/>
              </w:rPr>
            </w:pPr>
            <w:r w:rsidRPr="001F5B6A">
              <w:rPr>
                <w:sz w:val="20"/>
              </w:rPr>
              <w:sym w:font="Symbol" w:char="F046"/>
            </w:r>
            <w:r w:rsidRPr="001F5B6A">
              <w:rPr>
                <w:sz w:val="20"/>
                <w:vertAlign w:val="subscript"/>
              </w:rPr>
              <w:t>W</w:t>
            </w:r>
            <w:r w:rsidRPr="001F5B6A">
              <w:rPr>
                <w:sz w:val="20"/>
              </w:rPr>
              <w:t>(</w:t>
            </w:r>
            <w:r w:rsidR="00144533">
              <w:rPr>
                <w:sz w:val="20"/>
              </w:rPr>
              <w:t xml:space="preserve">X </w:t>
            </w:r>
            <w:r w:rsidRPr="001F5B6A">
              <w:rPr>
                <w:sz w:val="20"/>
              </w:rPr>
              <w:t>µm)= R</w:t>
            </w:r>
            <w:r w:rsidRPr="001F5B6A">
              <w:rPr>
                <w:sz w:val="20"/>
                <w:vertAlign w:val="subscript"/>
              </w:rPr>
              <w:t>2</w:t>
            </w:r>
            <w:r w:rsidRPr="001F5B6A">
              <w:rPr>
                <w:sz w:val="20"/>
              </w:rPr>
              <w:t>(</w:t>
            </w:r>
            <w:r w:rsidR="00144533">
              <w:rPr>
                <w:sz w:val="20"/>
              </w:rPr>
              <w:t xml:space="preserve">X </w:t>
            </w:r>
            <w:r w:rsidRPr="001F5B6A">
              <w:rPr>
                <w:sz w:val="20"/>
              </w:rPr>
              <w:t xml:space="preserve">µm). </w:t>
            </w:r>
            <w:r w:rsidRPr="001F5B6A">
              <w:rPr>
                <w:sz w:val="20"/>
              </w:rPr>
              <w:sym w:font="Symbol" w:char="F066"/>
            </w:r>
            <w:r w:rsidRPr="001F5B6A">
              <w:rPr>
                <w:sz w:val="20"/>
                <w:vertAlign w:val="subscript"/>
              </w:rPr>
              <w:t>W</w:t>
            </w:r>
          </w:p>
        </w:tc>
        <w:tc>
          <w:tcPr>
            <w:tcW w:w="5619" w:type="dxa"/>
            <w:vAlign w:val="center"/>
          </w:tcPr>
          <w:p w:rsidR="001F5B6A" w:rsidRPr="001F5B6A" w:rsidRDefault="001F5B6A" w:rsidP="00144533">
            <w:pPr>
              <w:jc w:val="center"/>
              <w:rPr>
                <w:b/>
                <w:sz w:val="20"/>
              </w:rPr>
            </w:pPr>
            <w:r w:rsidRPr="001F5B6A">
              <w:rPr>
                <w:sz w:val="20"/>
              </w:rPr>
              <w:t>Porcentaje de agua en gotas</w:t>
            </w:r>
            <w:r w:rsidR="00144533">
              <w:rPr>
                <w:sz w:val="20"/>
              </w:rPr>
              <w:t xml:space="preserve"> en la muestra con</w:t>
            </w:r>
            <w:r w:rsidRPr="001F5B6A">
              <w:rPr>
                <w:sz w:val="20"/>
              </w:rPr>
              <w:t xml:space="preserve"> </w:t>
            </w:r>
            <w:r w:rsidR="00144533">
              <w:rPr>
                <w:sz w:val="20"/>
              </w:rPr>
              <w:t xml:space="preserve">un </w:t>
            </w:r>
            <w:r w:rsidRPr="001F5B6A">
              <w:rPr>
                <w:sz w:val="20"/>
              </w:rPr>
              <w:t xml:space="preserve">diámetro mayor a </w:t>
            </w:r>
            <w:r w:rsidR="00144533">
              <w:rPr>
                <w:sz w:val="20"/>
              </w:rPr>
              <w:t xml:space="preserve">X </w:t>
            </w:r>
            <w:r w:rsidRPr="001F5B6A">
              <w:rPr>
                <w:sz w:val="20"/>
              </w:rPr>
              <w:t>µm</w:t>
            </w:r>
            <w:r w:rsidRPr="001F5B6A">
              <w:rPr>
                <w:sz w:val="20"/>
                <w:vertAlign w:val="subscript"/>
              </w:rPr>
              <w:t xml:space="preserve"> </w:t>
            </w:r>
            <w:r w:rsidRPr="001F5B6A">
              <w:rPr>
                <w:sz w:val="20"/>
              </w:rPr>
              <w:t xml:space="preserve"> después de aplicado el campo eléctrico</w:t>
            </w:r>
          </w:p>
        </w:tc>
      </w:tr>
      <w:tr w:rsidR="001F5B6A" w:rsidRPr="003211F0" w:rsidTr="00850B9E">
        <w:trPr>
          <w:trHeight w:val="692"/>
          <w:jc w:val="center"/>
        </w:trPr>
        <w:tc>
          <w:tcPr>
            <w:tcW w:w="2898" w:type="dxa"/>
            <w:vAlign w:val="center"/>
          </w:tcPr>
          <w:p w:rsidR="001F5B6A" w:rsidRPr="001F5B6A" w:rsidRDefault="001F5B6A" w:rsidP="00144533">
            <w:pPr>
              <w:jc w:val="center"/>
              <w:rPr>
                <w:sz w:val="20"/>
              </w:rPr>
            </w:pPr>
            <w:r w:rsidRPr="001F5B6A">
              <w:rPr>
                <w:sz w:val="20"/>
              </w:rPr>
              <w:sym w:font="Symbol" w:char="F046"/>
            </w:r>
            <w:r w:rsidRPr="001F5B6A">
              <w:rPr>
                <w:sz w:val="20"/>
                <w:vertAlign w:val="subscript"/>
              </w:rPr>
              <w:t>W</w:t>
            </w:r>
            <w:r w:rsidRPr="001F5B6A">
              <w:rPr>
                <w:sz w:val="20"/>
                <w:vertAlign w:val="superscript"/>
              </w:rPr>
              <w:t>0</w:t>
            </w:r>
            <w:r w:rsidRPr="001F5B6A">
              <w:rPr>
                <w:sz w:val="20"/>
              </w:rPr>
              <w:t>(</w:t>
            </w:r>
            <w:r w:rsidR="00144533">
              <w:rPr>
                <w:sz w:val="20"/>
              </w:rPr>
              <w:t xml:space="preserve">X </w:t>
            </w:r>
            <w:r w:rsidRPr="001F5B6A">
              <w:rPr>
                <w:sz w:val="20"/>
              </w:rPr>
              <w:t>µm)= R</w:t>
            </w:r>
            <w:r w:rsidRPr="001F5B6A">
              <w:rPr>
                <w:sz w:val="20"/>
                <w:vertAlign w:val="subscript"/>
              </w:rPr>
              <w:t>2</w:t>
            </w:r>
            <w:r w:rsidRPr="001F5B6A">
              <w:rPr>
                <w:sz w:val="20"/>
                <w:vertAlign w:val="superscript"/>
              </w:rPr>
              <w:t>0</w:t>
            </w:r>
            <w:r w:rsidRPr="001F5B6A">
              <w:rPr>
                <w:sz w:val="20"/>
              </w:rPr>
              <w:t>(</w:t>
            </w:r>
            <w:r w:rsidR="00144533">
              <w:rPr>
                <w:sz w:val="20"/>
              </w:rPr>
              <w:t xml:space="preserve">X </w:t>
            </w:r>
            <w:r w:rsidRPr="001F5B6A">
              <w:rPr>
                <w:sz w:val="20"/>
              </w:rPr>
              <w:t xml:space="preserve">µm). </w:t>
            </w:r>
            <w:r w:rsidRPr="001F5B6A">
              <w:rPr>
                <w:sz w:val="20"/>
              </w:rPr>
              <w:sym w:font="Symbol" w:char="F066"/>
            </w:r>
            <w:r w:rsidRPr="001F5B6A">
              <w:rPr>
                <w:sz w:val="20"/>
                <w:vertAlign w:val="subscript"/>
              </w:rPr>
              <w:t>W</w:t>
            </w:r>
          </w:p>
        </w:tc>
        <w:tc>
          <w:tcPr>
            <w:tcW w:w="5619" w:type="dxa"/>
            <w:vAlign w:val="center"/>
          </w:tcPr>
          <w:p w:rsidR="001F5B6A" w:rsidRPr="001F5B6A" w:rsidRDefault="001F5B6A" w:rsidP="00144533">
            <w:pPr>
              <w:jc w:val="center"/>
              <w:rPr>
                <w:b/>
                <w:sz w:val="20"/>
                <w:vertAlign w:val="subscript"/>
              </w:rPr>
            </w:pPr>
            <w:r w:rsidRPr="001F5B6A">
              <w:rPr>
                <w:sz w:val="20"/>
              </w:rPr>
              <w:t>Porcentaje de agua en gotas</w:t>
            </w:r>
            <w:r w:rsidR="00144533">
              <w:rPr>
                <w:sz w:val="20"/>
              </w:rPr>
              <w:t xml:space="preserve"> en la muestra original</w:t>
            </w:r>
            <w:r w:rsidRPr="001F5B6A">
              <w:rPr>
                <w:sz w:val="20"/>
              </w:rPr>
              <w:t xml:space="preserve"> con</w:t>
            </w:r>
            <w:r w:rsidR="00144533">
              <w:rPr>
                <w:sz w:val="20"/>
              </w:rPr>
              <w:t xml:space="preserve"> un</w:t>
            </w:r>
            <w:r w:rsidRPr="001F5B6A">
              <w:rPr>
                <w:sz w:val="20"/>
              </w:rPr>
              <w:t xml:space="preserve"> diámetro mayor a </w:t>
            </w:r>
            <w:r w:rsidR="00144533">
              <w:rPr>
                <w:sz w:val="20"/>
              </w:rPr>
              <w:t xml:space="preserve">X </w:t>
            </w:r>
            <w:r w:rsidRPr="001F5B6A">
              <w:rPr>
                <w:sz w:val="20"/>
              </w:rPr>
              <w:t xml:space="preserve">µm </w:t>
            </w:r>
          </w:p>
        </w:tc>
      </w:tr>
    </w:tbl>
    <w:p w:rsidR="00C8552B" w:rsidRDefault="00C8552B" w:rsidP="00144533">
      <w:pPr>
        <w:spacing w:line="360" w:lineRule="auto"/>
        <w:ind w:left="720"/>
        <w:jc w:val="both"/>
        <w:rPr>
          <w:szCs w:val="24"/>
        </w:rPr>
      </w:pPr>
    </w:p>
    <w:p w:rsidR="00144533" w:rsidRDefault="00C8552B" w:rsidP="00144533">
      <w:pPr>
        <w:spacing w:line="360" w:lineRule="auto"/>
        <w:jc w:val="both"/>
        <w:rPr>
          <w:szCs w:val="24"/>
        </w:rPr>
      </w:pPr>
      <w:r>
        <w:rPr>
          <w:szCs w:val="24"/>
        </w:rPr>
        <w:tab/>
        <w:t xml:space="preserve">- </w:t>
      </w:r>
      <w:r w:rsidR="00144533" w:rsidRPr="00144533">
        <w:rPr>
          <w:b/>
          <w:szCs w:val="24"/>
        </w:rPr>
        <w:t>Centrifugación</w:t>
      </w:r>
      <w:r>
        <w:rPr>
          <w:b/>
          <w:szCs w:val="24"/>
        </w:rPr>
        <w:t xml:space="preserve">: </w:t>
      </w:r>
      <w:r w:rsidR="00144533" w:rsidRPr="00A02CB0">
        <w:rPr>
          <w:szCs w:val="24"/>
        </w:rPr>
        <w:t xml:space="preserve">Las muestras </w:t>
      </w:r>
      <w:r w:rsidR="00F66488">
        <w:rPr>
          <w:szCs w:val="24"/>
        </w:rPr>
        <w:t>tratadas</w:t>
      </w:r>
      <w:r w:rsidR="00144533" w:rsidRPr="00A02CB0">
        <w:rPr>
          <w:szCs w:val="24"/>
        </w:rPr>
        <w:t xml:space="preserve"> </w:t>
      </w:r>
      <w:r w:rsidR="00F66488">
        <w:rPr>
          <w:szCs w:val="24"/>
        </w:rPr>
        <w:t>fueron</w:t>
      </w:r>
      <w:r w:rsidR="00144533" w:rsidRPr="00A02CB0">
        <w:rPr>
          <w:szCs w:val="24"/>
        </w:rPr>
        <w:t xml:space="preserve"> vertidas en </w:t>
      </w:r>
      <w:r w:rsidR="00144533">
        <w:rPr>
          <w:szCs w:val="24"/>
        </w:rPr>
        <w:t>tubos de recolección</w:t>
      </w:r>
      <w:r w:rsidR="00144533" w:rsidRPr="00A02CB0">
        <w:rPr>
          <w:szCs w:val="24"/>
        </w:rPr>
        <w:t xml:space="preserve"> graduad</w:t>
      </w:r>
      <w:r w:rsidR="00144533">
        <w:rPr>
          <w:szCs w:val="24"/>
        </w:rPr>
        <w:t xml:space="preserve">os </w:t>
      </w:r>
      <w:r w:rsidR="00144533" w:rsidRPr="00A02CB0">
        <w:rPr>
          <w:szCs w:val="24"/>
        </w:rPr>
        <w:t xml:space="preserve">de 15 ml y </w:t>
      </w:r>
      <w:r w:rsidR="00144533">
        <w:rPr>
          <w:szCs w:val="24"/>
        </w:rPr>
        <w:t xml:space="preserve">luego </w:t>
      </w:r>
      <w:r w:rsidR="00144533" w:rsidRPr="00A02CB0">
        <w:rPr>
          <w:szCs w:val="24"/>
        </w:rPr>
        <w:t xml:space="preserve">sometidas a centrifugación. </w:t>
      </w:r>
      <w:r w:rsidR="00144533">
        <w:rPr>
          <w:szCs w:val="24"/>
        </w:rPr>
        <w:t>Deberá definirse un tiempo y velocidad de centrifugación.</w:t>
      </w:r>
    </w:p>
    <w:p w:rsidR="00512862" w:rsidRDefault="00512862" w:rsidP="00144533">
      <w:pPr>
        <w:spacing w:line="360" w:lineRule="auto"/>
        <w:jc w:val="both"/>
        <w:rPr>
          <w:szCs w:val="24"/>
        </w:rPr>
      </w:pPr>
    </w:p>
    <w:p w:rsidR="00144533" w:rsidRPr="005B74B4" w:rsidRDefault="00C8552B" w:rsidP="005B74B4">
      <w:pPr>
        <w:pStyle w:val="Ttulo3"/>
        <w:spacing w:line="360" w:lineRule="auto"/>
        <w:jc w:val="both"/>
        <w:rPr>
          <w:rFonts w:ascii="Times New Roman" w:hAnsi="Times New Roman" w:cs="Times New Roman"/>
          <w:color w:val="auto"/>
        </w:rPr>
      </w:pPr>
      <w:bookmarkStart w:id="127" w:name="_Toc327478028"/>
      <w:r w:rsidRPr="005B74B4">
        <w:rPr>
          <w:rFonts w:ascii="Times New Roman" w:hAnsi="Times New Roman" w:cs="Times New Roman"/>
          <w:color w:val="auto"/>
        </w:rPr>
        <w:lastRenderedPageBreak/>
        <w:t xml:space="preserve">3.3 </w:t>
      </w:r>
      <w:r w:rsidR="00144533" w:rsidRPr="005B74B4">
        <w:rPr>
          <w:rFonts w:ascii="Times New Roman" w:hAnsi="Times New Roman" w:cs="Times New Roman"/>
          <w:color w:val="auto"/>
        </w:rPr>
        <w:t>Identificar las limitaciones en cuanto a la celda de trabajo utilizada y proponer mejoras para un eventual rediseño del sistema de tratamiento, específicamente de la celda de aplicación de campo eléctrico y la disposición del medio en el sistema que permitan incrementar</w:t>
      </w:r>
      <w:r w:rsidR="005B74B4" w:rsidRPr="005B74B4">
        <w:rPr>
          <w:rFonts w:ascii="Times New Roman" w:hAnsi="Times New Roman" w:cs="Times New Roman"/>
          <w:color w:val="auto"/>
        </w:rPr>
        <w:t xml:space="preserve"> la eficiencia de la separación</w:t>
      </w:r>
      <w:bookmarkEnd w:id="127"/>
    </w:p>
    <w:p w:rsidR="00703850" w:rsidRDefault="00144533" w:rsidP="00703850">
      <w:pPr>
        <w:spacing w:line="360" w:lineRule="auto"/>
        <w:jc w:val="both"/>
        <w:rPr>
          <w:szCs w:val="24"/>
        </w:rPr>
        <w:sectPr w:rsidR="00703850" w:rsidSect="00820F87">
          <w:pgSz w:w="12240" w:h="15840"/>
          <w:pgMar w:top="1699" w:right="1699" w:bottom="1699" w:left="2275" w:header="720" w:footer="720" w:gutter="0"/>
          <w:cols w:space="720"/>
          <w:docGrid w:linePitch="360"/>
        </w:sectPr>
      </w:pPr>
      <w:bookmarkStart w:id="128" w:name="_Toc299209552"/>
      <w:r>
        <w:rPr>
          <w:szCs w:val="24"/>
        </w:rPr>
        <w:tab/>
      </w:r>
      <w:r w:rsidRPr="008E6002">
        <w:rPr>
          <w:szCs w:val="24"/>
        </w:rPr>
        <w:t xml:space="preserve">Las pruebas realizadas permitirán </w:t>
      </w:r>
      <w:r w:rsidR="00703850">
        <w:rPr>
          <w:szCs w:val="24"/>
        </w:rPr>
        <w:t xml:space="preserve">identificar las limitaciones del equipo de tratamiento desarrollado y </w:t>
      </w:r>
      <w:r w:rsidRPr="008E6002">
        <w:rPr>
          <w:szCs w:val="24"/>
        </w:rPr>
        <w:t xml:space="preserve">proponer mejoras para el desarrollo de futuras </w:t>
      </w:r>
      <w:bookmarkEnd w:id="128"/>
      <w:r w:rsidR="00703850">
        <w:rPr>
          <w:szCs w:val="24"/>
        </w:rPr>
        <w:t>sistemas.</w:t>
      </w:r>
    </w:p>
    <w:p w:rsidR="00BC5298" w:rsidRPr="00CA7649" w:rsidRDefault="00703850" w:rsidP="005B74B4">
      <w:pPr>
        <w:pStyle w:val="Ttulo1"/>
      </w:pPr>
      <w:bookmarkStart w:id="129" w:name="_Toc327478029"/>
      <w:bookmarkEnd w:id="125"/>
      <w:r>
        <w:lastRenderedPageBreak/>
        <w:t>CAPITUL</w:t>
      </w:r>
      <w:r w:rsidR="00BC5298" w:rsidRPr="00CA7649">
        <w:t>O IV</w:t>
      </w:r>
      <w:bookmarkEnd w:id="0"/>
      <w:bookmarkEnd w:id="129"/>
    </w:p>
    <w:p w:rsidR="00BC5298" w:rsidRPr="005243ED" w:rsidRDefault="00BC5298" w:rsidP="00874CEA">
      <w:pPr>
        <w:pStyle w:val="Ttulo2"/>
        <w:spacing w:before="0" w:after="240" w:line="360" w:lineRule="auto"/>
        <w:jc w:val="center"/>
        <w:rPr>
          <w:rFonts w:ascii="Times New Roman" w:hAnsi="Times New Roman" w:cs="Times New Roman"/>
          <w:color w:val="auto"/>
          <w:sz w:val="24"/>
          <w:szCs w:val="24"/>
        </w:rPr>
      </w:pPr>
      <w:bookmarkStart w:id="130" w:name="_Toc327478030"/>
      <w:r w:rsidRPr="005243ED">
        <w:rPr>
          <w:rFonts w:ascii="Times New Roman" w:hAnsi="Times New Roman" w:cs="Times New Roman"/>
          <w:color w:val="auto"/>
          <w:sz w:val="24"/>
          <w:szCs w:val="24"/>
        </w:rPr>
        <w:t>RESULTADOS Y ANÁLISIS DE RESULTADOS</w:t>
      </w:r>
      <w:bookmarkEnd w:id="130"/>
    </w:p>
    <w:p w:rsidR="00335F95" w:rsidRPr="00335F95" w:rsidRDefault="0088725F" w:rsidP="005243ED">
      <w:pPr>
        <w:spacing w:after="240" w:line="360" w:lineRule="auto"/>
        <w:jc w:val="both"/>
        <w:rPr>
          <w:iCs/>
          <w:szCs w:val="24"/>
        </w:rPr>
      </w:pPr>
      <w:r>
        <w:rPr>
          <w:iCs/>
          <w:szCs w:val="24"/>
        </w:rPr>
        <w:tab/>
      </w:r>
      <w:r w:rsidR="00335F95" w:rsidRPr="00335F95">
        <w:rPr>
          <w:iCs/>
          <w:szCs w:val="24"/>
        </w:rPr>
        <w:t>A continuación se presentan los resultados y análisis de cada una de las experiencias realizadas. La discusión se realizó en función al cumplimiento de cada uno de los objetivos planteados.</w:t>
      </w:r>
      <w:r w:rsidR="00820F87">
        <w:rPr>
          <w:iCs/>
          <w:szCs w:val="24"/>
        </w:rPr>
        <w:t xml:space="preserve"> </w:t>
      </w:r>
    </w:p>
    <w:p w:rsidR="00026FBD" w:rsidRPr="00026FBD" w:rsidRDefault="00874CEA" w:rsidP="00026FBD">
      <w:pPr>
        <w:pStyle w:val="Ttulo3"/>
        <w:spacing w:before="0" w:line="360" w:lineRule="auto"/>
        <w:rPr>
          <w:rFonts w:ascii="Times New Roman" w:hAnsi="Times New Roman" w:cs="Times New Roman"/>
          <w:color w:val="auto"/>
        </w:rPr>
      </w:pPr>
      <w:bookmarkStart w:id="131" w:name="_Toc327478031"/>
      <w:r>
        <w:rPr>
          <w:rFonts w:ascii="Times New Roman" w:hAnsi="Times New Roman" w:cs="Times New Roman"/>
          <w:color w:val="auto"/>
        </w:rPr>
        <w:t xml:space="preserve">4.1 </w:t>
      </w:r>
      <w:r w:rsidR="00026FBD" w:rsidRPr="00026FBD">
        <w:rPr>
          <w:rFonts w:ascii="Times New Roman" w:hAnsi="Times New Roman" w:cs="Times New Roman"/>
          <w:color w:val="auto"/>
        </w:rPr>
        <w:t xml:space="preserve">Diseño de un sistema </w:t>
      </w:r>
      <w:r w:rsidR="0069256F">
        <w:rPr>
          <w:rFonts w:ascii="Times New Roman" w:hAnsi="Times New Roman" w:cs="Times New Roman"/>
          <w:color w:val="auto"/>
        </w:rPr>
        <w:t xml:space="preserve">continuo </w:t>
      </w:r>
      <w:r w:rsidR="00026FBD" w:rsidRPr="00026FBD">
        <w:rPr>
          <w:rFonts w:ascii="Times New Roman" w:hAnsi="Times New Roman" w:cs="Times New Roman"/>
          <w:color w:val="auto"/>
        </w:rPr>
        <w:t>para la deshidratación de emulsiones agua-crudo de fosas de producción</w:t>
      </w:r>
      <w:bookmarkEnd w:id="131"/>
    </w:p>
    <w:p w:rsidR="00335F95" w:rsidRPr="00F4506C" w:rsidRDefault="00335F95" w:rsidP="005243ED">
      <w:pPr>
        <w:spacing w:line="360" w:lineRule="auto"/>
        <w:jc w:val="both"/>
        <w:rPr>
          <w:szCs w:val="24"/>
        </w:rPr>
      </w:pPr>
      <w:r>
        <w:rPr>
          <w:szCs w:val="24"/>
        </w:rPr>
        <w:tab/>
      </w:r>
      <w:r w:rsidRPr="00F4506C">
        <w:rPr>
          <w:szCs w:val="24"/>
        </w:rPr>
        <w:t>La construcción de un sistema de deshidratación electrostática</w:t>
      </w:r>
      <w:r w:rsidR="00E92FF1">
        <w:rPr>
          <w:szCs w:val="24"/>
        </w:rPr>
        <w:t xml:space="preserve"> de emulsiones agua-crudo </w:t>
      </w:r>
      <w:r w:rsidRPr="00F4506C">
        <w:rPr>
          <w:szCs w:val="24"/>
        </w:rPr>
        <w:t xml:space="preserve">representó para el equipo de trabajo del Laboratorio de Separaciones Mecánicas un gran reto debido a </w:t>
      </w:r>
      <w:r w:rsidR="00E92FF1">
        <w:rPr>
          <w:szCs w:val="24"/>
        </w:rPr>
        <w:t>las características tan particulares</w:t>
      </w:r>
      <w:r w:rsidRPr="00F4506C">
        <w:rPr>
          <w:szCs w:val="24"/>
        </w:rPr>
        <w:t xml:space="preserve"> de las emulsiones empleadas</w:t>
      </w:r>
      <w:r w:rsidR="00E92FF1">
        <w:rPr>
          <w:szCs w:val="24"/>
        </w:rPr>
        <w:t xml:space="preserve"> </w:t>
      </w:r>
      <w:r w:rsidR="00E92FF1" w:rsidRPr="00E92FF1">
        <w:rPr>
          <w:szCs w:val="24"/>
        </w:rPr>
        <w:t>(fosas)</w:t>
      </w:r>
      <w:r w:rsidRPr="00F4506C">
        <w:rPr>
          <w:szCs w:val="24"/>
        </w:rPr>
        <w:t xml:space="preserve">. </w:t>
      </w:r>
      <w:r w:rsidR="00E92FF1">
        <w:rPr>
          <w:szCs w:val="24"/>
        </w:rPr>
        <w:t>Este sistema</w:t>
      </w:r>
      <w:r w:rsidRPr="00F4506C">
        <w:rPr>
          <w:szCs w:val="24"/>
        </w:rPr>
        <w:t xml:space="preserve"> permitió analizar de manera sistemática algunas de las variables que rigen el proceso de deshidratación electrostática y más específicamente el mecanismo de electrocoalescencia cuando se incluye un medio de distinta mojabilidad para promover la coalescencia de las gotas y </w:t>
      </w:r>
      <w:r w:rsidR="00E92FF1">
        <w:rPr>
          <w:szCs w:val="24"/>
        </w:rPr>
        <w:t>la posterior separación de fases de la emulsión.</w:t>
      </w:r>
    </w:p>
    <w:p w:rsidR="00335F95" w:rsidRPr="00F4506C" w:rsidRDefault="00335F95" w:rsidP="00335F95">
      <w:pPr>
        <w:spacing w:line="360" w:lineRule="auto"/>
        <w:jc w:val="both"/>
        <w:rPr>
          <w:szCs w:val="24"/>
        </w:rPr>
      </w:pPr>
      <w:r>
        <w:rPr>
          <w:szCs w:val="24"/>
        </w:rPr>
        <w:tab/>
      </w:r>
      <w:r w:rsidRPr="00F4506C">
        <w:rPr>
          <w:szCs w:val="24"/>
        </w:rPr>
        <w:t xml:space="preserve">El sistema de tratamiento construido incorpora todos y cada uno de los ‘‘saberes’’ adquiridos por más de un año de estudios y análisis en el Laboratorio de Separaciones Mecánicas. Es importante mencionar que la experiencia y los conocimientos adquiridos hasta entonces en el LSM en el área de deshidratación electrostática se han basado en el empleo de emulsiones sintéticas. </w:t>
      </w:r>
    </w:p>
    <w:p w:rsidR="00026FBD" w:rsidRDefault="00335F95" w:rsidP="00072AB3">
      <w:pPr>
        <w:spacing w:line="360" w:lineRule="auto"/>
        <w:ind w:left="-90" w:firstLine="90"/>
        <w:jc w:val="both"/>
        <w:rPr>
          <w:szCs w:val="24"/>
        </w:rPr>
      </w:pPr>
      <w:r>
        <w:rPr>
          <w:szCs w:val="24"/>
        </w:rPr>
        <w:tab/>
      </w:r>
      <w:r w:rsidRPr="00F4506C">
        <w:rPr>
          <w:szCs w:val="24"/>
        </w:rPr>
        <w:t>La complejidad que sup</w:t>
      </w:r>
      <w:r w:rsidR="00E92FF1">
        <w:rPr>
          <w:szCs w:val="24"/>
        </w:rPr>
        <w:t>uso</w:t>
      </w:r>
      <w:r w:rsidRPr="00F4506C">
        <w:rPr>
          <w:szCs w:val="24"/>
        </w:rPr>
        <w:t xml:space="preserve"> la construcción de este sistema </w:t>
      </w:r>
      <w:r w:rsidR="000769C4">
        <w:rPr>
          <w:szCs w:val="24"/>
        </w:rPr>
        <w:t>radicó</w:t>
      </w:r>
      <w:r w:rsidR="00E92FF1">
        <w:rPr>
          <w:szCs w:val="24"/>
        </w:rPr>
        <w:t xml:space="preserve"> en que</w:t>
      </w:r>
      <w:r w:rsidRPr="00F4506C">
        <w:rPr>
          <w:szCs w:val="24"/>
        </w:rPr>
        <w:t xml:space="preserve"> las emulsiones eran mucho más complejas y difíciles de tratar que las emulsiones sintéticas formuladas</w:t>
      </w:r>
      <w:r w:rsidR="000769C4">
        <w:rPr>
          <w:szCs w:val="24"/>
        </w:rPr>
        <w:t xml:space="preserve"> en trabajos anteriores</w:t>
      </w:r>
      <w:r w:rsidRPr="00F4506C">
        <w:rPr>
          <w:szCs w:val="24"/>
        </w:rPr>
        <w:t xml:space="preserve">. </w:t>
      </w:r>
      <w:r w:rsidR="00026FBD">
        <w:rPr>
          <w:szCs w:val="24"/>
        </w:rPr>
        <w:t xml:space="preserve"> </w:t>
      </w:r>
    </w:p>
    <w:p w:rsidR="000769C4" w:rsidRDefault="000769C4" w:rsidP="00026FBD">
      <w:pPr>
        <w:spacing w:line="360" w:lineRule="auto"/>
        <w:jc w:val="both"/>
        <w:rPr>
          <w:szCs w:val="24"/>
        </w:rPr>
      </w:pPr>
      <w:r>
        <w:rPr>
          <w:szCs w:val="24"/>
        </w:rPr>
        <w:tab/>
      </w:r>
      <w:r w:rsidR="00335F95" w:rsidRPr="00F4506C">
        <w:rPr>
          <w:szCs w:val="24"/>
        </w:rPr>
        <w:t xml:space="preserve">La construcción de un sistema de tratamiento electrostático de fosas de producción </w:t>
      </w:r>
      <w:r>
        <w:rPr>
          <w:szCs w:val="24"/>
        </w:rPr>
        <w:t xml:space="preserve">a escala de laboratorio </w:t>
      </w:r>
      <w:r w:rsidR="00335F95" w:rsidRPr="00F4506C">
        <w:rPr>
          <w:szCs w:val="24"/>
        </w:rPr>
        <w:t xml:space="preserve">debía </w:t>
      </w:r>
      <w:r>
        <w:rPr>
          <w:szCs w:val="24"/>
        </w:rPr>
        <w:t>tomar en consideración las características</w:t>
      </w:r>
      <w:r w:rsidR="00335F95" w:rsidRPr="00F4506C">
        <w:rPr>
          <w:szCs w:val="24"/>
        </w:rPr>
        <w:t xml:space="preserve"> que supondría la instalación de un sistema de tratamiento de fosas a escala industrial</w:t>
      </w:r>
      <w:r>
        <w:rPr>
          <w:szCs w:val="24"/>
        </w:rPr>
        <w:t>, entre las cuales se tienen:</w:t>
      </w:r>
    </w:p>
    <w:p w:rsidR="00335F95" w:rsidRPr="00F4506C" w:rsidRDefault="000769C4" w:rsidP="00977FC2">
      <w:pPr>
        <w:spacing w:line="360" w:lineRule="auto"/>
        <w:jc w:val="both"/>
        <w:rPr>
          <w:szCs w:val="24"/>
        </w:rPr>
      </w:pPr>
      <w:r>
        <w:rPr>
          <w:szCs w:val="24"/>
        </w:rPr>
        <w:tab/>
      </w:r>
      <w:r w:rsidR="00335F95" w:rsidRPr="00F4506C">
        <w:rPr>
          <w:szCs w:val="24"/>
        </w:rPr>
        <w:t>- Bajo costo de operación y mantenimiento.</w:t>
      </w:r>
    </w:p>
    <w:p w:rsidR="00335F95" w:rsidRPr="00F4506C" w:rsidRDefault="00335F95" w:rsidP="00335F95">
      <w:pPr>
        <w:spacing w:line="360" w:lineRule="auto"/>
        <w:ind w:left="720"/>
        <w:jc w:val="both"/>
        <w:rPr>
          <w:szCs w:val="24"/>
        </w:rPr>
      </w:pPr>
      <w:r w:rsidRPr="00F4506C">
        <w:rPr>
          <w:szCs w:val="24"/>
        </w:rPr>
        <w:lastRenderedPageBreak/>
        <w:t>- Versatilidad de instalación en el área aledaña a la fosa de producción.</w:t>
      </w:r>
    </w:p>
    <w:p w:rsidR="00335F95" w:rsidRPr="00F4506C" w:rsidRDefault="00335F95" w:rsidP="00335F95">
      <w:pPr>
        <w:spacing w:line="360" w:lineRule="auto"/>
        <w:ind w:left="720"/>
        <w:jc w:val="both"/>
        <w:rPr>
          <w:szCs w:val="24"/>
        </w:rPr>
      </w:pPr>
      <w:r w:rsidRPr="00F4506C">
        <w:rPr>
          <w:szCs w:val="24"/>
        </w:rPr>
        <w:t>- Fácil de operar.</w:t>
      </w:r>
    </w:p>
    <w:p w:rsidR="00335F95" w:rsidRPr="00F4506C" w:rsidRDefault="00335F95" w:rsidP="00335F95">
      <w:pPr>
        <w:spacing w:line="360" w:lineRule="auto"/>
        <w:ind w:left="720"/>
        <w:jc w:val="both"/>
        <w:rPr>
          <w:szCs w:val="24"/>
        </w:rPr>
      </w:pPr>
      <w:r w:rsidRPr="00F4506C">
        <w:rPr>
          <w:szCs w:val="24"/>
        </w:rPr>
        <w:t>- Evitar el uso de agentes químicos que pudieran constituir un pasivo ambiental.</w:t>
      </w:r>
    </w:p>
    <w:p w:rsidR="00335F95" w:rsidRPr="00F4506C" w:rsidRDefault="00335F95" w:rsidP="00335F95">
      <w:pPr>
        <w:spacing w:line="360" w:lineRule="auto"/>
        <w:ind w:left="720"/>
        <w:jc w:val="both"/>
        <w:rPr>
          <w:szCs w:val="24"/>
        </w:rPr>
      </w:pPr>
      <w:r w:rsidRPr="00F4506C">
        <w:rPr>
          <w:szCs w:val="24"/>
        </w:rPr>
        <w:t>- Proceso de recuperación en continuo a fin de garantizar el tratamiento de la mayor cantidad de material de fosa en el menor tiempo posible.</w:t>
      </w:r>
    </w:p>
    <w:p w:rsidR="00335F95" w:rsidRPr="00F4506C" w:rsidRDefault="00335F95" w:rsidP="00335F95">
      <w:pPr>
        <w:spacing w:line="360" w:lineRule="auto"/>
        <w:ind w:left="720"/>
        <w:jc w:val="both"/>
        <w:rPr>
          <w:szCs w:val="24"/>
        </w:rPr>
      </w:pPr>
      <w:r w:rsidRPr="00F4506C">
        <w:rPr>
          <w:szCs w:val="24"/>
        </w:rPr>
        <w:t>- Energéticamente eficiente. Mínimo consumo de energía.</w:t>
      </w:r>
    </w:p>
    <w:p w:rsidR="00335F95" w:rsidRPr="00F4506C" w:rsidRDefault="00335F95" w:rsidP="00335F95">
      <w:pPr>
        <w:spacing w:line="360" w:lineRule="auto"/>
        <w:ind w:left="720"/>
        <w:jc w:val="both"/>
        <w:rPr>
          <w:szCs w:val="24"/>
        </w:rPr>
      </w:pPr>
      <w:r w:rsidRPr="00F4506C">
        <w:rPr>
          <w:szCs w:val="24"/>
        </w:rPr>
        <w:t xml:space="preserve">- Máxima eficiencia en cuanto a la recuperación de crudo. </w:t>
      </w:r>
    </w:p>
    <w:p w:rsidR="001331D9" w:rsidRDefault="00335F95" w:rsidP="00335F95">
      <w:pPr>
        <w:spacing w:line="360" w:lineRule="auto"/>
        <w:jc w:val="both"/>
        <w:rPr>
          <w:szCs w:val="24"/>
        </w:rPr>
      </w:pPr>
      <w:r>
        <w:rPr>
          <w:szCs w:val="24"/>
        </w:rPr>
        <w:tab/>
      </w:r>
      <w:r w:rsidRPr="00F4506C">
        <w:rPr>
          <w:szCs w:val="24"/>
        </w:rPr>
        <w:t>Todas estas consideraciones constituyeron las bases del diseño del sistema de tratamiento propuesto para la recuperación de crudo de material de fosa.</w:t>
      </w:r>
    </w:p>
    <w:p w:rsidR="00335F95" w:rsidRPr="00F4506C" w:rsidRDefault="00335F95" w:rsidP="00335F95">
      <w:pPr>
        <w:spacing w:line="360" w:lineRule="auto"/>
        <w:jc w:val="both"/>
        <w:rPr>
          <w:szCs w:val="24"/>
        </w:rPr>
      </w:pPr>
      <w:r>
        <w:rPr>
          <w:szCs w:val="24"/>
        </w:rPr>
        <w:tab/>
      </w:r>
      <w:r w:rsidR="001331D9">
        <w:rPr>
          <w:szCs w:val="24"/>
        </w:rPr>
        <w:t>Se</w:t>
      </w:r>
      <w:r w:rsidRPr="00F4506C">
        <w:rPr>
          <w:szCs w:val="24"/>
        </w:rPr>
        <w:t xml:space="preserve"> presenta a continuación un breve resumen d</w:t>
      </w:r>
      <w:r w:rsidR="001331D9">
        <w:rPr>
          <w:szCs w:val="24"/>
        </w:rPr>
        <w:t xml:space="preserve">e los estudios y resultados logrados a partir de las pruebas preliminares realizadas en base al desarrollo del sistema de </w:t>
      </w:r>
      <w:r w:rsidR="0069256F">
        <w:rPr>
          <w:szCs w:val="24"/>
        </w:rPr>
        <w:t>trat</w:t>
      </w:r>
      <w:r w:rsidR="00F66488">
        <w:rPr>
          <w:szCs w:val="24"/>
        </w:rPr>
        <w:t>a</w:t>
      </w:r>
      <w:r w:rsidR="0069256F">
        <w:rPr>
          <w:szCs w:val="24"/>
        </w:rPr>
        <w:t>miento</w:t>
      </w:r>
      <w:r w:rsidR="001331D9">
        <w:rPr>
          <w:szCs w:val="24"/>
        </w:rPr>
        <w:t xml:space="preserve"> continuo.</w:t>
      </w:r>
    </w:p>
    <w:p w:rsidR="00335F95" w:rsidRPr="00F4506C" w:rsidRDefault="001331D9" w:rsidP="00335F95">
      <w:pPr>
        <w:spacing w:line="360" w:lineRule="auto"/>
        <w:jc w:val="both"/>
        <w:rPr>
          <w:szCs w:val="24"/>
          <w:lang w:val="es-VE"/>
        </w:rPr>
      </w:pPr>
      <w:r>
        <w:rPr>
          <w:szCs w:val="24"/>
        </w:rPr>
        <w:tab/>
      </w:r>
      <w:r w:rsidR="00335F95" w:rsidRPr="00F4506C">
        <w:rPr>
          <w:szCs w:val="24"/>
        </w:rPr>
        <w:t xml:space="preserve">Las primeras pruebas con material de fosas </w:t>
      </w:r>
      <w:r>
        <w:rPr>
          <w:szCs w:val="24"/>
        </w:rPr>
        <w:t>fueron llevadas a cabo en una celda de observación</w:t>
      </w:r>
      <w:r w:rsidR="004F2DDB">
        <w:rPr>
          <w:szCs w:val="24"/>
        </w:rPr>
        <w:t xml:space="preserve"> </w:t>
      </w:r>
      <w:r w:rsidR="003E7EDD">
        <w:rPr>
          <w:szCs w:val="24"/>
        </w:rPr>
        <w:t>(f</w:t>
      </w:r>
      <w:r w:rsidR="004F2DDB" w:rsidRPr="0005538D">
        <w:rPr>
          <w:szCs w:val="24"/>
        </w:rPr>
        <w:t>igura N°</w:t>
      </w:r>
      <w:r w:rsidR="0005538D" w:rsidRPr="0005538D">
        <w:rPr>
          <w:szCs w:val="24"/>
        </w:rPr>
        <w:t xml:space="preserve"> </w:t>
      </w:r>
      <w:r w:rsidR="003E7EDD">
        <w:rPr>
          <w:szCs w:val="24"/>
        </w:rPr>
        <w:t>29</w:t>
      </w:r>
      <w:r w:rsidR="004F2DDB" w:rsidRPr="0005538D">
        <w:rPr>
          <w:szCs w:val="24"/>
        </w:rPr>
        <w:t>)</w:t>
      </w:r>
      <w:r w:rsidRPr="0005538D">
        <w:rPr>
          <w:szCs w:val="24"/>
        </w:rPr>
        <w:t>.</w:t>
      </w:r>
      <w:r w:rsidR="00335F95" w:rsidRPr="00F4506C">
        <w:rPr>
          <w:szCs w:val="24"/>
        </w:rPr>
        <w:t xml:space="preserve"> La celda fue desarrollada por el </w:t>
      </w:r>
      <w:r w:rsidR="00335F95" w:rsidRPr="00F4506C">
        <w:rPr>
          <w:rFonts w:eastAsiaTheme="minorHAnsi"/>
          <w:szCs w:val="24"/>
          <w:lang w:val="es-VE" w:eastAsia="en-US"/>
        </w:rPr>
        <w:t xml:space="preserve">MSc.-Ing. Carlos Javier Morales </w:t>
      </w:r>
      <w:r w:rsidR="00CF2416" w:rsidRPr="00F4506C">
        <w:rPr>
          <w:rFonts w:eastAsiaTheme="minorHAnsi"/>
          <w:szCs w:val="24"/>
          <w:lang w:val="es-VE" w:eastAsia="en-US"/>
        </w:rPr>
        <w:t>Henríquez</w:t>
      </w:r>
      <w:r w:rsidR="00335F95" w:rsidRPr="00F4506C">
        <w:rPr>
          <w:rFonts w:eastAsiaTheme="minorHAnsi"/>
          <w:szCs w:val="24"/>
          <w:lang w:val="es-VE" w:eastAsia="en-US"/>
        </w:rPr>
        <w:t xml:space="preserve"> en </w:t>
      </w:r>
      <w:r>
        <w:rPr>
          <w:rFonts w:eastAsiaTheme="minorHAnsi"/>
          <w:szCs w:val="24"/>
          <w:lang w:val="es-VE" w:eastAsia="en-US"/>
        </w:rPr>
        <w:t xml:space="preserve">el </w:t>
      </w:r>
      <w:r w:rsidR="00335F95" w:rsidRPr="00F4506C">
        <w:rPr>
          <w:rFonts w:eastAsiaTheme="minorHAnsi"/>
          <w:szCs w:val="24"/>
          <w:lang w:val="es-VE" w:eastAsia="en-US"/>
        </w:rPr>
        <w:t>año 2007 (Morales, 2007). Ésta</w:t>
      </w:r>
      <w:r w:rsidR="00335F95" w:rsidRPr="00F4506C">
        <w:rPr>
          <w:szCs w:val="24"/>
        </w:rPr>
        <w:t xml:space="preserve"> </w:t>
      </w:r>
      <w:r w:rsidR="004F2DDB">
        <w:rPr>
          <w:szCs w:val="24"/>
        </w:rPr>
        <w:t>se colocó</w:t>
      </w:r>
      <w:r w:rsidR="00335F95" w:rsidRPr="00F4506C">
        <w:rPr>
          <w:szCs w:val="24"/>
        </w:rPr>
        <w:t xml:space="preserve"> sobre la platina del microscopio del LSM (microscopio </w:t>
      </w:r>
      <w:r w:rsidR="00335F95" w:rsidRPr="00F4506C">
        <w:rPr>
          <w:szCs w:val="24"/>
          <w:lang w:val="es-VE"/>
        </w:rPr>
        <w:t>NIKON MED 600) y mediante una cámara de captura de imágenes y video</w:t>
      </w:r>
      <w:r w:rsidR="004F2DDB">
        <w:rPr>
          <w:szCs w:val="24"/>
          <w:lang w:val="es-VE"/>
        </w:rPr>
        <w:t xml:space="preserve"> CCD</w:t>
      </w:r>
      <w:r w:rsidR="00335F95" w:rsidRPr="00F4506C">
        <w:rPr>
          <w:szCs w:val="24"/>
          <w:lang w:val="es-VE"/>
        </w:rPr>
        <w:t xml:space="preserve"> se realizaron observaciones </w:t>
      </w:r>
      <w:r>
        <w:rPr>
          <w:szCs w:val="24"/>
          <w:lang w:val="es-VE"/>
        </w:rPr>
        <w:t xml:space="preserve">sobre </w:t>
      </w:r>
      <w:r w:rsidR="004F2DDB">
        <w:rPr>
          <w:szCs w:val="24"/>
          <w:lang w:val="es-VE"/>
        </w:rPr>
        <w:t>los</w:t>
      </w:r>
      <w:r>
        <w:rPr>
          <w:szCs w:val="24"/>
          <w:lang w:val="es-VE"/>
        </w:rPr>
        <w:t xml:space="preserve"> efecto</w:t>
      </w:r>
      <w:r w:rsidR="004F2DDB">
        <w:rPr>
          <w:szCs w:val="24"/>
          <w:lang w:val="es-VE"/>
        </w:rPr>
        <w:t>s</w:t>
      </w:r>
      <w:r>
        <w:rPr>
          <w:szCs w:val="24"/>
          <w:lang w:val="es-VE"/>
        </w:rPr>
        <w:t xml:space="preserve"> de aplicación de un campo eléctrico DC a la fosa </w:t>
      </w:r>
      <w:r w:rsidR="00355A67">
        <w:rPr>
          <w:szCs w:val="24"/>
          <w:lang w:val="es-VE"/>
        </w:rPr>
        <w:t>Acema-100</w:t>
      </w:r>
      <w:r w:rsidR="00335F95" w:rsidRPr="00F4506C">
        <w:rPr>
          <w:szCs w:val="24"/>
          <w:lang w:val="es-VE"/>
        </w:rPr>
        <w:t xml:space="preserve">. </w:t>
      </w:r>
    </w:p>
    <w:p w:rsidR="00335F95" w:rsidRPr="00F4506C" w:rsidRDefault="00335F95" w:rsidP="00335F95">
      <w:pPr>
        <w:spacing w:line="360" w:lineRule="auto"/>
        <w:jc w:val="center"/>
        <w:rPr>
          <w:szCs w:val="24"/>
          <w:lang w:val="es-VE"/>
        </w:rPr>
      </w:pPr>
      <w:r w:rsidRPr="00F4506C">
        <w:rPr>
          <w:noProof/>
          <w:szCs w:val="24"/>
          <w:lang w:val="en-US" w:eastAsia="en-US"/>
        </w:rPr>
        <w:drawing>
          <wp:inline distT="0" distB="0" distL="0" distR="0">
            <wp:extent cx="3484561" cy="1512168"/>
            <wp:effectExtent l="76200" t="57150" r="153989" b="88032"/>
            <wp:docPr id="1" name="Imagen 3"/>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47" cstate="print"/>
                    <a:srcRect/>
                    <a:stretch>
                      <a:fillRect/>
                    </a:stretch>
                  </pic:blipFill>
                  <pic:spPr bwMode="auto">
                    <a:xfrm>
                      <a:off x="0" y="0"/>
                      <a:ext cx="3484561" cy="1512168"/>
                    </a:xfrm>
                    <a:prstGeom prst="rect">
                      <a:avLst/>
                    </a:prstGeom>
                    <a:ln w="19050" cap="sq">
                      <a:solidFill>
                        <a:srgbClr val="000000"/>
                      </a:solidFill>
                      <a:prstDash val="solid"/>
                      <a:miter lim="800000"/>
                    </a:ln>
                    <a:effectLst>
                      <a:glow rad="63500">
                        <a:schemeClr val="accent1">
                          <a:satMod val="175000"/>
                          <a:alpha val="40000"/>
                        </a:schemeClr>
                      </a:glow>
                      <a:outerShdw blurRad="50800" dist="38100" dir="2700000" algn="tl" rotWithShape="0">
                        <a:srgbClr val="000000">
                          <a:alpha val="43000"/>
                        </a:srgbClr>
                      </a:outerShdw>
                    </a:effectLst>
                  </pic:spPr>
                </pic:pic>
              </a:graphicData>
            </a:graphic>
          </wp:inline>
        </w:drawing>
      </w:r>
    </w:p>
    <w:p w:rsidR="00335F95" w:rsidRPr="00F4506C" w:rsidRDefault="003F4126" w:rsidP="003F4126">
      <w:pPr>
        <w:pStyle w:val="Epgrafe"/>
      </w:pPr>
      <w:bookmarkStart w:id="132" w:name="_Toc327481441"/>
      <w:r>
        <w:t xml:space="preserve">Figura N° </w:t>
      </w:r>
      <w:fldSimple w:instr=" SEQ Figura_N° \* ARABIC ">
        <w:r w:rsidR="004A5F6F">
          <w:rPr>
            <w:noProof/>
          </w:rPr>
          <w:t>29</w:t>
        </w:r>
      </w:fldSimple>
      <w:r w:rsidR="00335F95" w:rsidRPr="00F4506C">
        <w:t>: Celda de observación (</w:t>
      </w:r>
      <w:r>
        <w:t>Morales</w:t>
      </w:r>
      <w:r w:rsidR="00964044">
        <w:t>, 200</w:t>
      </w:r>
      <w:r>
        <w:t>7</w:t>
      </w:r>
      <w:r w:rsidR="00335F95" w:rsidRPr="00F4506C">
        <w:t>).</w:t>
      </w:r>
      <w:bookmarkEnd w:id="132"/>
    </w:p>
    <w:p w:rsidR="004F2DDB" w:rsidRDefault="00977FC2" w:rsidP="004F2DDB">
      <w:pPr>
        <w:spacing w:line="360" w:lineRule="auto"/>
        <w:jc w:val="both"/>
        <w:rPr>
          <w:szCs w:val="24"/>
        </w:rPr>
      </w:pPr>
      <w:r>
        <w:rPr>
          <w:szCs w:val="24"/>
        </w:rPr>
        <w:lastRenderedPageBreak/>
        <w:tab/>
      </w:r>
      <w:r w:rsidR="004F2DDB">
        <w:rPr>
          <w:szCs w:val="24"/>
        </w:rPr>
        <w:t xml:space="preserve">Para cada una de pruebas realizadas con la celda de observación se aplicó un campo de corriente </w:t>
      </w:r>
      <w:r w:rsidR="00D65602">
        <w:rPr>
          <w:szCs w:val="24"/>
        </w:rPr>
        <w:t xml:space="preserve">directa. Éstas </w:t>
      </w:r>
      <w:r w:rsidR="004F2DDB">
        <w:rPr>
          <w:szCs w:val="24"/>
        </w:rPr>
        <w:t>permitieron identificar alguno de los fenómenos descritos a continuación:</w:t>
      </w:r>
    </w:p>
    <w:p w:rsidR="008A781B" w:rsidRDefault="00977FC2" w:rsidP="00977FC2">
      <w:pPr>
        <w:spacing w:line="360" w:lineRule="auto"/>
        <w:ind w:firstLine="540"/>
        <w:jc w:val="both"/>
        <w:rPr>
          <w:szCs w:val="24"/>
        </w:rPr>
      </w:pPr>
      <w:r>
        <w:rPr>
          <w:szCs w:val="24"/>
        </w:rPr>
        <w:t xml:space="preserve">- </w:t>
      </w:r>
      <w:r w:rsidRPr="003D5DCB">
        <w:rPr>
          <w:b/>
          <w:szCs w:val="24"/>
        </w:rPr>
        <w:t>P</w:t>
      </w:r>
      <w:r w:rsidR="004F2DDB" w:rsidRPr="003D5DCB">
        <w:rPr>
          <w:b/>
          <w:szCs w:val="24"/>
        </w:rPr>
        <w:t xml:space="preserve">ercolación: </w:t>
      </w:r>
      <w:r w:rsidR="00D65602">
        <w:rPr>
          <w:szCs w:val="24"/>
        </w:rPr>
        <w:t>Este fenómeno se evidenció por una caída del voltaje aplicado, el c</w:t>
      </w:r>
      <w:r>
        <w:rPr>
          <w:szCs w:val="24"/>
        </w:rPr>
        <w:t>ual disminuyó hasta los 0,5 kV</w:t>
      </w:r>
      <w:r w:rsidR="005C775D">
        <w:rPr>
          <w:szCs w:val="24"/>
        </w:rPr>
        <w:t xml:space="preserve"> a los pocos segundos de iniciada la experiencia. Esta caída del voltaje se produjo por </w:t>
      </w:r>
      <w:r w:rsidR="00D65602">
        <w:rPr>
          <w:szCs w:val="24"/>
        </w:rPr>
        <w:t xml:space="preserve">un aumento de la conductividad de la muestra </w:t>
      </w:r>
      <w:r>
        <w:rPr>
          <w:szCs w:val="24"/>
        </w:rPr>
        <w:t xml:space="preserve">(aumento de la intensidad de corriente) </w:t>
      </w:r>
      <w:r w:rsidR="00D65602">
        <w:rPr>
          <w:szCs w:val="24"/>
        </w:rPr>
        <w:t>producto de la formación de cadenas de gotas entre los electrodos</w:t>
      </w:r>
      <w:r>
        <w:rPr>
          <w:szCs w:val="24"/>
        </w:rPr>
        <w:t>.</w:t>
      </w:r>
    </w:p>
    <w:p w:rsidR="00977FC2" w:rsidRDefault="00977FC2" w:rsidP="00977FC2">
      <w:pPr>
        <w:pStyle w:val="Prrafodelista"/>
        <w:numPr>
          <w:ilvl w:val="1"/>
          <w:numId w:val="2"/>
        </w:numPr>
        <w:spacing w:line="360" w:lineRule="auto"/>
        <w:ind w:left="540" w:firstLine="0"/>
        <w:jc w:val="both"/>
        <w:rPr>
          <w:color w:val="000000" w:themeColor="text1"/>
          <w:szCs w:val="24"/>
        </w:rPr>
      </w:pPr>
      <w:r w:rsidRPr="003D5DCB">
        <w:rPr>
          <w:b/>
          <w:color w:val="000000" w:themeColor="text1"/>
          <w:szCs w:val="24"/>
        </w:rPr>
        <w:t>Escurrimiento:</w:t>
      </w:r>
      <w:r>
        <w:rPr>
          <w:color w:val="000000" w:themeColor="text1"/>
          <w:szCs w:val="24"/>
        </w:rPr>
        <w:t xml:space="preserve"> </w:t>
      </w:r>
      <w:r w:rsidRPr="00F4506C">
        <w:rPr>
          <w:color w:val="000000" w:themeColor="text1"/>
          <w:szCs w:val="24"/>
        </w:rPr>
        <w:t>Desaparición de grandes gotas del campo visual del microscopio, quizá debido a interacciones con el material del portaobjetos</w:t>
      </w:r>
      <w:r>
        <w:rPr>
          <w:color w:val="000000" w:themeColor="text1"/>
          <w:szCs w:val="24"/>
        </w:rPr>
        <w:t xml:space="preserve"> (vidrio)</w:t>
      </w:r>
      <w:r w:rsidRPr="00F4506C">
        <w:rPr>
          <w:color w:val="000000" w:themeColor="text1"/>
          <w:szCs w:val="24"/>
        </w:rPr>
        <w:t>.</w:t>
      </w:r>
    </w:p>
    <w:p w:rsidR="00977FC2" w:rsidRDefault="00977FC2" w:rsidP="00977FC2">
      <w:pPr>
        <w:pStyle w:val="Prrafodelista"/>
        <w:numPr>
          <w:ilvl w:val="1"/>
          <w:numId w:val="2"/>
        </w:numPr>
        <w:spacing w:line="360" w:lineRule="auto"/>
        <w:ind w:left="540" w:firstLine="0"/>
        <w:jc w:val="both"/>
        <w:rPr>
          <w:color w:val="000000" w:themeColor="text1"/>
          <w:szCs w:val="24"/>
        </w:rPr>
      </w:pPr>
      <w:r>
        <w:rPr>
          <w:color w:val="000000" w:themeColor="text1"/>
          <w:szCs w:val="24"/>
        </w:rPr>
        <w:t>Coal</w:t>
      </w:r>
      <w:r w:rsidR="00D70F2E">
        <w:rPr>
          <w:color w:val="000000" w:themeColor="text1"/>
          <w:szCs w:val="24"/>
        </w:rPr>
        <w:t>escencia de gotas cercanas la una a la otra.</w:t>
      </w:r>
    </w:p>
    <w:p w:rsidR="00D70F2E" w:rsidRDefault="00D70F2E" w:rsidP="00977FC2">
      <w:pPr>
        <w:pStyle w:val="Prrafodelista"/>
        <w:numPr>
          <w:ilvl w:val="1"/>
          <w:numId w:val="2"/>
        </w:numPr>
        <w:spacing w:line="360" w:lineRule="auto"/>
        <w:ind w:left="540" w:firstLine="0"/>
        <w:jc w:val="both"/>
        <w:rPr>
          <w:color w:val="000000" w:themeColor="text1"/>
          <w:szCs w:val="24"/>
        </w:rPr>
      </w:pPr>
      <w:r>
        <w:rPr>
          <w:color w:val="000000" w:themeColor="text1"/>
          <w:szCs w:val="24"/>
        </w:rPr>
        <w:t>Aglomeración de una gran cantidad de gotas sin coalescer. Formación de flóculos.</w:t>
      </w:r>
    </w:p>
    <w:p w:rsidR="00D70F2E" w:rsidRDefault="00D70F2E" w:rsidP="00977FC2">
      <w:pPr>
        <w:pStyle w:val="Prrafodelista"/>
        <w:numPr>
          <w:ilvl w:val="1"/>
          <w:numId w:val="2"/>
        </w:numPr>
        <w:spacing w:line="360" w:lineRule="auto"/>
        <w:ind w:left="540" w:firstLine="0"/>
        <w:jc w:val="both"/>
        <w:rPr>
          <w:color w:val="000000" w:themeColor="text1"/>
          <w:szCs w:val="24"/>
        </w:rPr>
      </w:pPr>
      <w:r>
        <w:rPr>
          <w:color w:val="000000" w:themeColor="text1"/>
          <w:szCs w:val="24"/>
        </w:rPr>
        <w:t xml:space="preserve">Se observó una mayor cantidad de agua en </w:t>
      </w:r>
      <w:r w:rsidR="005C775D">
        <w:rPr>
          <w:color w:val="000000" w:themeColor="text1"/>
          <w:szCs w:val="24"/>
        </w:rPr>
        <w:t>las inmediaciones</w:t>
      </w:r>
      <w:r>
        <w:rPr>
          <w:color w:val="000000" w:themeColor="text1"/>
          <w:szCs w:val="24"/>
        </w:rPr>
        <w:t xml:space="preserve"> del electrodo negativo</w:t>
      </w:r>
      <w:r w:rsidR="005C775D">
        <w:rPr>
          <w:color w:val="000000" w:themeColor="text1"/>
          <w:szCs w:val="24"/>
        </w:rPr>
        <w:t>.</w:t>
      </w:r>
    </w:p>
    <w:p w:rsidR="005C775D" w:rsidRDefault="005C775D" w:rsidP="005C775D">
      <w:pPr>
        <w:pStyle w:val="Prrafodelista"/>
        <w:spacing w:line="360" w:lineRule="auto"/>
        <w:ind w:left="0"/>
        <w:jc w:val="both"/>
        <w:rPr>
          <w:color w:val="000000" w:themeColor="text1"/>
          <w:szCs w:val="24"/>
        </w:rPr>
      </w:pPr>
      <w:r>
        <w:rPr>
          <w:color w:val="000000" w:themeColor="text1"/>
          <w:szCs w:val="24"/>
        </w:rPr>
        <w:tab/>
        <w:t xml:space="preserve">A continuación, se realizaron pruebas empleando una mayor cantidad de muestra a fin de escalar los resultados obtenidos con la celda de observación  y comprobar así la reproducibilidad de los mismos. </w:t>
      </w:r>
    </w:p>
    <w:p w:rsidR="0056578E" w:rsidRDefault="005C775D" w:rsidP="00072AB3">
      <w:pPr>
        <w:pStyle w:val="Prrafodelista"/>
        <w:spacing w:line="360" w:lineRule="auto"/>
        <w:ind w:left="0"/>
        <w:jc w:val="both"/>
        <w:rPr>
          <w:szCs w:val="24"/>
        </w:rPr>
      </w:pPr>
      <w:r>
        <w:rPr>
          <w:szCs w:val="24"/>
        </w:rPr>
        <w:tab/>
        <w:t xml:space="preserve">Las pruebas realizadas consistieron básicamente en colocar aproximadamente 150 ml </w:t>
      </w:r>
      <w:r w:rsidR="00335F95" w:rsidRPr="00F4506C">
        <w:rPr>
          <w:szCs w:val="24"/>
        </w:rPr>
        <w:t xml:space="preserve">de </w:t>
      </w:r>
      <w:r>
        <w:rPr>
          <w:szCs w:val="24"/>
        </w:rPr>
        <w:t>material de fosa (</w:t>
      </w:r>
      <w:r w:rsidR="00355A67">
        <w:rPr>
          <w:szCs w:val="24"/>
        </w:rPr>
        <w:t>Acema-100</w:t>
      </w:r>
      <w:r>
        <w:rPr>
          <w:szCs w:val="24"/>
        </w:rPr>
        <w:t>)</w:t>
      </w:r>
      <w:r w:rsidR="00335F95" w:rsidRPr="00F4506C">
        <w:rPr>
          <w:szCs w:val="24"/>
        </w:rPr>
        <w:t xml:space="preserve"> en un beaker de 250 ml</w:t>
      </w:r>
      <w:r>
        <w:rPr>
          <w:szCs w:val="24"/>
        </w:rPr>
        <w:t xml:space="preserve"> y aplicar tensión</w:t>
      </w:r>
      <w:r w:rsidR="00760062">
        <w:rPr>
          <w:szCs w:val="24"/>
        </w:rPr>
        <w:t xml:space="preserve">, empleando para ello, dos </w:t>
      </w:r>
      <w:r w:rsidR="00335F95" w:rsidRPr="00F4506C">
        <w:rPr>
          <w:szCs w:val="24"/>
        </w:rPr>
        <w:t xml:space="preserve">electrodos planos de cobre </w:t>
      </w:r>
      <w:r w:rsidR="00760062">
        <w:rPr>
          <w:szCs w:val="24"/>
        </w:rPr>
        <w:t>a</w:t>
      </w:r>
      <w:r w:rsidR="00335F95" w:rsidRPr="00F4506C">
        <w:rPr>
          <w:szCs w:val="24"/>
        </w:rPr>
        <w:t xml:space="preserve"> una separación de 2 cm</w:t>
      </w:r>
      <w:r w:rsidR="00760062">
        <w:rPr>
          <w:szCs w:val="24"/>
        </w:rPr>
        <w:t>.</w:t>
      </w:r>
      <w:r w:rsidR="00BC1270">
        <w:rPr>
          <w:szCs w:val="24"/>
        </w:rPr>
        <w:t xml:space="preserve"> EL voltaje aplicado se determinó como el máximo permitido por el sistema. Tómese en consideración el fenómeno de percolación.</w:t>
      </w:r>
      <w:r w:rsidR="00760062">
        <w:rPr>
          <w:szCs w:val="24"/>
        </w:rPr>
        <w:t xml:space="preserve"> La tensión inicial aplicada fue de 2 kV</w:t>
      </w:r>
      <w:r w:rsidR="003D5DCB">
        <w:rPr>
          <w:szCs w:val="24"/>
        </w:rPr>
        <w:t xml:space="preserve"> (campo AC)</w:t>
      </w:r>
      <w:r w:rsidR="00760062">
        <w:rPr>
          <w:szCs w:val="24"/>
        </w:rPr>
        <w:t xml:space="preserve">. Posteriormente </w:t>
      </w:r>
      <w:r w:rsidR="00335F95" w:rsidRPr="00F4506C">
        <w:rPr>
          <w:szCs w:val="24"/>
        </w:rPr>
        <w:t xml:space="preserve">se </w:t>
      </w:r>
      <w:r w:rsidR="00760062">
        <w:rPr>
          <w:szCs w:val="24"/>
        </w:rPr>
        <w:t>analizó</w:t>
      </w:r>
      <w:r w:rsidR="00335F95" w:rsidRPr="00F4506C">
        <w:rPr>
          <w:szCs w:val="24"/>
        </w:rPr>
        <w:t xml:space="preserve"> una pequeña cantidad de muestra en</w:t>
      </w:r>
      <w:r w:rsidR="00760062">
        <w:rPr>
          <w:szCs w:val="24"/>
        </w:rPr>
        <w:t xml:space="preserve"> el</w:t>
      </w:r>
      <w:r w:rsidR="00335F95" w:rsidRPr="00F4506C">
        <w:rPr>
          <w:szCs w:val="24"/>
        </w:rPr>
        <w:t xml:space="preserve"> microscopio a fin de poder </w:t>
      </w:r>
      <w:r w:rsidR="00760062">
        <w:rPr>
          <w:szCs w:val="24"/>
        </w:rPr>
        <w:t>identificar</w:t>
      </w:r>
      <w:r w:rsidR="00335F95" w:rsidRPr="00F4506C">
        <w:rPr>
          <w:szCs w:val="24"/>
        </w:rPr>
        <w:t xml:space="preserve"> posibles cambios </w:t>
      </w:r>
      <w:r w:rsidR="00760062">
        <w:rPr>
          <w:szCs w:val="24"/>
        </w:rPr>
        <w:t>asociados a los tamaños de gota en la emulsión</w:t>
      </w:r>
      <w:r w:rsidR="00335F95" w:rsidRPr="00F4506C">
        <w:rPr>
          <w:szCs w:val="24"/>
        </w:rPr>
        <w:t>.</w:t>
      </w:r>
      <w:r w:rsidR="00760062">
        <w:rPr>
          <w:szCs w:val="24"/>
        </w:rPr>
        <w:t xml:space="preserve"> </w:t>
      </w:r>
      <w:r w:rsidR="0056578E">
        <w:rPr>
          <w:szCs w:val="24"/>
        </w:rPr>
        <w:t>No</w:t>
      </w:r>
      <w:r w:rsidR="00335F95" w:rsidRPr="00F4506C">
        <w:rPr>
          <w:szCs w:val="24"/>
        </w:rPr>
        <w:t xml:space="preserve"> se apreciaron cambios significativos cuando se compararon las muestras originales (no tratadas) con las sometidas a campo eléctrico</w:t>
      </w:r>
      <w:r w:rsidR="00760062">
        <w:rPr>
          <w:szCs w:val="24"/>
        </w:rPr>
        <w:t>. Se esperaba que el agua coalescida se depositara al fondo del recipiente</w:t>
      </w:r>
      <w:r w:rsidR="0056578E">
        <w:rPr>
          <w:szCs w:val="24"/>
        </w:rPr>
        <w:t xml:space="preserve"> sin embargo no se observó agua libre luego de finalizada la experiencia. Igualmente, al igual que en la </w:t>
      </w:r>
      <w:r w:rsidR="0056578E">
        <w:rPr>
          <w:szCs w:val="24"/>
        </w:rPr>
        <w:lastRenderedPageBreak/>
        <w:t>celda de observación, se presentó un corto eléctrico en el sistema unos 20 ó 25 segundos luego de aplicada la tensión.</w:t>
      </w:r>
    </w:p>
    <w:p w:rsidR="002D3AD1" w:rsidRDefault="0056578E" w:rsidP="002D3AD1">
      <w:pPr>
        <w:spacing w:line="360" w:lineRule="auto"/>
        <w:jc w:val="both"/>
        <w:rPr>
          <w:szCs w:val="24"/>
        </w:rPr>
      </w:pPr>
      <w:r>
        <w:rPr>
          <w:szCs w:val="24"/>
        </w:rPr>
        <w:t xml:space="preserve"> </w:t>
      </w:r>
      <w:r>
        <w:rPr>
          <w:szCs w:val="24"/>
        </w:rPr>
        <w:tab/>
      </w:r>
      <w:r w:rsidR="00335F95" w:rsidRPr="00F4506C">
        <w:rPr>
          <w:szCs w:val="24"/>
        </w:rPr>
        <w:t>Una de las soluciones propuestas sugería recubrir los electrodos con un material aislante</w:t>
      </w:r>
      <w:r w:rsidR="002D3AD1">
        <w:rPr>
          <w:szCs w:val="24"/>
        </w:rPr>
        <w:t>;</w:t>
      </w:r>
      <w:r w:rsidR="00335F95" w:rsidRPr="00F4506C">
        <w:rPr>
          <w:szCs w:val="24"/>
        </w:rPr>
        <w:t xml:space="preserve"> esto no evitaría la formación de cadenas más éstas no entrarían</w:t>
      </w:r>
      <w:r w:rsidR="002A019C">
        <w:rPr>
          <w:szCs w:val="24"/>
        </w:rPr>
        <w:t xml:space="preserve"> en contacto con los electrodos.</w:t>
      </w:r>
      <w:r w:rsidR="00335F95" w:rsidRPr="00F4506C">
        <w:rPr>
          <w:szCs w:val="24"/>
        </w:rPr>
        <w:t xml:space="preserve"> </w:t>
      </w:r>
      <w:r w:rsidR="002A019C">
        <w:rPr>
          <w:szCs w:val="24"/>
        </w:rPr>
        <w:t>S</w:t>
      </w:r>
      <w:r w:rsidR="00335F95" w:rsidRPr="00F4506C">
        <w:rPr>
          <w:szCs w:val="24"/>
        </w:rPr>
        <w:t>in embargo, analizando cuidadosamente los resultados, se determinó que aquello que impedía la coalescencia no era propiamente el fenómeno de percolación</w:t>
      </w:r>
      <w:r w:rsidR="002D3AD1">
        <w:rPr>
          <w:szCs w:val="24"/>
        </w:rPr>
        <w:t xml:space="preserve"> en sí. </w:t>
      </w:r>
      <w:r w:rsidR="002A019C">
        <w:rPr>
          <w:szCs w:val="24"/>
        </w:rPr>
        <w:t>Se observó que para la cantidad de muestra utilizada la intensidad del campo aplicado debía ser muchísimo mayor si se deseaba desestabilizar considerablemente la emulsión.</w:t>
      </w:r>
    </w:p>
    <w:p w:rsidR="00335F95" w:rsidRDefault="00335F95" w:rsidP="00391553">
      <w:pPr>
        <w:spacing w:after="240" w:line="360" w:lineRule="auto"/>
        <w:jc w:val="both"/>
        <w:rPr>
          <w:szCs w:val="24"/>
        </w:rPr>
      </w:pPr>
      <w:r>
        <w:rPr>
          <w:szCs w:val="24"/>
        </w:rPr>
        <w:tab/>
      </w:r>
      <w:r w:rsidR="002A019C">
        <w:rPr>
          <w:szCs w:val="24"/>
        </w:rPr>
        <w:t xml:space="preserve">A continuación, se disminuyó </w:t>
      </w:r>
      <w:r w:rsidRPr="00F4506C">
        <w:rPr>
          <w:szCs w:val="24"/>
        </w:rPr>
        <w:t xml:space="preserve">la separación entre los electrodos </w:t>
      </w:r>
      <w:r w:rsidR="002A019C">
        <w:rPr>
          <w:szCs w:val="24"/>
        </w:rPr>
        <w:t>a un</w:t>
      </w:r>
      <w:r w:rsidRPr="00F4506C">
        <w:rPr>
          <w:szCs w:val="24"/>
        </w:rPr>
        <w:t xml:space="preserve"> 1 cm </w:t>
      </w:r>
      <w:r w:rsidR="002A019C">
        <w:rPr>
          <w:szCs w:val="24"/>
        </w:rPr>
        <w:t xml:space="preserve">al igual que </w:t>
      </w:r>
      <w:r w:rsidRPr="00F4506C">
        <w:rPr>
          <w:szCs w:val="24"/>
        </w:rPr>
        <w:t>la cantidad de muestra tratada. Las imágenes obtenidas con el microscopio mostra</w:t>
      </w:r>
      <w:r w:rsidR="00391553">
        <w:rPr>
          <w:szCs w:val="24"/>
        </w:rPr>
        <w:t xml:space="preserve">ron un incremento poco significativo en el tamaño de las gotas. Posteriormente se añadieron </w:t>
      </w:r>
      <w:r w:rsidRPr="00F4506C">
        <w:rPr>
          <w:szCs w:val="24"/>
        </w:rPr>
        <w:t>anillos de vidrio</w:t>
      </w:r>
      <w:r w:rsidR="00391553">
        <w:rPr>
          <w:szCs w:val="24"/>
        </w:rPr>
        <w:t xml:space="preserve"> a la muestra</w:t>
      </w:r>
      <w:r w:rsidRPr="00F4506C">
        <w:rPr>
          <w:szCs w:val="24"/>
        </w:rPr>
        <w:t xml:space="preserve"> </w:t>
      </w:r>
      <w:r w:rsidR="00391553">
        <w:rPr>
          <w:szCs w:val="24"/>
        </w:rPr>
        <w:t xml:space="preserve">como material coalescedor, </w:t>
      </w:r>
      <w:r w:rsidRPr="00F4506C">
        <w:rPr>
          <w:szCs w:val="24"/>
        </w:rPr>
        <w:t>sin embar</w:t>
      </w:r>
      <w:r w:rsidR="00391553">
        <w:rPr>
          <w:szCs w:val="24"/>
        </w:rPr>
        <w:t>go no se observó mejoría alguna en las muestras de análisis.</w:t>
      </w:r>
    </w:p>
    <w:p w:rsidR="0042393B" w:rsidRPr="005B74B4" w:rsidRDefault="00874CEA" w:rsidP="005B74B4">
      <w:pPr>
        <w:spacing w:line="360" w:lineRule="auto"/>
        <w:jc w:val="both"/>
        <w:rPr>
          <w:b/>
        </w:rPr>
      </w:pPr>
      <w:r w:rsidRPr="005B74B4">
        <w:rPr>
          <w:b/>
        </w:rPr>
        <w:t xml:space="preserve">4.1.1 </w:t>
      </w:r>
      <w:r w:rsidR="0042393B" w:rsidRPr="005B74B4">
        <w:rPr>
          <w:b/>
        </w:rPr>
        <w:t>Celda de trabajo</w:t>
      </w:r>
    </w:p>
    <w:p w:rsidR="0042393B" w:rsidRDefault="0042393B" w:rsidP="0042393B">
      <w:pPr>
        <w:spacing w:line="360" w:lineRule="auto"/>
        <w:jc w:val="both"/>
        <w:rPr>
          <w:szCs w:val="24"/>
        </w:rPr>
      </w:pPr>
      <w:r>
        <w:rPr>
          <w:szCs w:val="24"/>
        </w:rPr>
        <w:tab/>
      </w:r>
      <w:r w:rsidRPr="00F4506C">
        <w:rPr>
          <w:szCs w:val="24"/>
        </w:rPr>
        <w:t xml:space="preserve">Se procedió a continuación a escalar nuevamente las experiencias pero ahora empleando un  factor de escalamiento mucho menor al utilizado en las pruebas </w:t>
      </w:r>
      <w:r>
        <w:rPr>
          <w:szCs w:val="24"/>
        </w:rPr>
        <w:t>con el sistema anterior</w:t>
      </w:r>
      <w:r w:rsidRPr="00F4506C">
        <w:rPr>
          <w:szCs w:val="24"/>
        </w:rPr>
        <w:t xml:space="preserve">. </w:t>
      </w:r>
      <w:r>
        <w:rPr>
          <w:szCs w:val="24"/>
        </w:rPr>
        <w:t>Para esto se</w:t>
      </w:r>
      <w:r w:rsidRPr="00F4506C">
        <w:rPr>
          <w:szCs w:val="24"/>
        </w:rPr>
        <w:t xml:space="preserve"> diseñó una nueva celda</w:t>
      </w:r>
      <w:r>
        <w:rPr>
          <w:szCs w:val="24"/>
        </w:rPr>
        <w:t xml:space="preserve"> a la cual se </w:t>
      </w:r>
      <w:r w:rsidRPr="00F4506C">
        <w:rPr>
          <w:szCs w:val="24"/>
        </w:rPr>
        <w:t xml:space="preserve">le denominó celda de trabajo. En la figura siguiente </w:t>
      </w:r>
      <w:r>
        <w:rPr>
          <w:szCs w:val="24"/>
        </w:rPr>
        <w:t>pueden apreciarse</w:t>
      </w:r>
      <w:r w:rsidRPr="00F4506C">
        <w:rPr>
          <w:szCs w:val="24"/>
        </w:rPr>
        <w:t xml:space="preserve"> las dimensiones de la celda de observación y la celda de trabajo:</w:t>
      </w:r>
    </w:p>
    <w:p w:rsidR="0042393B" w:rsidRPr="00F4506C" w:rsidRDefault="00A73CD2" w:rsidP="0042393B">
      <w:pPr>
        <w:spacing w:line="360" w:lineRule="auto"/>
        <w:jc w:val="both"/>
        <w:rPr>
          <w:szCs w:val="24"/>
        </w:rPr>
      </w:pPr>
      <w:r>
        <w:rPr>
          <w:noProof/>
          <w:szCs w:val="24"/>
          <w:lang w:val="en-US" w:eastAsia="en-US"/>
        </w:rPr>
        <w:lastRenderedPageBreak/>
        <w:pict>
          <v:shape id="_x0000_s1542" type="#_x0000_t32" style="position:absolute;left:0;text-align:left;margin-left:309.05pt;margin-top:62.6pt;width:45.2pt;height:43.9pt;flip:x;z-index:251830784" o:connectortype="straight">
            <v:stroke endarrow="block"/>
          </v:shape>
        </w:pict>
      </w:r>
      <w:r>
        <w:rPr>
          <w:noProof/>
          <w:szCs w:val="24"/>
          <w:lang w:val="en-US" w:eastAsia="en-US"/>
        </w:rPr>
        <w:pict>
          <v:shape id="_x0000_s1540" type="#_x0000_t202" style="position:absolute;left:0;text-align:left;margin-left:333.45pt;margin-top:43.9pt;width:119.2pt;height:18.7pt;z-index:251828736;mso-height-percent:200;mso-height-percent:200;mso-width-relative:margin;mso-height-relative:margin" filled="f" stroked="f">
            <v:textbox style="mso-next-textbox:#_x0000_s1540;mso-fit-shape-to-text:t">
              <w:txbxContent>
                <w:p w:rsidR="004134A0" w:rsidRPr="009572E6" w:rsidRDefault="004134A0" w:rsidP="0042393B">
                  <w:pPr>
                    <w:jc w:val="center"/>
                    <w:rPr>
                      <w:b/>
                      <w:i/>
                      <w:sz w:val="20"/>
                      <w:lang w:val="en-US"/>
                    </w:rPr>
                  </w:pPr>
                  <w:r w:rsidRPr="009572E6">
                    <w:rPr>
                      <w:b/>
                      <w:i/>
                      <w:sz w:val="20"/>
                    </w:rPr>
                    <w:t>Celda de observación</w:t>
                  </w:r>
                </w:p>
              </w:txbxContent>
            </v:textbox>
          </v:shape>
        </w:pict>
      </w:r>
      <w:r>
        <w:rPr>
          <w:noProof/>
          <w:szCs w:val="24"/>
          <w:lang w:val="en-US" w:eastAsia="en-US"/>
        </w:rPr>
        <w:pict>
          <v:shape id="_x0000_s1541" type="#_x0000_t32" style="position:absolute;left:0;text-align:left;margin-left:120.85pt;margin-top:31.85pt;width:33.8pt;height:54.55pt;z-index:251829760" o:connectortype="straight">
            <v:stroke endarrow="block"/>
          </v:shape>
        </w:pict>
      </w:r>
      <w:r w:rsidRPr="00A73CD2">
        <w:rPr>
          <w:noProof/>
          <w:szCs w:val="24"/>
          <w:lang w:eastAsia="zh-TW"/>
        </w:rPr>
        <w:pict>
          <v:shape id="_x0000_s1539" type="#_x0000_t202" style="position:absolute;left:0;text-align:left;margin-left:67.25pt;margin-top:13.15pt;width:90.55pt;height:18.7pt;z-index:251827712;mso-height-percent:200;mso-height-percent:200;mso-width-relative:margin;mso-height-relative:margin" filled="f" stroked="f">
            <v:textbox style="mso-next-textbox:#_x0000_s1539;mso-fit-shape-to-text:t">
              <w:txbxContent>
                <w:p w:rsidR="004134A0" w:rsidRPr="009572E6" w:rsidRDefault="004134A0" w:rsidP="0042393B">
                  <w:pPr>
                    <w:jc w:val="center"/>
                    <w:rPr>
                      <w:b/>
                      <w:i/>
                      <w:sz w:val="20"/>
                      <w:lang w:val="en-US"/>
                    </w:rPr>
                  </w:pPr>
                  <w:r w:rsidRPr="009572E6">
                    <w:rPr>
                      <w:b/>
                      <w:i/>
                      <w:sz w:val="20"/>
                    </w:rPr>
                    <w:t>Celda de trabajo</w:t>
                  </w:r>
                </w:p>
              </w:txbxContent>
            </v:textbox>
          </v:shape>
        </w:pict>
      </w:r>
      <w:r w:rsidR="0042393B" w:rsidRPr="00F4506C">
        <w:rPr>
          <w:noProof/>
          <w:szCs w:val="24"/>
          <w:lang w:val="en-US" w:eastAsia="en-US"/>
        </w:rPr>
        <w:drawing>
          <wp:inline distT="0" distB="0" distL="0" distR="0">
            <wp:extent cx="5289724" cy="2520000"/>
            <wp:effectExtent l="19050" t="0" r="6176" b="0"/>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t="2847"/>
                    <a:stretch>
                      <a:fillRect/>
                    </a:stretch>
                  </pic:blipFill>
                  <pic:spPr bwMode="auto">
                    <a:xfrm>
                      <a:off x="0" y="0"/>
                      <a:ext cx="5289724" cy="2520000"/>
                    </a:xfrm>
                    <a:prstGeom prst="rect">
                      <a:avLst/>
                    </a:prstGeom>
                    <a:noFill/>
                    <a:ln w="9525">
                      <a:noFill/>
                      <a:miter lim="800000"/>
                      <a:headEnd/>
                      <a:tailEnd/>
                    </a:ln>
                  </pic:spPr>
                </pic:pic>
              </a:graphicData>
            </a:graphic>
          </wp:inline>
        </w:drawing>
      </w:r>
    </w:p>
    <w:p w:rsidR="0042393B" w:rsidRPr="00335F95" w:rsidRDefault="003F4126" w:rsidP="00107EE1">
      <w:pPr>
        <w:pStyle w:val="Epgrafe"/>
        <w:spacing w:line="360" w:lineRule="auto"/>
      </w:pPr>
      <w:bookmarkStart w:id="133" w:name="_Toc327481442"/>
      <w:r>
        <w:t xml:space="preserve">Figura N° </w:t>
      </w:r>
      <w:fldSimple w:instr=" SEQ Figura_N° \* ARABIC ">
        <w:r w:rsidR="004A5F6F">
          <w:rPr>
            <w:noProof/>
          </w:rPr>
          <w:t>30</w:t>
        </w:r>
      </w:fldSimple>
      <w:r w:rsidR="0042393B" w:rsidRPr="00335F95">
        <w:t>: Dimensiones de la celda de observación (Morales, 2007) y la celda de trabajo</w:t>
      </w:r>
      <w:r w:rsidR="00107EE1">
        <w:t xml:space="preserve"> (Rodríguez, en ejecución)</w:t>
      </w:r>
      <w:r>
        <w:t>.</w:t>
      </w:r>
      <w:bookmarkEnd w:id="133"/>
      <w:r w:rsidR="0042393B" w:rsidRPr="00335F95">
        <w:t xml:space="preserve"> </w:t>
      </w:r>
    </w:p>
    <w:p w:rsidR="0042393B" w:rsidRPr="00F4506C" w:rsidRDefault="0042393B" w:rsidP="0042393B">
      <w:pPr>
        <w:spacing w:before="240" w:line="360" w:lineRule="auto"/>
        <w:jc w:val="both"/>
        <w:rPr>
          <w:szCs w:val="24"/>
        </w:rPr>
      </w:pPr>
      <w:r>
        <w:rPr>
          <w:szCs w:val="24"/>
        </w:rPr>
        <w:tab/>
        <w:t>El</w:t>
      </w:r>
      <w:r w:rsidRPr="00F4506C">
        <w:rPr>
          <w:szCs w:val="24"/>
        </w:rPr>
        <w:t xml:space="preserve"> largo de la celda permaneció inalterable, solo se modificó el ancho y la profundidad de la celda. La profundidad en la celda de trabajo es 33 veces mayor al de la celda de observación. Esto permitió trabajar co</w:t>
      </w:r>
      <w:r>
        <w:rPr>
          <w:szCs w:val="24"/>
        </w:rPr>
        <w:t>n una mayor cantidad de muestra pero</w:t>
      </w:r>
      <w:r w:rsidRPr="00F4506C">
        <w:rPr>
          <w:szCs w:val="24"/>
        </w:rPr>
        <w:t xml:space="preserve"> en menor proporción que en la experiencia anterior.</w:t>
      </w:r>
    </w:p>
    <w:p w:rsidR="0042393B" w:rsidRDefault="0042393B" w:rsidP="0042393B">
      <w:pPr>
        <w:spacing w:line="360" w:lineRule="auto"/>
        <w:ind w:firstLine="567"/>
        <w:jc w:val="both"/>
        <w:rPr>
          <w:szCs w:val="24"/>
        </w:rPr>
      </w:pPr>
      <w:r w:rsidRPr="00F4506C">
        <w:rPr>
          <w:szCs w:val="24"/>
        </w:rPr>
        <w:t xml:space="preserve">Para evaluar la reproducibilidad de los fenómenos identificados en la celda de observación, ahora, en la celda de trabajo, fue necesario definir un método que permitiese cuantificar el grado de separación por medio de la determinación de la cantidad de agua en la muestra. </w:t>
      </w:r>
      <w:r>
        <w:rPr>
          <w:szCs w:val="24"/>
        </w:rPr>
        <w:t xml:space="preserve">Para esto se utilizó la hoja de cálculo Excel desarrollada por Edward Fung en su trabajo de grado. </w:t>
      </w:r>
    </w:p>
    <w:p w:rsidR="0042393B" w:rsidRDefault="0042393B" w:rsidP="0042393B">
      <w:pPr>
        <w:spacing w:line="360" w:lineRule="auto"/>
        <w:ind w:firstLine="567"/>
        <w:jc w:val="both"/>
        <w:rPr>
          <w:color w:val="000000" w:themeColor="text1"/>
          <w:szCs w:val="24"/>
        </w:rPr>
      </w:pPr>
      <w:r>
        <w:rPr>
          <w:color w:val="000000" w:themeColor="text1"/>
          <w:szCs w:val="24"/>
        </w:rPr>
        <w:t xml:space="preserve">A partir de los análisis realizados por Fung en su trabajo de grado relativos al escurrimiento de la gota y la uniformidad del campo eléctrico como promotor de  la coalescencia se construyó un sistema </w:t>
      </w:r>
      <w:r w:rsidR="0069256F">
        <w:rPr>
          <w:color w:val="000000" w:themeColor="text1"/>
          <w:szCs w:val="24"/>
        </w:rPr>
        <w:t>continuo de tratamiento</w:t>
      </w:r>
      <w:r>
        <w:rPr>
          <w:color w:val="000000" w:themeColor="text1"/>
          <w:szCs w:val="24"/>
        </w:rPr>
        <w:t xml:space="preserve"> para el tratamiento de emulsiones agua-crudo de fosas de producción. Cabe acotar que las limitaciones identificadas en cada una de las experiencias realizadas, anteriores al trabajo de Fung, constituyeron también un aporte fundamental al desarrollo de este sistema. </w:t>
      </w:r>
    </w:p>
    <w:p w:rsidR="00107EE1" w:rsidRDefault="00107EE1" w:rsidP="005B74B4">
      <w:pPr>
        <w:spacing w:before="240" w:line="360" w:lineRule="auto"/>
        <w:jc w:val="both"/>
        <w:rPr>
          <w:b/>
        </w:rPr>
      </w:pPr>
    </w:p>
    <w:p w:rsidR="00107EE1" w:rsidRDefault="00107EE1" w:rsidP="005B74B4">
      <w:pPr>
        <w:spacing w:before="240" w:line="360" w:lineRule="auto"/>
        <w:jc w:val="both"/>
        <w:rPr>
          <w:b/>
        </w:rPr>
      </w:pPr>
    </w:p>
    <w:p w:rsidR="00391553" w:rsidRPr="005B74B4" w:rsidRDefault="00874CEA" w:rsidP="005B74B4">
      <w:pPr>
        <w:spacing w:before="240" w:line="360" w:lineRule="auto"/>
        <w:jc w:val="both"/>
        <w:rPr>
          <w:b/>
        </w:rPr>
      </w:pPr>
      <w:r w:rsidRPr="005B74B4">
        <w:rPr>
          <w:b/>
        </w:rPr>
        <w:lastRenderedPageBreak/>
        <w:t xml:space="preserve">4.1.2 </w:t>
      </w:r>
      <w:r w:rsidR="00026FBD" w:rsidRPr="005B74B4">
        <w:rPr>
          <w:b/>
        </w:rPr>
        <w:t>S</w:t>
      </w:r>
      <w:r w:rsidR="00391553" w:rsidRPr="005B74B4">
        <w:rPr>
          <w:b/>
        </w:rPr>
        <w:t>istema eléctrico para la aplicación de campos DC y AC</w:t>
      </w:r>
    </w:p>
    <w:p w:rsidR="009924F8" w:rsidRDefault="00391553" w:rsidP="00335F95">
      <w:pPr>
        <w:spacing w:line="360" w:lineRule="auto"/>
        <w:jc w:val="both"/>
        <w:rPr>
          <w:szCs w:val="24"/>
        </w:rPr>
      </w:pPr>
      <w:r>
        <w:rPr>
          <w:szCs w:val="24"/>
        </w:rPr>
        <w:tab/>
      </w:r>
      <w:r w:rsidR="00335F95" w:rsidRPr="00F4506C">
        <w:rPr>
          <w:szCs w:val="24"/>
        </w:rPr>
        <w:t>Con la colaboración del Prof</w:t>
      </w:r>
      <w:r>
        <w:rPr>
          <w:szCs w:val="24"/>
        </w:rPr>
        <w:t>.</w:t>
      </w:r>
      <w:r w:rsidR="00335F95" w:rsidRPr="00F4506C">
        <w:rPr>
          <w:szCs w:val="24"/>
        </w:rPr>
        <w:t xml:space="preserve"> Napoleón Malpica de la Escuela de Ingeniería Eléctrica, se diseñ</w:t>
      </w:r>
      <w:r>
        <w:rPr>
          <w:szCs w:val="24"/>
        </w:rPr>
        <w:t>ó</w:t>
      </w:r>
      <w:r w:rsidR="00335F95" w:rsidRPr="00F4506C">
        <w:rPr>
          <w:szCs w:val="24"/>
        </w:rPr>
        <w:t xml:space="preserve"> un sistema </w:t>
      </w:r>
      <w:r>
        <w:rPr>
          <w:szCs w:val="24"/>
        </w:rPr>
        <w:t>para la aplicación de</w:t>
      </w:r>
      <w:r w:rsidR="00335F95" w:rsidRPr="00F4506C">
        <w:rPr>
          <w:szCs w:val="24"/>
        </w:rPr>
        <w:t xml:space="preserve"> campo</w:t>
      </w:r>
      <w:r>
        <w:rPr>
          <w:szCs w:val="24"/>
        </w:rPr>
        <w:t>s</w:t>
      </w:r>
      <w:r w:rsidR="00335F95" w:rsidRPr="00F4506C">
        <w:rPr>
          <w:szCs w:val="24"/>
        </w:rPr>
        <w:t xml:space="preserve"> eléctrico de corriente directa y corriente continua </w:t>
      </w:r>
      <w:r>
        <w:rPr>
          <w:szCs w:val="24"/>
        </w:rPr>
        <w:t>de alta intensidad</w:t>
      </w:r>
      <w:r w:rsidR="00335F95" w:rsidRPr="00F4506C">
        <w:rPr>
          <w:szCs w:val="24"/>
        </w:rPr>
        <w:t xml:space="preserve">. </w:t>
      </w:r>
      <w:r w:rsidR="00535F01">
        <w:rPr>
          <w:szCs w:val="24"/>
        </w:rPr>
        <w:t xml:space="preserve">Básicamente el sistema eléctrico </w:t>
      </w:r>
      <w:r>
        <w:rPr>
          <w:szCs w:val="24"/>
        </w:rPr>
        <w:t xml:space="preserve">se construyó </w:t>
      </w:r>
      <w:r w:rsidR="00F72262">
        <w:rPr>
          <w:szCs w:val="24"/>
        </w:rPr>
        <w:t xml:space="preserve">a partir </w:t>
      </w:r>
      <w:r>
        <w:rPr>
          <w:szCs w:val="24"/>
        </w:rPr>
        <w:t>una</w:t>
      </w:r>
      <w:r w:rsidR="00535F01">
        <w:rPr>
          <w:szCs w:val="24"/>
        </w:rPr>
        <w:t xml:space="preserve"> fuente de alta tensión </w:t>
      </w:r>
      <w:r w:rsidR="00F72262">
        <w:rPr>
          <w:szCs w:val="24"/>
        </w:rPr>
        <w:t xml:space="preserve">y un </w:t>
      </w:r>
      <w:r>
        <w:rPr>
          <w:szCs w:val="24"/>
        </w:rPr>
        <w:t>variac</w:t>
      </w:r>
      <w:r w:rsidR="00F72262">
        <w:rPr>
          <w:szCs w:val="24"/>
        </w:rPr>
        <w:t xml:space="preserve"> para la alimentación de corriente a la fuente, el cual</w:t>
      </w:r>
      <w:r w:rsidR="00535F01">
        <w:rPr>
          <w:szCs w:val="24"/>
        </w:rPr>
        <w:t xml:space="preserve"> permite variar la tensión desde 0 V hasta 120 V. Esta corriente alim</w:t>
      </w:r>
      <w:r w:rsidR="009924F8">
        <w:rPr>
          <w:szCs w:val="24"/>
        </w:rPr>
        <w:t>enta un transformador elevador</w:t>
      </w:r>
      <w:r w:rsidR="00F72262">
        <w:rPr>
          <w:szCs w:val="24"/>
        </w:rPr>
        <w:t xml:space="preserve"> (fuente de alta tensión)</w:t>
      </w:r>
      <w:r w:rsidR="009924F8">
        <w:rPr>
          <w:szCs w:val="24"/>
        </w:rPr>
        <w:t>. El transformador posee una tensión baja de 120 V y una tensión alta de 7.200 V. La tensión del transformador a la salida es corriente alterna. La frecuencia de la tensión está impuesta por la frecuencia de la red</w:t>
      </w:r>
      <w:r w:rsidR="00F72262">
        <w:rPr>
          <w:szCs w:val="24"/>
        </w:rPr>
        <w:t xml:space="preserve"> (</w:t>
      </w:r>
      <w:r w:rsidR="009924F8">
        <w:rPr>
          <w:szCs w:val="24"/>
        </w:rPr>
        <w:t>60 Hz</w:t>
      </w:r>
      <w:r w:rsidR="00F72262">
        <w:rPr>
          <w:szCs w:val="24"/>
        </w:rPr>
        <w:t>)</w:t>
      </w:r>
      <w:r w:rsidR="009924F8">
        <w:rPr>
          <w:szCs w:val="24"/>
        </w:rPr>
        <w:t xml:space="preserve">. El sistema cuenta con un </w:t>
      </w:r>
      <w:r w:rsidR="004820BC">
        <w:rPr>
          <w:szCs w:val="24"/>
        </w:rPr>
        <w:t>d</w:t>
      </w:r>
      <w:r w:rsidR="009924F8">
        <w:rPr>
          <w:szCs w:val="24"/>
        </w:rPr>
        <w:t xml:space="preserve">iodo rectificador que transforma la corriente alterna en corriente directa. En el circuito se incluyeron una serie de resistencias  para limitar la corriente en caso de corto circuito en la muestra. </w:t>
      </w:r>
      <w:r w:rsidR="004820BC">
        <w:rPr>
          <w:szCs w:val="24"/>
        </w:rPr>
        <w:t>L</w:t>
      </w:r>
      <w:r w:rsidR="009924F8">
        <w:rPr>
          <w:szCs w:val="24"/>
        </w:rPr>
        <w:t xml:space="preserve">a corriente </w:t>
      </w:r>
      <w:r w:rsidR="004820BC">
        <w:rPr>
          <w:szCs w:val="24"/>
        </w:rPr>
        <w:t xml:space="preserve"> que va </w:t>
      </w:r>
      <w:r w:rsidR="009924F8">
        <w:rPr>
          <w:szCs w:val="24"/>
        </w:rPr>
        <w:t xml:space="preserve">al transformador </w:t>
      </w:r>
      <w:r w:rsidR="00F72262">
        <w:rPr>
          <w:szCs w:val="24"/>
        </w:rPr>
        <w:t>pasa</w:t>
      </w:r>
      <w:r w:rsidR="004820BC">
        <w:rPr>
          <w:szCs w:val="24"/>
        </w:rPr>
        <w:t xml:space="preserve"> a través de un bombillo</w:t>
      </w:r>
      <w:r w:rsidR="009924F8">
        <w:rPr>
          <w:szCs w:val="24"/>
        </w:rPr>
        <w:t xml:space="preserve"> el cual limita la corriente en caso de </w:t>
      </w:r>
      <w:r w:rsidR="004820BC">
        <w:rPr>
          <w:szCs w:val="24"/>
        </w:rPr>
        <w:t>un corto eléctrico en el sistema</w:t>
      </w:r>
      <w:r w:rsidR="009924F8">
        <w:rPr>
          <w:szCs w:val="24"/>
        </w:rPr>
        <w:t xml:space="preserve"> y a </w:t>
      </w:r>
      <w:r w:rsidR="004820BC">
        <w:rPr>
          <w:szCs w:val="24"/>
        </w:rPr>
        <w:t>su</w:t>
      </w:r>
      <w:r w:rsidR="009924F8">
        <w:rPr>
          <w:szCs w:val="24"/>
        </w:rPr>
        <w:t xml:space="preserve"> vez funciona como indicador. El sistema cuenta con un sistema de seguridad integral con la finalidad de proteger </w:t>
      </w:r>
      <w:r w:rsidR="004820BC">
        <w:rPr>
          <w:szCs w:val="24"/>
        </w:rPr>
        <w:t>al usuario del equipo</w:t>
      </w:r>
      <w:r w:rsidR="009924F8">
        <w:rPr>
          <w:szCs w:val="24"/>
        </w:rPr>
        <w:t>. En la figura siguiente se muestra el sistema generador empleado:</w:t>
      </w:r>
    </w:p>
    <w:p w:rsidR="009924F8" w:rsidRDefault="00A73CD2" w:rsidP="00335F95">
      <w:pPr>
        <w:spacing w:line="360" w:lineRule="auto"/>
        <w:jc w:val="both"/>
        <w:rPr>
          <w:szCs w:val="24"/>
        </w:rPr>
      </w:pPr>
      <w:r>
        <w:rPr>
          <w:noProof/>
          <w:szCs w:val="24"/>
          <w:lang w:val="en-US" w:eastAsia="en-US"/>
        </w:rPr>
        <w:pict>
          <v:shape id="_x0000_s1445" type="#_x0000_t202" style="position:absolute;left:0;text-align:left;margin-left:356.8pt;margin-top:18.5pt;width:102.4pt;height:30.2pt;z-index:251802112;mso-height-percent:200;mso-height-percent:200;mso-width-relative:margin;mso-height-relative:margin" filled="f" stroked="f">
            <v:textbox style="mso-next-textbox:#_x0000_s1445;mso-fit-shape-to-text:t">
              <w:txbxContent>
                <w:p w:rsidR="004134A0" w:rsidRPr="004820BC" w:rsidRDefault="004134A0" w:rsidP="004820BC">
                  <w:pPr>
                    <w:jc w:val="center"/>
                    <w:rPr>
                      <w:sz w:val="20"/>
                      <w:lang w:val="en-US"/>
                    </w:rPr>
                  </w:pPr>
                  <w:r>
                    <w:rPr>
                      <w:sz w:val="20"/>
                    </w:rPr>
                    <w:t>Resistencias</w:t>
                  </w:r>
                </w:p>
              </w:txbxContent>
            </v:textbox>
          </v:shape>
        </w:pict>
      </w:r>
    </w:p>
    <w:p w:rsidR="009924F8" w:rsidRDefault="00A73CD2" w:rsidP="009924F8">
      <w:pPr>
        <w:spacing w:line="360" w:lineRule="auto"/>
        <w:jc w:val="center"/>
        <w:rPr>
          <w:szCs w:val="24"/>
        </w:rPr>
      </w:pPr>
      <w:r>
        <w:rPr>
          <w:noProof/>
          <w:szCs w:val="24"/>
          <w:lang w:val="en-US" w:eastAsia="en-US"/>
        </w:rPr>
        <w:pict>
          <v:shape id="_x0000_s1452" type="#_x0000_t32" style="position:absolute;left:0;text-align:left;margin-left:276.25pt;margin-top:83.85pt;width:95.25pt;height:13.15pt;flip:x;z-index:251809280" o:connectortype="straight" strokecolor="black [3213]">
            <v:stroke endarrow="block"/>
          </v:shape>
        </w:pict>
      </w:r>
      <w:r>
        <w:rPr>
          <w:noProof/>
          <w:szCs w:val="24"/>
          <w:lang w:val="en-US" w:eastAsia="en-US"/>
        </w:rPr>
        <w:pict>
          <v:shape id="_x0000_s1450" type="#_x0000_t32" style="position:absolute;left:0;text-align:left;margin-left:270.25pt;margin-top:83.85pt;width:101.25pt;height:34.2pt;flip:x;z-index:251807232" o:connectortype="straight" strokecolor="black [3213]">
            <v:stroke endarrow="block"/>
          </v:shape>
        </w:pict>
      </w:r>
      <w:r>
        <w:rPr>
          <w:noProof/>
          <w:szCs w:val="24"/>
          <w:lang w:val="en-US" w:eastAsia="en-US"/>
        </w:rPr>
        <w:pict>
          <v:shape id="_x0000_s1441" type="#_x0000_t32" style="position:absolute;left:0;text-align:left;margin-left:258.25pt;margin-top:46pt;width:98.55pt;height:51pt;flip:x;z-index:251798016" o:connectortype="straight" strokecolor="black [3213]">
            <v:stroke endarrow="block"/>
          </v:shape>
        </w:pict>
      </w:r>
      <w:r>
        <w:rPr>
          <w:noProof/>
          <w:szCs w:val="24"/>
          <w:lang w:val="en-US" w:eastAsia="en-US"/>
        </w:rPr>
        <w:pict>
          <v:shape id="_x0000_s1451" type="#_x0000_t32" style="position:absolute;left:0;text-align:left;margin-left:337pt;margin-top:112pt;width:47.25pt;height:16.5pt;flip:x y;z-index:251808256" o:connectortype="straight" strokecolor="black [3213]">
            <v:stroke endarrow="block"/>
          </v:shape>
        </w:pict>
      </w:r>
      <w:r>
        <w:rPr>
          <w:noProof/>
          <w:szCs w:val="24"/>
          <w:lang w:val="en-US" w:eastAsia="en-US"/>
        </w:rPr>
        <w:pict>
          <v:shape id="_x0000_s1449" type="#_x0000_t32" style="position:absolute;left:0;text-align:left;margin-left:222.25pt;margin-top:8.5pt;width:156pt;height:75.35pt;flip:x;z-index:251806208" o:connectortype="straight" strokecolor="black [3213]">
            <v:stroke endarrow="block"/>
          </v:shape>
        </w:pict>
      </w:r>
      <w:r>
        <w:rPr>
          <w:noProof/>
          <w:szCs w:val="24"/>
          <w:lang w:val="en-US" w:eastAsia="en-US"/>
        </w:rPr>
        <w:pict>
          <v:shape id="_x0000_s1448" type="#_x0000_t32" style="position:absolute;left:0;text-align:left;margin-left:41.5pt;margin-top:121.8pt;width:86.25pt;height:6.7pt;flip:y;z-index:251805184" o:connectortype="straight" strokecolor="black [3213]">
            <v:stroke endarrow="block"/>
          </v:shape>
        </w:pict>
      </w:r>
      <w:r>
        <w:rPr>
          <w:noProof/>
          <w:szCs w:val="24"/>
          <w:lang w:val="en-US" w:eastAsia="en-US"/>
        </w:rPr>
        <w:pict>
          <v:shape id="_x0000_s1447" type="#_x0000_t32" style="position:absolute;left:0;text-align:left;margin-left:28pt;margin-top:89.25pt;width:51.75pt;height:0;z-index:251804160" o:connectortype="straight" strokecolor="black [3213]">
            <v:stroke endarrow="block"/>
          </v:shape>
        </w:pict>
      </w:r>
      <w:r>
        <w:rPr>
          <w:noProof/>
          <w:szCs w:val="24"/>
          <w:lang w:val="en-US" w:eastAsia="en-US"/>
        </w:rPr>
        <w:pict>
          <v:shape id="_x0000_s1446" type="#_x0000_t202" style="position:absolute;left:0;text-align:left;margin-left:360.55pt;margin-top:70.55pt;width:102.4pt;height:18.7pt;z-index:251803136;mso-height-percent:200;mso-height-percent:200;mso-width-relative:margin;mso-height-relative:margin" filled="f" stroked="f">
            <v:textbox style="mso-next-textbox:#_x0000_s1446;mso-fit-shape-to-text:t">
              <w:txbxContent>
                <w:p w:rsidR="004134A0" w:rsidRPr="004820BC" w:rsidRDefault="004134A0" w:rsidP="004820BC">
                  <w:pPr>
                    <w:jc w:val="center"/>
                    <w:rPr>
                      <w:sz w:val="20"/>
                      <w:lang w:val="en-US"/>
                    </w:rPr>
                  </w:pPr>
                  <w:r>
                    <w:rPr>
                      <w:sz w:val="20"/>
                    </w:rPr>
                    <w:t>Soportes aislantes</w:t>
                  </w:r>
                </w:p>
              </w:txbxContent>
            </v:textbox>
          </v:shape>
        </w:pict>
      </w:r>
      <w:r>
        <w:rPr>
          <w:noProof/>
          <w:szCs w:val="24"/>
          <w:lang w:val="en-US" w:eastAsia="en-US"/>
        </w:rPr>
        <w:pict>
          <v:shape id="_x0000_s1444" type="#_x0000_t202" style="position:absolute;left:0;text-align:left;margin-left:-65.4pt;margin-top:76.35pt;width:102.4pt;height:30.2pt;z-index:251801088;mso-height-percent:200;mso-height-percent:200;mso-width-relative:margin;mso-height-relative:margin" filled="f" stroked="f">
            <v:textbox style="mso-next-textbox:#_x0000_s1444;mso-fit-shape-to-text:t">
              <w:txbxContent>
                <w:p w:rsidR="004134A0" w:rsidRPr="004820BC" w:rsidRDefault="004134A0" w:rsidP="004820BC">
                  <w:pPr>
                    <w:jc w:val="center"/>
                    <w:rPr>
                      <w:sz w:val="20"/>
                      <w:lang w:val="en-US"/>
                    </w:rPr>
                  </w:pPr>
                  <w:r>
                    <w:rPr>
                      <w:sz w:val="20"/>
                    </w:rPr>
                    <w:t>Bombillo indicador de corto eléctrico</w:t>
                  </w:r>
                </w:p>
              </w:txbxContent>
            </v:textbox>
          </v:shape>
        </w:pict>
      </w:r>
      <w:r>
        <w:rPr>
          <w:noProof/>
          <w:szCs w:val="24"/>
          <w:lang w:val="en-US" w:eastAsia="en-US"/>
        </w:rPr>
        <w:pict>
          <v:shape id="_x0000_s1443" type="#_x0000_t202" style="position:absolute;left:0;text-align:left;margin-left:-33.9pt;margin-top:121.8pt;width:91.1pt;height:18.7pt;z-index:251800064;mso-height-percent:200;mso-height-percent:200;mso-width-relative:margin;mso-height-relative:margin" filled="f" stroked="f">
            <v:textbox style="mso-next-textbox:#_x0000_s1443;mso-fit-shape-to-text:t">
              <w:txbxContent>
                <w:p w:rsidR="004134A0" w:rsidRPr="004820BC" w:rsidRDefault="004134A0" w:rsidP="004820BC">
                  <w:pPr>
                    <w:jc w:val="center"/>
                    <w:rPr>
                      <w:sz w:val="20"/>
                      <w:lang w:val="en-US"/>
                    </w:rPr>
                  </w:pPr>
                  <w:r>
                    <w:rPr>
                      <w:sz w:val="20"/>
                    </w:rPr>
                    <w:t>Amperímetro</w:t>
                  </w:r>
                </w:p>
              </w:txbxContent>
            </v:textbox>
          </v:shape>
        </w:pict>
      </w:r>
      <w:r>
        <w:rPr>
          <w:noProof/>
          <w:szCs w:val="24"/>
          <w:lang w:val="en-US" w:eastAsia="en-US"/>
        </w:rPr>
        <w:pict>
          <v:shape id="_x0000_s1442" type="#_x0000_t202" style="position:absolute;left:0;text-align:left;margin-left:364.35pt;margin-top:118.05pt;width:91.1pt;height:18.7pt;z-index:251799040;mso-height-percent:200;mso-height-percent:200;mso-width-relative:margin;mso-height-relative:margin" filled="f" stroked="f">
            <v:textbox style="mso-next-textbox:#_x0000_s1442;mso-fit-shape-to-text:t">
              <w:txbxContent>
                <w:p w:rsidR="004134A0" w:rsidRPr="004820BC" w:rsidRDefault="004134A0" w:rsidP="004820BC">
                  <w:pPr>
                    <w:jc w:val="center"/>
                    <w:rPr>
                      <w:sz w:val="20"/>
                      <w:lang w:val="en-US"/>
                    </w:rPr>
                  </w:pPr>
                  <w:r>
                    <w:rPr>
                      <w:sz w:val="20"/>
                    </w:rPr>
                    <w:t>Voltímetro</w:t>
                  </w:r>
                </w:p>
              </w:txbxContent>
            </v:textbox>
          </v:shape>
        </w:pict>
      </w:r>
      <w:r>
        <w:rPr>
          <w:noProof/>
          <w:szCs w:val="24"/>
          <w:lang w:val="en-US" w:eastAsia="en-US"/>
        </w:rPr>
        <w:pict>
          <v:shape id="_x0000_s1440" type="#_x0000_t202" style="position:absolute;left:0;text-align:left;margin-left:352.35pt;margin-top:33.3pt;width:91.1pt;height:18.7pt;z-index:251796992;mso-height-percent:200;mso-height-percent:200;mso-width-relative:margin;mso-height-relative:margin" filled="f" stroked="f">
            <v:textbox style="mso-next-textbox:#_x0000_s1440;mso-fit-shape-to-text:t">
              <w:txbxContent>
                <w:p w:rsidR="004134A0" w:rsidRPr="004820BC" w:rsidRDefault="004134A0" w:rsidP="004820BC">
                  <w:pPr>
                    <w:jc w:val="center"/>
                    <w:rPr>
                      <w:sz w:val="20"/>
                      <w:lang w:val="en-US"/>
                    </w:rPr>
                  </w:pPr>
                  <w:r>
                    <w:rPr>
                      <w:sz w:val="20"/>
                    </w:rPr>
                    <w:t>Diodo rectificador</w:t>
                  </w:r>
                </w:p>
              </w:txbxContent>
            </v:textbox>
          </v:shape>
        </w:pict>
      </w:r>
      <w:r>
        <w:rPr>
          <w:noProof/>
          <w:szCs w:val="24"/>
          <w:lang w:val="en-US" w:eastAsia="en-US"/>
        </w:rPr>
        <w:pict>
          <v:shape id="_x0000_s1439" type="#_x0000_t32" style="position:absolute;left:0;text-align:left;margin-left:47.5pt;margin-top:28pt;width:44.25pt;height:24pt;z-index:251795968" o:connectortype="straight" strokecolor="black [3213]">
            <v:stroke endarrow="block"/>
          </v:shape>
        </w:pict>
      </w:r>
      <w:r w:rsidRPr="00A73CD2">
        <w:rPr>
          <w:noProof/>
          <w:szCs w:val="24"/>
          <w:lang w:eastAsia="zh-TW"/>
        </w:rPr>
        <w:pict>
          <v:shape id="_x0000_s1438" type="#_x0000_t202" style="position:absolute;left:0;text-align:left;margin-left:-33.9pt;margin-top:13.75pt;width:91.1pt;height:19.45pt;z-index:251794944;mso-height-percent:200;mso-height-percent:200;mso-width-relative:margin;mso-height-relative:margin" filled="f" stroked="f">
            <v:textbox style="mso-next-textbox:#_x0000_s1438;mso-fit-shape-to-text:t">
              <w:txbxContent>
                <w:p w:rsidR="004134A0" w:rsidRPr="004820BC" w:rsidRDefault="004134A0" w:rsidP="004820BC">
                  <w:pPr>
                    <w:jc w:val="center"/>
                    <w:rPr>
                      <w:sz w:val="20"/>
                      <w:lang w:val="en-US"/>
                    </w:rPr>
                  </w:pPr>
                  <w:r w:rsidRPr="004820BC">
                    <w:rPr>
                      <w:sz w:val="20"/>
                    </w:rPr>
                    <w:t>Fuente de poder</w:t>
                  </w:r>
                </w:p>
              </w:txbxContent>
            </v:textbox>
          </v:shape>
        </w:pict>
      </w:r>
      <w:r w:rsidR="009924F8">
        <w:rPr>
          <w:noProof/>
          <w:szCs w:val="24"/>
          <w:lang w:val="en-US" w:eastAsia="en-US"/>
        </w:rPr>
        <w:drawing>
          <wp:inline distT="0" distB="0" distL="0" distR="0">
            <wp:extent cx="3483864" cy="2597423"/>
            <wp:effectExtent l="19050" t="19050" r="21336" b="12427"/>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3483864" cy="2597423"/>
                    </a:xfrm>
                    <a:prstGeom prst="rect">
                      <a:avLst/>
                    </a:prstGeom>
                    <a:noFill/>
                    <a:ln w="15875">
                      <a:solidFill>
                        <a:schemeClr val="tx1"/>
                      </a:solidFill>
                      <a:miter lim="800000"/>
                      <a:headEnd/>
                      <a:tailEnd/>
                    </a:ln>
                  </pic:spPr>
                </pic:pic>
              </a:graphicData>
            </a:graphic>
          </wp:inline>
        </w:drawing>
      </w:r>
    </w:p>
    <w:p w:rsidR="009924F8" w:rsidRPr="00977FC2" w:rsidRDefault="003F4126" w:rsidP="003F4126">
      <w:pPr>
        <w:pStyle w:val="Epgrafe"/>
        <w:spacing w:line="360" w:lineRule="auto"/>
      </w:pPr>
      <w:bookmarkStart w:id="134" w:name="_Toc327481443"/>
      <w:r>
        <w:t xml:space="preserve">Figura N° </w:t>
      </w:r>
      <w:fldSimple w:instr=" SEQ Figura_N° \* ARABIC ">
        <w:r w:rsidR="004A5F6F">
          <w:rPr>
            <w:noProof/>
          </w:rPr>
          <w:t>31</w:t>
        </w:r>
      </w:fldSimple>
      <w:r w:rsidR="009924F8" w:rsidRPr="00977FC2">
        <w:t>: Sistema de tratamiento eléctrico para la producción de corriente AC y DC</w:t>
      </w:r>
      <w:r w:rsidR="001A52F5" w:rsidRPr="00977FC2">
        <w:t xml:space="preserve"> (LSM).</w:t>
      </w:r>
      <w:bookmarkEnd w:id="134"/>
    </w:p>
    <w:p w:rsidR="00333E17" w:rsidRDefault="008F1B6E" w:rsidP="00D25EAA">
      <w:pPr>
        <w:spacing w:line="360" w:lineRule="auto"/>
        <w:jc w:val="both"/>
        <w:rPr>
          <w:szCs w:val="24"/>
        </w:rPr>
      </w:pPr>
      <w:r>
        <w:rPr>
          <w:szCs w:val="24"/>
        </w:rPr>
        <w:lastRenderedPageBreak/>
        <w:tab/>
      </w:r>
      <w:r w:rsidR="00333E17">
        <w:rPr>
          <w:szCs w:val="24"/>
        </w:rPr>
        <w:t>La construcción del sistema eléctrico se realizó en conjunto con el Prof. N</w:t>
      </w:r>
      <w:r w:rsidR="003D5DCB">
        <w:rPr>
          <w:szCs w:val="24"/>
        </w:rPr>
        <w:t>apoleón</w:t>
      </w:r>
      <w:r w:rsidR="00333E17">
        <w:rPr>
          <w:szCs w:val="24"/>
        </w:rPr>
        <w:t xml:space="preserve"> Malpica de la escuela de Ingeniería Eléctrica.</w:t>
      </w:r>
    </w:p>
    <w:p w:rsidR="00335F95" w:rsidRDefault="00904391" w:rsidP="00333E17">
      <w:pPr>
        <w:spacing w:after="240" w:line="360" w:lineRule="auto"/>
        <w:jc w:val="both"/>
        <w:rPr>
          <w:szCs w:val="24"/>
        </w:rPr>
      </w:pPr>
      <w:r>
        <w:rPr>
          <w:szCs w:val="24"/>
        </w:rPr>
        <w:tab/>
      </w:r>
      <w:r w:rsidR="00333E17">
        <w:rPr>
          <w:szCs w:val="24"/>
        </w:rPr>
        <w:t>Esta fuente de poder permitió</w:t>
      </w:r>
      <w:r w:rsidR="008F1B6E">
        <w:rPr>
          <w:szCs w:val="24"/>
        </w:rPr>
        <w:t xml:space="preserve"> aplicar voltajes superiores a los 3 kV para campo AC y DC. Se observó un aumento de la temperatura de la emulsión conforme se aumentase la intensidad del campo aplicado, especialmente cuando se aplicó campo DC. Este aumento de temperatura pudo deberse a la presencia de corrientes de distribución. Una vez más los resultados no mostraron gran diferencia cuando se comparaban las muestras tratadas con la muestra original, por lo</w:t>
      </w:r>
      <w:r w:rsidR="00335F95" w:rsidRPr="00F4506C">
        <w:rPr>
          <w:szCs w:val="24"/>
        </w:rPr>
        <w:t xml:space="preserve"> cual se </w:t>
      </w:r>
      <w:r w:rsidR="008F1B6E">
        <w:rPr>
          <w:szCs w:val="24"/>
        </w:rPr>
        <w:t>descartó esta configuración.</w:t>
      </w:r>
    </w:p>
    <w:p w:rsidR="00DD060B" w:rsidRPr="005B74B4" w:rsidRDefault="00874CEA" w:rsidP="005B74B4">
      <w:pPr>
        <w:spacing w:line="360" w:lineRule="auto"/>
        <w:jc w:val="both"/>
        <w:rPr>
          <w:b/>
        </w:rPr>
      </w:pPr>
      <w:r w:rsidRPr="005B74B4">
        <w:rPr>
          <w:b/>
        </w:rPr>
        <w:t xml:space="preserve">4.1.3 </w:t>
      </w:r>
      <w:r w:rsidR="0042393B" w:rsidRPr="005B74B4">
        <w:rPr>
          <w:b/>
        </w:rPr>
        <w:t>Construcción del s</w:t>
      </w:r>
      <w:r w:rsidR="00026FBD" w:rsidRPr="005B74B4">
        <w:rPr>
          <w:b/>
        </w:rPr>
        <w:t>i</w:t>
      </w:r>
      <w:r w:rsidR="00DD060B" w:rsidRPr="005B74B4">
        <w:rPr>
          <w:b/>
        </w:rPr>
        <w:t xml:space="preserve">stema </w:t>
      </w:r>
      <w:r w:rsidR="0069256F" w:rsidRPr="005B74B4">
        <w:rPr>
          <w:b/>
        </w:rPr>
        <w:t xml:space="preserve">continuo </w:t>
      </w:r>
      <w:r w:rsidR="00026FBD" w:rsidRPr="005B74B4">
        <w:rPr>
          <w:b/>
        </w:rPr>
        <w:t>para la deshidratación emulsiones agua-crudo de fosas de producción</w:t>
      </w:r>
    </w:p>
    <w:p w:rsidR="00335F95" w:rsidRDefault="00F71B09" w:rsidP="002B5F5B">
      <w:pPr>
        <w:pStyle w:val="Prrafodelista"/>
        <w:spacing w:after="240" w:line="360" w:lineRule="auto"/>
        <w:ind w:left="0"/>
        <w:jc w:val="both"/>
        <w:rPr>
          <w:color w:val="000000" w:themeColor="text1"/>
          <w:szCs w:val="24"/>
        </w:rPr>
      </w:pPr>
      <w:r>
        <w:rPr>
          <w:color w:val="000000" w:themeColor="text1"/>
          <w:szCs w:val="24"/>
        </w:rPr>
        <w:tab/>
      </w:r>
      <w:r w:rsidR="00335F95">
        <w:rPr>
          <w:color w:val="000000" w:themeColor="text1"/>
          <w:szCs w:val="24"/>
        </w:rPr>
        <w:t>El principal desafío para la construcción de este sistema radicó en que debía ser</w:t>
      </w:r>
      <w:r>
        <w:rPr>
          <w:color w:val="000000" w:themeColor="text1"/>
          <w:szCs w:val="24"/>
        </w:rPr>
        <w:t xml:space="preserve"> un </w:t>
      </w:r>
      <w:r w:rsidR="00335F95">
        <w:rPr>
          <w:color w:val="000000" w:themeColor="text1"/>
          <w:szCs w:val="24"/>
        </w:rPr>
        <w:t xml:space="preserve">práctico y versátil en lo que respecta a la operación y mantenimiento del equipo, sobre todo si se considera </w:t>
      </w:r>
      <w:r>
        <w:rPr>
          <w:color w:val="000000" w:themeColor="text1"/>
          <w:szCs w:val="24"/>
        </w:rPr>
        <w:t>la</w:t>
      </w:r>
      <w:r w:rsidR="00335F95">
        <w:rPr>
          <w:color w:val="000000" w:themeColor="text1"/>
          <w:szCs w:val="24"/>
        </w:rPr>
        <w:t xml:space="preserve"> inclusión de un medio coalescedor en el sistema. </w:t>
      </w:r>
    </w:p>
    <w:p w:rsidR="00F84579" w:rsidRDefault="00F71B09" w:rsidP="00F84579">
      <w:pPr>
        <w:pStyle w:val="Prrafodelista"/>
        <w:spacing w:after="240" w:line="360" w:lineRule="auto"/>
        <w:ind w:left="0"/>
        <w:jc w:val="both"/>
        <w:rPr>
          <w:color w:val="000000" w:themeColor="text1"/>
          <w:szCs w:val="24"/>
        </w:rPr>
      </w:pPr>
      <w:r>
        <w:rPr>
          <w:color w:val="000000" w:themeColor="text1"/>
          <w:szCs w:val="24"/>
        </w:rPr>
        <w:tab/>
      </w:r>
      <w:r w:rsidR="00335F95">
        <w:rPr>
          <w:color w:val="000000" w:themeColor="text1"/>
          <w:szCs w:val="24"/>
        </w:rPr>
        <w:t xml:space="preserve">Por ser un </w:t>
      </w:r>
      <w:r w:rsidR="0069256F">
        <w:rPr>
          <w:color w:val="000000" w:themeColor="text1"/>
          <w:szCs w:val="24"/>
        </w:rPr>
        <w:t>continuo de tratamiento</w:t>
      </w:r>
      <w:r w:rsidR="00335F95">
        <w:rPr>
          <w:color w:val="000000" w:themeColor="text1"/>
          <w:szCs w:val="24"/>
        </w:rPr>
        <w:t xml:space="preserve">, fue necesario implementar un </w:t>
      </w:r>
      <w:r w:rsidR="003E537B">
        <w:rPr>
          <w:color w:val="000000" w:themeColor="text1"/>
          <w:szCs w:val="24"/>
        </w:rPr>
        <w:t xml:space="preserve">   </w:t>
      </w:r>
      <w:r w:rsidR="00335F95">
        <w:rPr>
          <w:color w:val="000000" w:themeColor="text1"/>
          <w:szCs w:val="24"/>
        </w:rPr>
        <w:t>tanque de alimentación-calentamiento</w:t>
      </w:r>
      <w:r>
        <w:rPr>
          <w:color w:val="000000" w:themeColor="text1"/>
          <w:szCs w:val="24"/>
        </w:rPr>
        <w:t xml:space="preserve"> de la emulsión</w:t>
      </w:r>
      <w:r w:rsidR="00335F95">
        <w:rPr>
          <w:color w:val="000000" w:themeColor="text1"/>
          <w:szCs w:val="24"/>
        </w:rPr>
        <w:t>.</w:t>
      </w:r>
      <w:r>
        <w:rPr>
          <w:color w:val="000000" w:themeColor="text1"/>
          <w:szCs w:val="24"/>
        </w:rPr>
        <w:t xml:space="preserve"> El calentamiento de la emulsión respondió a que un</w:t>
      </w:r>
      <w:r w:rsidR="00335F95">
        <w:rPr>
          <w:color w:val="000000" w:themeColor="text1"/>
          <w:szCs w:val="24"/>
        </w:rPr>
        <w:t xml:space="preserve"> aumento de la temperatura tiene un efecto favorable tanto en la viscosidad de la fase externa como en la diferencia de densidad</w:t>
      </w:r>
      <w:r>
        <w:rPr>
          <w:color w:val="000000" w:themeColor="text1"/>
          <w:szCs w:val="24"/>
        </w:rPr>
        <w:t xml:space="preserve"> entre la fase acuosa y la fase continua lo cual permitiría que la emulsión fluyese a través del sistema. </w:t>
      </w:r>
      <w:bookmarkStart w:id="135" w:name="_Toc299209498"/>
      <w:r w:rsidR="00F84579">
        <w:rPr>
          <w:color w:val="000000" w:themeColor="text1"/>
          <w:szCs w:val="24"/>
        </w:rPr>
        <w:t>A continuación se presentan las especificaciones de las partes constituyentes del sistema</w:t>
      </w:r>
      <w:r w:rsidR="005E6D27">
        <w:rPr>
          <w:color w:val="000000" w:themeColor="text1"/>
          <w:szCs w:val="24"/>
        </w:rPr>
        <w:t>:</w:t>
      </w:r>
    </w:p>
    <w:p w:rsidR="00F84579" w:rsidRPr="0042393B" w:rsidRDefault="00F84579" w:rsidP="00F84579">
      <w:pPr>
        <w:pStyle w:val="Prrafodelista"/>
        <w:spacing w:after="240" w:line="360" w:lineRule="auto"/>
        <w:ind w:left="0"/>
        <w:jc w:val="both"/>
        <w:rPr>
          <w:b/>
          <w:color w:val="000000" w:themeColor="text1"/>
          <w:szCs w:val="24"/>
        </w:rPr>
      </w:pPr>
      <w:r>
        <w:rPr>
          <w:color w:val="000000" w:themeColor="text1"/>
          <w:szCs w:val="24"/>
        </w:rPr>
        <w:tab/>
      </w:r>
      <w:r w:rsidRPr="0042393B">
        <w:rPr>
          <w:b/>
          <w:color w:val="000000" w:themeColor="text1"/>
          <w:szCs w:val="24"/>
        </w:rPr>
        <w:t>- Tanque de alimentación</w:t>
      </w:r>
      <w:r w:rsidR="005E6D27" w:rsidRPr="0042393B">
        <w:rPr>
          <w:b/>
          <w:color w:val="000000" w:themeColor="text1"/>
          <w:szCs w:val="24"/>
        </w:rPr>
        <w:t xml:space="preserve"> (</w:t>
      </w:r>
      <w:r w:rsidR="003E7EDD">
        <w:rPr>
          <w:b/>
          <w:color w:val="000000" w:themeColor="text1"/>
          <w:szCs w:val="24"/>
        </w:rPr>
        <w:t>f</w:t>
      </w:r>
      <w:r w:rsidR="005E6D27" w:rsidRPr="0042393B">
        <w:rPr>
          <w:b/>
          <w:color w:val="000000" w:themeColor="text1"/>
          <w:szCs w:val="24"/>
        </w:rPr>
        <w:t>igura N°</w:t>
      </w:r>
      <w:r w:rsidR="00956E55">
        <w:rPr>
          <w:b/>
          <w:color w:val="000000" w:themeColor="text1"/>
          <w:szCs w:val="24"/>
        </w:rPr>
        <w:t xml:space="preserve"> 32</w:t>
      </w:r>
      <w:r w:rsidR="005E6D27" w:rsidRPr="0042393B">
        <w:rPr>
          <w:b/>
          <w:color w:val="000000" w:themeColor="text1"/>
          <w:szCs w:val="24"/>
        </w:rPr>
        <w:t>)</w:t>
      </w:r>
      <w:r w:rsidRPr="0042393B">
        <w:rPr>
          <w:b/>
          <w:color w:val="000000" w:themeColor="text1"/>
          <w:szCs w:val="24"/>
        </w:rPr>
        <w:t>:</w:t>
      </w:r>
      <w:bookmarkStart w:id="136" w:name="_Toc299209499"/>
      <w:bookmarkEnd w:id="135"/>
      <w:r w:rsidRPr="0042393B">
        <w:rPr>
          <w:b/>
          <w:color w:val="000000" w:themeColor="text1"/>
          <w:szCs w:val="24"/>
        </w:rPr>
        <w:t xml:space="preserve"> </w:t>
      </w:r>
    </w:p>
    <w:p w:rsidR="00F84579" w:rsidRDefault="00F84579" w:rsidP="00F84579">
      <w:pPr>
        <w:pStyle w:val="Prrafodelista"/>
        <w:spacing w:after="240" w:line="360" w:lineRule="auto"/>
        <w:ind w:left="0"/>
        <w:jc w:val="both"/>
        <w:rPr>
          <w:szCs w:val="24"/>
          <w:lang w:val="es-ES_tradnl"/>
        </w:rPr>
      </w:pPr>
      <w:r>
        <w:rPr>
          <w:color w:val="000000" w:themeColor="text1"/>
          <w:szCs w:val="24"/>
        </w:rPr>
        <w:tab/>
        <w:t>Tanque cilíndrico de metal de</w:t>
      </w:r>
      <w:r w:rsidRPr="008E6002">
        <w:rPr>
          <w:szCs w:val="24"/>
          <w:lang w:val="es-ES_tradnl"/>
        </w:rPr>
        <w:t xml:space="preserve"> 9,0 cm de altura y 5,0 cm de diámetro</w:t>
      </w:r>
      <w:r w:rsidR="006D5BC5">
        <w:rPr>
          <w:szCs w:val="24"/>
          <w:lang w:val="es-ES_tradnl"/>
        </w:rPr>
        <w:t xml:space="preserve"> (176,5 </w:t>
      </w:r>
      <w:r w:rsidR="003D437B">
        <w:rPr>
          <w:szCs w:val="24"/>
          <w:lang w:val="es-ES_tradnl"/>
        </w:rPr>
        <w:tab/>
      </w:r>
      <w:r w:rsidR="006D5BC5">
        <w:rPr>
          <w:szCs w:val="24"/>
          <w:lang w:val="es-ES_tradnl"/>
        </w:rPr>
        <w:t>cm</w:t>
      </w:r>
      <w:r w:rsidR="006D5BC5" w:rsidRPr="006D5BC5">
        <w:rPr>
          <w:szCs w:val="24"/>
          <w:vertAlign w:val="superscript"/>
          <w:lang w:val="es-ES_tradnl"/>
        </w:rPr>
        <w:t>3</w:t>
      </w:r>
      <w:r w:rsidR="006D5BC5">
        <w:rPr>
          <w:szCs w:val="24"/>
          <w:lang w:val="es-ES_tradnl"/>
        </w:rPr>
        <w:t>)</w:t>
      </w:r>
      <w:r w:rsidRPr="008E6002">
        <w:rPr>
          <w:szCs w:val="24"/>
          <w:lang w:val="es-ES_tradnl"/>
        </w:rPr>
        <w:t xml:space="preserve">. </w:t>
      </w:r>
      <w:r>
        <w:rPr>
          <w:szCs w:val="24"/>
          <w:lang w:val="es-ES_tradnl"/>
        </w:rPr>
        <w:t xml:space="preserve">Se dispuso de un </w:t>
      </w:r>
      <w:r w:rsidRPr="008E6002">
        <w:rPr>
          <w:szCs w:val="24"/>
          <w:lang w:val="es-ES_tradnl"/>
        </w:rPr>
        <w:t xml:space="preserve">agitador interno para homogeneizar el calor </w:t>
      </w:r>
      <w:r w:rsidR="003D437B">
        <w:rPr>
          <w:szCs w:val="24"/>
          <w:lang w:val="es-ES_tradnl"/>
        </w:rPr>
        <w:tab/>
      </w:r>
      <w:r w:rsidRPr="008E6002">
        <w:rPr>
          <w:szCs w:val="24"/>
          <w:lang w:val="es-ES_tradnl"/>
        </w:rPr>
        <w:t>suministrado por una resistencia térmica (1 ohm) de 2,</w:t>
      </w:r>
      <w:r>
        <w:rPr>
          <w:szCs w:val="24"/>
          <w:lang w:val="es-ES_tradnl"/>
        </w:rPr>
        <w:t>4</w:t>
      </w:r>
      <w:r w:rsidRPr="008E6002">
        <w:rPr>
          <w:szCs w:val="24"/>
          <w:lang w:val="es-ES_tradnl"/>
        </w:rPr>
        <w:t xml:space="preserve">5 m que recubre el </w:t>
      </w:r>
      <w:r w:rsidR="003D437B">
        <w:rPr>
          <w:szCs w:val="24"/>
          <w:lang w:val="es-ES_tradnl"/>
        </w:rPr>
        <w:tab/>
      </w:r>
      <w:r w:rsidRPr="008E6002">
        <w:rPr>
          <w:szCs w:val="24"/>
          <w:lang w:val="es-ES_tradnl"/>
        </w:rPr>
        <w:t>recipiente</w:t>
      </w:r>
      <w:bookmarkEnd w:id="136"/>
      <w:r>
        <w:rPr>
          <w:szCs w:val="24"/>
          <w:lang w:val="es-ES_tradnl"/>
        </w:rPr>
        <w:t xml:space="preserve">. El tanque se recubrió de un aislante a fin de disminuir las pérdidas </w:t>
      </w:r>
      <w:r w:rsidR="003D437B">
        <w:rPr>
          <w:szCs w:val="24"/>
          <w:lang w:val="es-ES_tradnl"/>
        </w:rPr>
        <w:tab/>
      </w:r>
      <w:r>
        <w:rPr>
          <w:szCs w:val="24"/>
          <w:lang w:val="es-ES_tradnl"/>
        </w:rPr>
        <w:t xml:space="preserve">de calor y garantizar un calentamiento más eficiente. El aislante utilizado fue </w:t>
      </w:r>
      <w:r w:rsidR="003D437B">
        <w:rPr>
          <w:szCs w:val="24"/>
          <w:lang w:val="es-ES_tradnl"/>
        </w:rPr>
        <w:tab/>
      </w:r>
      <w:r>
        <w:rPr>
          <w:szCs w:val="24"/>
          <w:lang w:val="es-ES_tradnl"/>
        </w:rPr>
        <w:t>fibra de vidrio.</w:t>
      </w:r>
    </w:p>
    <w:p w:rsidR="00F84579" w:rsidRPr="0042393B" w:rsidRDefault="00F84579" w:rsidP="00F84579">
      <w:pPr>
        <w:pStyle w:val="Prrafodelista"/>
        <w:spacing w:after="240" w:line="360" w:lineRule="auto"/>
        <w:ind w:left="0"/>
        <w:jc w:val="both"/>
        <w:rPr>
          <w:b/>
          <w:szCs w:val="24"/>
          <w:lang w:val="es-ES_tradnl"/>
        </w:rPr>
      </w:pPr>
      <w:r>
        <w:rPr>
          <w:szCs w:val="24"/>
          <w:lang w:val="es-ES_tradnl"/>
        </w:rPr>
        <w:tab/>
      </w:r>
      <w:r w:rsidRPr="0042393B">
        <w:rPr>
          <w:b/>
          <w:szCs w:val="24"/>
          <w:lang w:val="es-ES_tradnl"/>
        </w:rPr>
        <w:t>- Celda de aplicación de campo eléctrico</w:t>
      </w:r>
      <w:r w:rsidR="003E7EDD">
        <w:rPr>
          <w:b/>
          <w:szCs w:val="24"/>
          <w:lang w:val="es-ES_tradnl"/>
        </w:rPr>
        <w:t xml:space="preserve"> (f</w:t>
      </w:r>
      <w:r w:rsidR="005E6D27" w:rsidRPr="0042393B">
        <w:rPr>
          <w:b/>
          <w:szCs w:val="24"/>
          <w:lang w:val="es-ES_tradnl"/>
        </w:rPr>
        <w:t>igura N°</w:t>
      </w:r>
      <w:r w:rsidR="00956E55">
        <w:rPr>
          <w:b/>
          <w:szCs w:val="24"/>
          <w:lang w:val="es-ES_tradnl"/>
        </w:rPr>
        <w:t xml:space="preserve"> 33</w:t>
      </w:r>
      <w:r w:rsidR="005E6D27" w:rsidRPr="0042393B">
        <w:rPr>
          <w:b/>
          <w:szCs w:val="24"/>
          <w:lang w:val="es-ES_tradnl"/>
        </w:rPr>
        <w:t>)</w:t>
      </w:r>
      <w:r w:rsidRPr="0042393B">
        <w:rPr>
          <w:b/>
          <w:szCs w:val="24"/>
          <w:lang w:val="es-ES_tradnl"/>
        </w:rPr>
        <w:t>:</w:t>
      </w:r>
      <w:bookmarkStart w:id="137" w:name="_Toc299209500"/>
    </w:p>
    <w:p w:rsidR="00F84579" w:rsidRDefault="00F84579" w:rsidP="00F84579">
      <w:pPr>
        <w:pStyle w:val="Prrafodelista"/>
        <w:spacing w:after="240" w:line="360" w:lineRule="auto"/>
        <w:ind w:left="0"/>
        <w:jc w:val="both"/>
        <w:rPr>
          <w:szCs w:val="24"/>
          <w:lang w:val="es-ES_tradnl"/>
        </w:rPr>
      </w:pPr>
      <w:r>
        <w:rPr>
          <w:szCs w:val="24"/>
          <w:lang w:val="es-ES_tradnl"/>
        </w:rPr>
        <w:lastRenderedPageBreak/>
        <w:tab/>
      </w:r>
      <w:r w:rsidRPr="008E6002">
        <w:rPr>
          <w:szCs w:val="24"/>
          <w:lang w:val="es-ES_tradnl"/>
        </w:rPr>
        <w:t>La celda para la aplicaci</w:t>
      </w:r>
      <w:r>
        <w:rPr>
          <w:szCs w:val="24"/>
          <w:lang w:val="es-ES_tradnl"/>
        </w:rPr>
        <w:t xml:space="preserve">ón de campo eléctrico se construyó en acrílico. </w:t>
      </w:r>
      <w:r w:rsidR="005E6D27">
        <w:rPr>
          <w:szCs w:val="24"/>
          <w:lang w:val="es-ES_tradnl"/>
        </w:rPr>
        <w:tab/>
        <w:t xml:space="preserve">Básicamente es </w:t>
      </w:r>
      <w:r w:rsidRPr="008E6002">
        <w:rPr>
          <w:szCs w:val="24"/>
          <w:lang w:val="es-ES_tradnl"/>
        </w:rPr>
        <w:t xml:space="preserve">recipiente cúbico rectangular con dos electrodos de </w:t>
      </w:r>
      <w:r w:rsidR="005E6D27">
        <w:rPr>
          <w:szCs w:val="24"/>
          <w:lang w:val="es-ES_tradnl"/>
        </w:rPr>
        <w:tab/>
      </w:r>
      <w:r w:rsidRPr="008E6002">
        <w:rPr>
          <w:szCs w:val="24"/>
          <w:lang w:val="es-ES_tradnl"/>
        </w:rPr>
        <w:t>cobre de placas planas cuyas dimensiones son 5,0 cm x 1,0 cm</w:t>
      </w:r>
      <w:r w:rsidR="003D437B">
        <w:rPr>
          <w:szCs w:val="24"/>
          <w:lang w:val="es-ES_tradnl"/>
        </w:rPr>
        <w:t xml:space="preserve"> (5,0 cm</w:t>
      </w:r>
      <w:r w:rsidR="003D437B" w:rsidRPr="003D437B">
        <w:rPr>
          <w:szCs w:val="24"/>
          <w:vertAlign w:val="superscript"/>
          <w:lang w:val="es-ES_tradnl"/>
        </w:rPr>
        <w:t>3</w:t>
      </w:r>
      <w:r w:rsidR="003D437B">
        <w:rPr>
          <w:szCs w:val="24"/>
          <w:lang w:val="es-ES_tradnl"/>
        </w:rPr>
        <w:t>)</w:t>
      </w:r>
      <w:r w:rsidRPr="008E6002">
        <w:rPr>
          <w:szCs w:val="24"/>
          <w:lang w:val="es-ES_tradnl"/>
        </w:rPr>
        <w:t xml:space="preserve">, </w:t>
      </w:r>
      <w:r w:rsidR="003D437B">
        <w:rPr>
          <w:szCs w:val="24"/>
          <w:lang w:val="es-ES_tradnl"/>
        </w:rPr>
        <w:tab/>
      </w:r>
      <w:r w:rsidRPr="008E6002">
        <w:rPr>
          <w:szCs w:val="24"/>
          <w:lang w:val="es-ES_tradnl"/>
        </w:rPr>
        <w:t>donde la separación entre ellos es de 1 cm</w:t>
      </w:r>
      <w:r>
        <w:rPr>
          <w:szCs w:val="24"/>
          <w:lang w:val="es-ES_tradnl"/>
        </w:rPr>
        <w:t xml:space="preserve"> </w:t>
      </w:r>
      <w:r w:rsidR="005E6D27">
        <w:rPr>
          <w:szCs w:val="24"/>
          <w:lang w:val="es-ES_tradnl"/>
        </w:rPr>
        <w:t>(</w:t>
      </w:r>
      <w:r>
        <w:rPr>
          <w:szCs w:val="24"/>
          <w:lang w:val="es-ES_tradnl"/>
        </w:rPr>
        <w:t>Rodríguez</w:t>
      </w:r>
      <w:r w:rsidR="005E6D27">
        <w:rPr>
          <w:szCs w:val="24"/>
          <w:lang w:val="es-ES_tradnl"/>
        </w:rPr>
        <w:t xml:space="preserve">, </w:t>
      </w:r>
      <w:r>
        <w:rPr>
          <w:szCs w:val="24"/>
          <w:lang w:val="es-ES_tradnl"/>
        </w:rPr>
        <w:t>en ejecución)</w:t>
      </w:r>
      <w:r w:rsidRPr="008E6002">
        <w:rPr>
          <w:szCs w:val="24"/>
          <w:lang w:val="es-ES_tradnl"/>
        </w:rPr>
        <w:t>.</w:t>
      </w:r>
      <w:bookmarkEnd w:id="137"/>
      <w:r w:rsidRPr="008E6002">
        <w:rPr>
          <w:szCs w:val="24"/>
          <w:lang w:val="es-ES_tradnl"/>
        </w:rPr>
        <w:t xml:space="preserve"> </w:t>
      </w:r>
    </w:p>
    <w:p w:rsidR="00F84579" w:rsidRDefault="005E6D27" w:rsidP="005E6D27">
      <w:pPr>
        <w:pStyle w:val="Prrafodelista"/>
        <w:spacing w:after="240" w:line="360" w:lineRule="auto"/>
        <w:ind w:left="0"/>
        <w:jc w:val="both"/>
        <w:rPr>
          <w:szCs w:val="24"/>
          <w:lang w:val="es-ES_tradnl"/>
        </w:rPr>
      </w:pPr>
      <w:r>
        <w:rPr>
          <w:szCs w:val="24"/>
          <w:lang w:val="es-ES_tradnl"/>
        </w:rPr>
        <w:tab/>
      </w:r>
      <w:r w:rsidRPr="0042393B">
        <w:rPr>
          <w:b/>
          <w:szCs w:val="24"/>
          <w:lang w:val="es-ES_tradnl"/>
        </w:rPr>
        <w:t>- Celda con medio coalescedor</w:t>
      </w:r>
      <w:r w:rsidR="0042393B">
        <w:rPr>
          <w:b/>
          <w:szCs w:val="24"/>
          <w:lang w:val="es-ES_tradnl"/>
        </w:rPr>
        <w:t xml:space="preserve"> </w:t>
      </w:r>
      <w:r w:rsidR="0042393B" w:rsidRPr="0042393B">
        <w:rPr>
          <w:b/>
          <w:szCs w:val="24"/>
          <w:lang w:val="es-ES_tradnl"/>
        </w:rPr>
        <w:t>(</w:t>
      </w:r>
      <w:r w:rsidR="003E7EDD">
        <w:rPr>
          <w:b/>
          <w:szCs w:val="24"/>
          <w:lang w:val="es-ES_tradnl"/>
        </w:rPr>
        <w:t>f</w:t>
      </w:r>
      <w:r w:rsidR="0042393B" w:rsidRPr="0042393B">
        <w:rPr>
          <w:b/>
          <w:szCs w:val="24"/>
          <w:lang w:val="es-ES_tradnl"/>
        </w:rPr>
        <w:t>igura N°</w:t>
      </w:r>
      <w:r w:rsidR="00956E55">
        <w:rPr>
          <w:b/>
          <w:szCs w:val="24"/>
          <w:lang w:val="es-ES_tradnl"/>
        </w:rPr>
        <w:t xml:space="preserve"> 33</w:t>
      </w:r>
      <w:r w:rsidR="0042393B" w:rsidRPr="0042393B">
        <w:rPr>
          <w:b/>
          <w:szCs w:val="24"/>
          <w:lang w:val="es-ES_tradnl"/>
        </w:rPr>
        <w:t>):</w:t>
      </w:r>
      <w:r>
        <w:rPr>
          <w:szCs w:val="24"/>
          <w:lang w:val="es-ES_tradnl"/>
        </w:rPr>
        <w:t xml:space="preserve"> </w:t>
      </w:r>
      <w:bookmarkStart w:id="138" w:name="_Toc299209501"/>
      <w:r w:rsidR="00F84579" w:rsidRPr="008E6002">
        <w:rPr>
          <w:szCs w:val="24"/>
          <w:lang w:val="es-ES_tradnl"/>
        </w:rPr>
        <w:t xml:space="preserve">La celda en la cual </w:t>
      </w:r>
      <w:r>
        <w:rPr>
          <w:szCs w:val="24"/>
          <w:lang w:val="es-ES_tradnl"/>
        </w:rPr>
        <w:t>se incorporó</w:t>
      </w:r>
      <w:r w:rsidR="00F84579" w:rsidRPr="008E6002">
        <w:rPr>
          <w:szCs w:val="24"/>
          <w:lang w:val="es-ES_tradnl"/>
        </w:rPr>
        <w:t xml:space="preserve"> el medio </w:t>
      </w:r>
      <w:r>
        <w:rPr>
          <w:szCs w:val="24"/>
          <w:lang w:val="es-ES_tradnl"/>
        </w:rPr>
        <w:tab/>
      </w:r>
      <w:r w:rsidR="00F84579" w:rsidRPr="008E6002">
        <w:rPr>
          <w:szCs w:val="24"/>
          <w:lang w:val="es-ES_tradnl"/>
        </w:rPr>
        <w:t xml:space="preserve">coalescedor </w:t>
      </w:r>
      <w:r>
        <w:rPr>
          <w:szCs w:val="24"/>
          <w:lang w:val="es-ES_tradnl"/>
        </w:rPr>
        <w:t>es</w:t>
      </w:r>
      <w:r w:rsidR="00F84579" w:rsidRPr="008E6002">
        <w:rPr>
          <w:szCs w:val="24"/>
          <w:lang w:val="es-ES_tradnl"/>
        </w:rPr>
        <w:t xml:space="preserve"> similar a la celda de aplicación de campo eléctrico solo que </w:t>
      </w:r>
      <w:r>
        <w:rPr>
          <w:szCs w:val="24"/>
          <w:lang w:val="es-ES_tradnl"/>
        </w:rPr>
        <w:tab/>
      </w:r>
      <w:r w:rsidR="00F84579" w:rsidRPr="008E6002">
        <w:rPr>
          <w:szCs w:val="24"/>
          <w:lang w:val="es-ES_tradnl"/>
        </w:rPr>
        <w:t>no inclu</w:t>
      </w:r>
      <w:r>
        <w:rPr>
          <w:szCs w:val="24"/>
          <w:lang w:val="es-ES_tradnl"/>
        </w:rPr>
        <w:t>ye</w:t>
      </w:r>
      <w:r w:rsidR="00F84579" w:rsidRPr="008E6002">
        <w:rPr>
          <w:szCs w:val="24"/>
          <w:lang w:val="es-ES_tradnl"/>
        </w:rPr>
        <w:t xml:space="preserve"> los electrodos</w:t>
      </w:r>
      <w:r>
        <w:rPr>
          <w:szCs w:val="24"/>
          <w:lang w:val="es-ES_tradnl"/>
        </w:rPr>
        <w:t xml:space="preserve">. </w:t>
      </w:r>
      <w:bookmarkEnd w:id="138"/>
    </w:p>
    <w:p w:rsidR="00DC2D1E" w:rsidRDefault="00DC2D1E" w:rsidP="00DC2D1E">
      <w:pPr>
        <w:spacing w:line="360" w:lineRule="auto"/>
        <w:ind w:firstLine="720"/>
        <w:jc w:val="center"/>
        <w:rPr>
          <w:color w:val="000000" w:themeColor="text1"/>
          <w:szCs w:val="24"/>
          <w:lang w:val="en-US"/>
        </w:rPr>
      </w:pPr>
      <w:r>
        <w:rPr>
          <w:noProof/>
          <w:color w:val="000000" w:themeColor="text1"/>
          <w:szCs w:val="24"/>
          <w:lang w:val="en-US" w:eastAsia="en-US"/>
        </w:rPr>
        <w:drawing>
          <wp:inline distT="0" distB="0" distL="0" distR="0">
            <wp:extent cx="2266040" cy="2500829"/>
            <wp:effectExtent l="19050" t="19050" r="19960" b="13771"/>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2266207" cy="2501013"/>
                    </a:xfrm>
                    <a:prstGeom prst="rect">
                      <a:avLst/>
                    </a:prstGeom>
                    <a:noFill/>
                    <a:ln w="15875">
                      <a:solidFill>
                        <a:schemeClr val="tx1"/>
                      </a:solidFill>
                      <a:miter lim="800000"/>
                      <a:headEnd/>
                      <a:tailEnd/>
                    </a:ln>
                  </pic:spPr>
                </pic:pic>
              </a:graphicData>
            </a:graphic>
          </wp:inline>
        </w:drawing>
      </w:r>
    </w:p>
    <w:p w:rsidR="00866210" w:rsidRPr="00866210" w:rsidRDefault="003F4126" w:rsidP="003F4126">
      <w:pPr>
        <w:pStyle w:val="Epgrafe"/>
        <w:rPr>
          <w:color w:val="000000" w:themeColor="text1"/>
        </w:rPr>
      </w:pPr>
      <w:bookmarkStart w:id="139" w:name="_Toc327481444"/>
      <w:r>
        <w:t xml:space="preserve">Figura N° </w:t>
      </w:r>
      <w:fldSimple w:instr=" SEQ Figura_N° \* ARABIC ">
        <w:r w:rsidR="004A5F6F">
          <w:rPr>
            <w:noProof/>
          </w:rPr>
          <w:t>32</w:t>
        </w:r>
      </w:fldSimple>
      <w:r w:rsidR="0005538D">
        <w:rPr>
          <w:color w:val="000000" w:themeColor="text1"/>
        </w:rPr>
        <w:t>: Tanque de alimentación del sistema</w:t>
      </w:r>
      <w:r w:rsidR="000C6E45">
        <w:rPr>
          <w:color w:val="000000" w:themeColor="text1"/>
        </w:rPr>
        <w:t xml:space="preserve"> de tratamiento</w:t>
      </w:r>
      <w:r w:rsidR="0005538D">
        <w:rPr>
          <w:color w:val="000000" w:themeColor="text1"/>
        </w:rPr>
        <w:t xml:space="preserve"> en contin</w:t>
      </w:r>
      <w:r w:rsidR="00BB3816">
        <w:rPr>
          <w:color w:val="000000" w:themeColor="text1"/>
        </w:rPr>
        <w:t>u</w:t>
      </w:r>
      <w:r w:rsidR="0005538D">
        <w:rPr>
          <w:color w:val="000000" w:themeColor="text1"/>
        </w:rPr>
        <w:t>o</w:t>
      </w:r>
      <w:r w:rsidR="00866210" w:rsidRPr="00866210">
        <w:rPr>
          <w:color w:val="000000" w:themeColor="text1"/>
        </w:rPr>
        <w:t>.</w:t>
      </w:r>
      <w:bookmarkEnd w:id="139"/>
    </w:p>
    <w:p w:rsidR="00DC2D1E" w:rsidRDefault="00DC2D1E" w:rsidP="00DC2D1E">
      <w:pPr>
        <w:spacing w:line="360" w:lineRule="auto"/>
        <w:ind w:firstLine="720"/>
        <w:jc w:val="center"/>
        <w:rPr>
          <w:color w:val="000000" w:themeColor="text1"/>
          <w:szCs w:val="24"/>
        </w:rPr>
      </w:pPr>
      <w:r>
        <w:rPr>
          <w:noProof/>
          <w:color w:val="000000" w:themeColor="text1"/>
          <w:szCs w:val="24"/>
          <w:lang w:val="en-US" w:eastAsia="en-US"/>
        </w:rPr>
        <w:drawing>
          <wp:inline distT="0" distB="0" distL="0" distR="0">
            <wp:extent cx="2267712" cy="2609460"/>
            <wp:effectExtent l="38100" t="19050" r="18288" b="1944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2267712" cy="2609460"/>
                    </a:xfrm>
                    <a:prstGeom prst="rect">
                      <a:avLst/>
                    </a:prstGeom>
                    <a:noFill/>
                    <a:ln w="15875">
                      <a:solidFill>
                        <a:schemeClr val="tx1"/>
                      </a:solidFill>
                      <a:miter lim="800000"/>
                      <a:headEnd/>
                      <a:tailEnd/>
                    </a:ln>
                  </pic:spPr>
                </pic:pic>
              </a:graphicData>
            </a:graphic>
          </wp:inline>
        </w:drawing>
      </w:r>
    </w:p>
    <w:p w:rsidR="00DC2D1E" w:rsidRPr="00866210" w:rsidRDefault="003F4126" w:rsidP="003F4126">
      <w:pPr>
        <w:pStyle w:val="Epgrafe"/>
        <w:rPr>
          <w:color w:val="000000" w:themeColor="text1"/>
        </w:rPr>
      </w:pPr>
      <w:bookmarkStart w:id="140" w:name="_Toc327481445"/>
      <w:r>
        <w:t xml:space="preserve">Figura N° </w:t>
      </w:r>
      <w:fldSimple w:instr=" SEQ Figura_N° \* ARABIC ">
        <w:r w:rsidR="004A5F6F">
          <w:rPr>
            <w:noProof/>
          </w:rPr>
          <w:t>33</w:t>
        </w:r>
      </w:fldSimple>
      <w:r w:rsidR="00DC2D1E" w:rsidRPr="00866210">
        <w:rPr>
          <w:color w:val="000000" w:themeColor="text1"/>
        </w:rPr>
        <w:t>: Celda d</w:t>
      </w:r>
      <w:r w:rsidR="00866210" w:rsidRPr="00866210">
        <w:rPr>
          <w:color w:val="000000" w:themeColor="text1"/>
        </w:rPr>
        <w:t>e aplicación de campo eléctrico del sistema</w:t>
      </w:r>
      <w:r w:rsidR="000C6E45">
        <w:rPr>
          <w:color w:val="000000" w:themeColor="text1"/>
        </w:rPr>
        <w:t xml:space="preserve"> de tratamiento</w:t>
      </w:r>
      <w:r w:rsidR="00866210" w:rsidRPr="00866210">
        <w:rPr>
          <w:color w:val="000000" w:themeColor="text1"/>
        </w:rPr>
        <w:t xml:space="preserve"> en continuo.</w:t>
      </w:r>
      <w:bookmarkEnd w:id="140"/>
    </w:p>
    <w:p w:rsidR="00333E17" w:rsidRDefault="00333E17" w:rsidP="005E6D27">
      <w:pPr>
        <w:spacing w:after="240" w:line="360" w:lineRule="auto"/>
        <w:ind w:firstLine="720"/>
        <w:jc w:val="both"/>
        <w:rPr>
          <w:color w:val="000000" w:themeColor="text1"/>
          <w:szCs w:val="24"/>
        </w:rPr>
      </w:pPr>
      <w:r>
        <w:rPr>
          <w:color w:val="000000" w:themeColor="text1"/>
          <w:szCs w:val="24"/>
        </w:rPr>
        <w:lastRenderedPageBreak/>
        <w:t>Respecto a la celda de tratamiento eléctrico</w:t>
      </w:r>
      <w:r w:rsidR="003D5DCB">
        <w:rPr>
          <w:color w:val="000000" w:themeColor="text1"/>
          <w:szCs w:val="24"/>
        </w:rPr>
        <w:t xml:space="preserve"> se fijo un patrón de campo léctrico</w:t>
      </w:r>
      <w:r>
        <w:rPr>
          <w:color w:val="000000" w:themeColor="text1"/>
          <w:szCs w:val="24"/>
        </w:rPr>
        <w:t xml:space="preserve"> de 1 kV/cm para cada una de las experiencias. Cabe destacar que esta relación fue la condición inicial que se procuró al comienzo de cada una de las experiencias con los sistemas de operación batch.</w:t>
      </w:r>
    </w:p>
    <w:p w:rsidR="005E6D27" w:rsidRPr="005B74B4" w:rsidRDefault="00874CEA" w:rsidP="005B74B4">
      <w:pPr>
        <w:spacing w:line="360" w:lineRule="auto"/>
        <w:jc w:val="both"/>
        <w:rPr>
          <w:b/>
        </w:rPr>
      </w:pPr>
      <w:r w:rsidRPr="005B74B4">
        <w:rPr>
          <w:b/>
        </w:rPr>
        <w:t xml:space="preserve">4.1.4 </w:t>
      </w:r>
      <w:r w:rsidR="005E6D27" w:rsidRPr="005B74B4">
        <w:rPr>
          <w:b/>
        </w:rPr>
        <w:t>Evaluación de las distintas configuraciones medio coalescedor/campo eléctrico</w:t>
      </w:r>
      <w:r w:rsidR="0042393B" w:rsidRPr="005B74B4">
        <w:rPr>
          <w:b/>
        </w:rPr>
        <w:t xml:space="preserve"> para el sistema </w:t>
      </w:r>
      <w:r w:rsidR="0069256F" w:rsidRPr="005B74B4">
        <w:rPr>
          <w:b/>
        </w:rPr>
        <w:t>continuo de tratamiento</w:t>
      </w:r>
    </w:p>
    <w:p w:rsidR="005E6D27" w:rsidRDefault="005E6D27" w:rsidP="006D5BC5">
      <w:pPr>
        <w:spacing w:after="240" w:line="360" w:lineRule="auto"/>
        <w:ind w:firstLine="720"/>
        <w:jc w:val="both"/>
        <w:rPr>
          <w:color w:val="000000" w:themeColor="text1"/>
          <w:szCs w:val="24"/>
        </w:rPr>
      </w:pPr>
      <w:r>
        <w:rPr>
          <w:color w:val="000000" w:themeColor="text1"/>
          <w:szCs w:val="24"/>
        </w:rPr>
        <w:t xml:space="preserve">Se evaluaron tres </w:t>
      </w:r>
      <w:r w:rsidR="00BC1270">
        <w:rPr>
          <w:color w:val="000000" w:themeColor="text1"/>
          <w:szCs w:val="24"/>
        </w:rPr>
        <w:t>arreglos</w:t>
      </w:r>
      <w:r>
        <w:rPr>
          <w:color w:val="000000" w:themeColor="text1"/>
          <w:szCs w:val="24"/>
        </w:rPr>
        <w:t xml:space="preserve"> para el sistema de tratamiento</w:t>
      </w:r>
      <w:r w:rsidR="00BC1270">
        <w:rPr>
          <w:color w:val="000000" w:themeColor="text1"/>
          <w:szCs w:val="24"/>
        </w:rPr>
        <w:t>:</w:t>
      </w:r>
    </w:p>
    <w:p w:rsidR="006D5BC5" w:rsidRPr="006D5BC5" w:rsidRDefault="0005538D" w:rsidP="0005538D">
      <w:pPr>
        <w:pStyle w:val="Epgrafe"/>
        <w:spacing w:line="360" w:lineRule="auto"/>
        <w:rPr>
          <w:color w:val="000000" w:themeColor="text1"/>
        </w:rPr>
      </w:pPr>
      <w:bookmarkStart w:id="141" w:name="_Toc325636318"/>
      <w:r>
        <w:t xml:space="preserve">Tabla N° </w:t>
      </w:r>
      <w:fldSimple w:instr=" SEQ Tabla_N° \* ARABIC ">
        <w:r w:rsidR="004A5F6F">
          <w:rPr>
            <w:noProof/>
          </w:rPr>
          <w:t>4</w:t>
        </w:r>
      </w:fldSimple>
      <w:r w:rsidR="006D5BC5" w:rsidRPr="006D5BC5">
        <w:rPr>
          <w:color w:val="000000" w:themeColor="text1"/>
        </w:rPr>
        <w:t>: Arreglos dispuestos para el sistema de tratamiento</w:t>
      </w:r>
      <w:r w:rsidR="006D5BC5">
        <w:rPr>
          <w:color w:val="000000" w:themeColor="text1"/>
        </w:rPr>
        <w:t>. C: Campo eléctrico. M: Medio coalescedor</w:t>
      </w:r>
      <w:bookmarkEnd w:id="141"/>
    </w:p>
    <w:tbl>
      <w:tblPr>
        <w:tblW w:w="7040" w:type="dxa"/>
        <w:jc w:val="center"/>
        <w:tblInd w:w="103" w:type="dxa"/>
        <w:tblLook w:val="04A0"/>
      </w:tblPr>
      <w:tblGrid>
        <w:gridCol w:w="2380"/>
        <w:gridCol w:w="2380"/>
        <w:gridCol w:w="2280"/>
      </w:tblGrid>
      <w:tr w:rsidR="006D5BC5" w:rsidRPr="006D5BC5" w:rsidTr="006D5BC5">
        <w:trPr>
          <w:trHeight w:val="315"/>
          <w:jc w:val="center"/>
        </w:trPr>
        <w:tc>
          <w:tcPr>
            <w:tcW w:w="70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BC5" w:rsidRPr="006D5BC5" w:rsidRDefault="006D5BC5" w:rsidP="006D5BC5">
            <w:pPr>
              <w:jc w:val="center"/>
              <w:rPr>
                <w:rFonts w:ascii="Calibri" w:hAnsi="Calibri" w:cs="Calibri"/>
                <w:b/>
                <w:bCs/>
                <w:color w:val="000000"/>
                <w:szCs w:val="24"/>
                <w:lang w:val="en-US" w:eastAsia="en-US"/>
              </w:rPr>
            </w:pPr>
            <w:r w:rsidRPr="006D5BC5">
              <w:rPr>
                <w:rFonts w:ascii="Calibri" w:hAnsi="Calibri" w:cs="Calibri"/>
                <w:b/>
                <w:bCs/>
                <w:color w:val="000000"/>
                <w:szCs w:val="24"/>
                <w:lang w:val="en-US" w:eastAsia="en-US"/>
              </w:rPr>
              <w:t>Arreglos</w:t>
            </w:r>
          </w:p>
        </w:tc>
      </w:tr>
      <w:tr w:rsidR="006D5BC5" w:rsidRPr="006D5BC5" w:rsidTr="006D5BC5">
        <w:trPr>
          <w:trHeight w:val="31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6D5BC5" w:rsidRPr="006D5BC5" w:rsidRDefault="006D5BC5" w:rsidP="006D5BC5">
            <w:pPr>
              <w:jc w:val="center"/>
              <w:rPr>
                <w:rFonts w:ascii="Calibri" w:hAnsi="Calibri" w:cs="Calibri"/>
                <w:b/>
                <w:bCs/>
                <w:color w:val="000000"/>
                <w:szCs w:val="24"/>
                <w:lang w:val="en-US" w:eastAsia="en-US"/>
              </w:rPr>
            </w:pPr>
            <w:r w:rsidRPr="006D5BC5">
              <w:rPr>
                <w:rFonts w:ascii="Calibri" w:hAnsi="Calibri" w:cs="Calibri"/>
                <w:b/>
                <w:bCs/>
                <w:color w:val="000000"/>
                <w:szCs w:val="24"/>
                <w:lang w:val="en-US" w:eastAsia="en-US"/>
              </w:rPr>
              <w:t>I</w:t>
            </w:r>
          </w:p>
        </w:tc>
        <w:tc>
          <w:tcPr>
            <w:tcW w:w="2380" w:type="dxa"/>
            <w:tcBorders>
              <w:top w:val="nil"/>
              <w:left w:val="nil"/>
              <w:bottom w:val="single" w:sz="4" w:space="0" w:color="auto"/>
              <w:right w:val="single" w:sz="4" w:space="0" w:color="auto"/>
            </w:tcBorders>
            <w:shd w:val="clear" w:color="auto" w:fill="auto"/>
            <w:noWrap/>
            <w:vAlign w:val="center"/>
            <w:hideMark/>
          </w:tcPr>
          <w:p w:rsidR="006D5BC5" w:rsidRPr="006D5BC5" w:rsidRDefault="006D5BC5" w:rsidP="006D5BC5">
            <w:pPr>
              <w:jc w:val="center"/>
              <w:rPr>
                <w:rFonts w:ascii="Calibri" w:hAnsi="Calibri" w:cs="Calibri"/>
                <w:b/>
                <w:bCs/>
                <w:color w:val="000000"/>
                <w:szCs w:val="24"/>
                <w:lang w:val="en-US" w:eastAsia="en-US"/>
              </w:rPr>
            </w:pPr>
            <w:r w:rsidRPr="006D5BC5">
              <w:rPr>
                <w:rFonts w:ascii="Calibri" w:hAnsi="Calibri" w:cs="Calibri"/>
                <w:b/>
                <w:bCs/>
                <w:color w:val="000000"/>
                <w:szCs w:val="24"/>
                <w:lang w:val="en-US" w:eastAsia="en-US"/>
              </w:rPr>
              <w:t>II</w:t>
            </w:r>
          </w:p>
        </w:tc>
        <w:tc>
          <w:tcPr>
            <w:tcW w:w="2280" w:type="dxa"/>
            <w:tcBorders>
              <w:top w:val="nil"/>
              <w:left w:val="nil"/>
              <w:bottom w:val="single" w:sz="4" w:space="0" w:color="auto"/>
              <w:right w:val="single" w:sz="4" w:space="0" w:color="auto"/>
            </w:tcBorders>
            <w:shd w:val="clear" w:color="auto" w:fill="auto"/>
            <w:noWrap/>
            <w:vAlign w:val="center"/>
            <w:hideMark/>
          </w:tcPr>
          <w:p w:rsidR="006D5BC5" w:rsidRPr="006D5BC5" w:rsidRDefault="006D5BC5" w:rsidP="006D5BC5">
            <w:pPr>
              <w:jc w:val="center"/>
              <w:rPr>
                <w:rFonts w:ascii="Calibri" w:hAnsi="Calibri" w:cs="Calibri"/>
                <w:b/>
                <w:bCs/>
                <w:color w:val="000000"/>
                <w:szCs w:val="24"/>
                <w:lang w:val="en-US" w:eastAsia="en-US"/>
              </w:rPr>
            </w:pPr>
            <w:r w:rsidRPr="006D5BC5">
              <w:rPr>
                <w:rFonts w:ascii="Calibri" w:hAnsi="Calibri" w:cs="Calibri"/>
                <w:b/>
                <w:bCs/>
                <w:color w:val="000000"/>
                <w:szCs w:val="24"/>
                <w:lang w:val="en-US" w:eastAsia="en-US"/>
              </w:rPr>
              <w:t>III</w:t>
            </w:r>
          </w:p>
        </w:tc>
      </w:tr>
      <w:tr w:rsidR="006D5BC5" w:rsidRPr="006D5BC5" w:rsidTr="006D5BC5">
        <w:trPr>
          <w:trHeight w:val="315"/>
          <w:jc w:val="center"/>
        </w:trPr>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6D5BC5" w:rsidRPr="006D5BC5" w:rsidRDefault="006D5BC5" w:rsidP="006D5BC5">
            <w:pPr>
              <w:jc w:val="center"/>
              <w:rPr>
                <w:rFonts w:ascii="Calibri" w:hAnsi="Calibri" w:cs="Calibri"/>
                <w:color w:val="000000"/>
                <w:szCs w:val="24"/>
                <w:lang w:val="en-US" w:eastAsia="en-US"/>
              </w:rPr>
            </w:pPr>
            <w:r w:rsidRPr="006D5BC5">
              <w:rPr>
                <w:rFonts w:ascii="Calibri" w:hAnsi="Calibri" w:cs="Calibri"/>
                <w:color w:val="000000"/>
                <w:szCs w:val="24"/>
                <w:lang w:val="en-US" w:eastAsia="en-US"/>
              </w:rPr>
              <w:t>C                                                                                                                                                                                                                                                                                                          M</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6D5BC5" w:rsidRPr="006D5BC5" w:rsidRDefault="006D5BC5" w:rsidP="006D5BC5">
            <w:pPr>
              <w:jc w:val="center"/>
              <w:rPr>
                <w:rFonts w:ascii="Calibri" w:hAnsi="Calibri" w:cs="Calibri"/>
                <w:color w:val="000000"/>
                <w:szCs w:val="24"/>
                <w:lang w:val="en-US" w:eastAsia="en-US"/>
              </w:rPr>
            </w:pPr>
            <w:r w:rsidRPr="006D5BC5">
              <w:rPr>
                <w:rFonts w:ascii="Calibri" w:hAnsi="Calibri" w:cs="Calibri"/>
                <w:color w:val="000000"/>
                <w:szCs w:val="24"/>
                <w:lang w:val="en-US" w:eastAsia="en-US"/>
              </w:rPr>
              <w:t>M                                                                                                                                                                                                                                                                                                          C</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D5BC5" w:rsidRPr="006D5BC5" w:rsidRDefault="006D5BC5" w:rsidP="006D5BC5">
            <w:pPr>
              <w:jc w:val="center"/>
              <w:rPr>
                <w:rFonts w:ascii="Calibri" w:hAnsi="Calibri" w:cs="Calibri"/>
                <w:color w:val="000000"/>
                <w:szCs w:val="24"/>
                <w:lang w:val="en-US" w:eastAsia="en-US"/>
              </w:rPr>
            </w:pPr>
            <w:r w:rsidRPr="006D5BC5">
              <w:rPr>
                <w:rFonts w:ascii="Calibri" w:hAnsi="Calibri" w:cs="Calibri"/>
                <w:color w:val="000000"/>
                <w:szCs w:val="24"/>
                <w:lang w:val="en-US" w:eastAsia="en-US"/>
              </w:rPr>
              <w:t>M + C</w:t>
            </w:r>
          </w:p>
        </w:tc>
      </w:tr>
      <w:tr w:rsidR="006D5BC5" w:rsidRPr="006D5BC5" w:rsidTr="006D5BC5">
        <w:trPr>
          <w:trHeight w:val="315"/>
          <w:jc w:val="center"/>
        </w:trPr>
        <w:tc>
          <w:tcPr>
            <w:tcW w:w="2380" w:type="dxa"/>
            <w:vMerge/>
            <w:tcBorders>
              <w:top w:val="nil"/>
              <w:left w:val="single" w:sz="4" w:space="0" w:color="auto"/>
              <w:bottom w:val="single" w:sz="4" w:space="0" w:color="auto"/>
              <w:right w:val="single" w:sz="4" w:space="0" w:color="auto"/>
            </w:tcBorders>
            <w:vAlign w:val="center"/>
            <w:hideMark/>
          </w:tcPr>
          <w:p w:rsidR="006D5BC5" w:rsidRPr="006D5BC5" w:rsidRDefault="006D5BC5" w:rsidP="006D5BC5">
            <w:pPr>
              <w:rPr>
                <w:rFonts w:ascii="Calibri" w:hAnsi="Calibri" w:cs="Calibri"/>
                <w:color w:val="000000"/>
                <w:szCs w:val="24"/>
                <w:lang w:val="en-US" w:eastAsia="en-US"/>
              </w:rPr>
            </w:pPr>
          </w:p>
        </w:tc>
        <w:tc>
          <w:tcPr>
            <w:tcW w:w="2380" w:type="dxa"/>
            <w:vMerge/>
            <w:tcBorders>
              <w:top w:val="nil"/>
              <w:left w:val="single" w:sz="4" w:space="0" w:color="auto"/>
              <w:bottom w:val="single" w:sz="4" w:space="0" w:color="auto"/>
              <w:right w:val="single" w:sz="4" w:space="0" w:color="auto"/>
            </w:tcBorders>
            <w:vAlign w:val="center"/>
            <w:hideMark/>
          </w:tcPr>
          <w:p w:rsidR="006D5BC5" w:rsidRPr="006D5BC5" w:rsidRDefault="006D5BC5" w:rsidP="006D5BC5">
            <w:pPr>
              <w:rPr>
                <w:rFonts w:ascii="Calibri" w:hAnsi="Calibri" w:cs="Calibri"/>
                <w:color w:val="000000"/>
                <w:szCs w:val="24"/>
                <w:lang w:val="en-US" w:eastAsia="en-US"/>
              </w:rPr>
            </w:pPr>
          </w:p>
        </w:tc>
        <w:tc>
          <w:tcPr>
            <w:tcW w:w="2280" w:type="dxa"/>
            <w:vMerge/>
            <w:tcBorders>
              <w:top w:val="nil"/>
              <w:left w:val="single" w:sz="4" w:space="0" w:color="auto"/>
              <w:bottom w:val="single" w:sz="4" w:space="0" w:color="auto"/>
              <w:right w:val="single" w:sz="4" w:space="0" w:color="auto"/>
            </w:tcBorders>
            <w:vAlign w:val="center"/>
            <w:hideMark/>
          </w:tcPr>
          <w:p w:rsidR="006D5BC5" w:rsidRPr="006D5BC5" w:rsidRDefault="006D5BC5" w:rsidP="006D5BC5">
            <w:pPr>
              <w:rPr>
                <w:rFonts w:ascii="Calibri" w:hAnsi="Calibri" w:cs="Calibri"/>
                <w:color w:val="000000"/>
                <w:szCs w:val="24"/>
                <w:lang w:val="en-US" w:eastAsia="en-US"/>
              </w:rPr>
            </w:pPr>
          </w:p>
        </w:tc>
      </w:tr>
    </w:tbl>
    <w:p w:rsidR="006D5BC5" w:rsidRDefault="006D5BC5" w:rsidP="005E6D27">
      <w:pPr>
        <w:spacing w:line="360" w:lineRule="auto"/>
        <w:ind w:firstLine="720"/>
        <w:jc w:val="both"/>
        <w:rPr>
          <w:color w:val="000000" w:themeColor="text1"/>
          <w:szCs w:val="24"/>
        </w:rPr>
      </w:pPr>
    </w:p>
    <w:p w:rsidR="00BC1270" w:rsidRDefault="006D5BC5" w:rsidP="00BC1270">
      <w:pPr>
        <w:pStyle w:val="Prrafodelista"/>
        <w:numPr>
          <w:ilvl w:val="0"/>
          <w:numId w:val="14"/>
        </w:numPr>
        <w:spacing w:line="360" w:lineRule="auto"/>
        <w:jc w:val="both"/>
        <w:rPr>
          <w:color w:val="000000" w:themeColor="text1"/>
          <w:szCs w:val="24"/>
        </w:rPr>
      </w:pPr>
      <w:r w:rsidRPr="00641940">
        <w:rPr>
          <w:b/>
          <w:color w:val="000000" w:themeColor="text1"/>
          <w:szCs w:val="24"/>
        </w:rPr>
        <w:t>Arreglo I:</w:t>
      </w:r>
      <w:r>
        <w:rPr>
          <w:color w:val="000000" w:themeColor="text1"/>
          <w:szCs w:val="24"/>
        </w:rPr>
        <w:t xml:space="preserve"> </w:t>
      </w:r>
      <w:r w:rsidR="00BC1270">
        <w:rPr>
          <w:color w:val="000000" w:themeColor="text1"/>
          <w:szCs w:val="24"/>
        </w:rPr>
        <w:t>Medio coalescedor</w:t>
      </w:r>
      <w:r>
        <w:rPr>
          <w:color w:val="000000" w:themeColor="text1"/>
          <w:szCs w:val="24"/>
        </w:rPr>
        <w:t xml:space="preserve"> y luego tratamiento eléctrico</w:t>
      </w:r>
      <w:r w:rsidR="00BC1270">
        <w:rPr>
          <w:color w:val="000000" w:themeColor="text1"/>
          <w:szCs w:val="24"/>
        </w:rPr>
        <w:t>.</w:t>
      </w:r>
    </w:p>
    <w:p w:rsidR="00BC1270" w:rsidRDefault="006D5BC5" w:rsidP="00BC1270">
      <w:pPr>
        <w:pStyle w:val="Prrafodelista"/>
        <w:numPr>
          <w:ilvl w:val="0"/>
          <w:numId w:val="14"/>
        </w:numPr>
        <w:spacing w:line="360" w:lineRule="auto"/>
        <w:jc w:val="both"/>
        <w:rPr>
          <w:color w:val="000000" w:themeColor="text1"/>
          <w:szCs w:val="24"/>
        </w:rPr>
      </w:pPr>
      <w:r w:rsidRPr="00641940">
        <w:rPr>
          <w:b/>
          <w:color w:val="000000" w:themeColor="text1"/>
          <w:szCs w:val="24"/>
        </w:rPr>
        <w:t>Arreglo II</w:t>
      </w:r>
      <w:r w:rsidRPr="006D5BC5">
        <w:rPr>
          <w:i/>
          <w:color w:val="000000" w:themeColor="text1"/>
          <w:szCs w:val="24"/>
        </w:rPr>
        <w:t>:</w:t>
      </w:r>
      <w:r>
        <w:rPr>
          <w:color w:val="000000" w:themeColor="text1"/>
          <w:szCs w:val="24"/>
        </w:rPr>
        <w:t xml:space="preserve"> </w:t>
      </w:r>
      <w:r w:rsidR="00BC1270">
        <w:rPr>
          <w:color w:val="000000" w:themeColor="text1"/>
          <w:szCs w:val="24"/>
        </w:rPr>
        <w:t xml:space="preserve">Campo eléctrico </w:t>
      </w:r>
      <w:r>
        <w:rPr>
          <w:color w:val="000000" w:themeColor="text1"/>
          <w:szCs w:val="24"/>
        </w:rPr>
        <w:t>y luego</w:t>
      </w:r>
      <w:r w:rsidR="00BC1270">
        <w:rPr>
          <w:color w:val="000000" w:themeColor="text1"/>
          <w:szCs w:val="24"/>
        </w:rPr>
        <w:t xml:space="preserve"> </w:t>
      </w:r>
      <w:r>
        <w:rPr>
          <w:color w:val="000000" w:themeColor="text1"/>
          <w:szCs w:val="24"/>
        </w:rPr>
        <w:t>m</w:t>
      </w:r>
      <w:r w:rsidR="00BC1270">
        <w:rPr>
          <w:color w:val="000000" w:themeColor="text1"/>
          <w:szCs w:val="24"/>
        </w:rPr>
        <w:t>edio coalescedor.</w:t>
      </w:r>
    </w:p>
    <w:p w:rsidR="00BC1270" w:rsidRPr="00BC1270" w:rsidRDefault="006D5BC5" w:rsidP="00BC1270">
      <w:pPr>
        <w:pStyle w:val="Prrafodelista"/>
        <w:numPr>
          <w:ilvl w:val="0"/>
          <w:numId w:val="14"/>
        </w:numPr>
        <w:spacing w:line="360" w:lineRule="auto"/>
        <w:jc w:val="both"/>
        <w:rPr>
          <w:color w:val="000000" w:themeColor="text1"/>
          <w:szCs w:val="24"/>
        </w:rPr>
      </w:pPr>
      <w:r w:rsidRPr="00641940">
        <w:rPr>
          <w:b/>
          <w:color w:val="000000" w:themeColor="text1"/>
          <w:szCs w:val="24"/>
        </w:rPr>
        <w:t>Arreglo III</w:t>
      </w:r>
      <w:r w:rsidRPr="006D5BC5">
        <w:rPr>
          <w:i/>
          <w:color w:val="000000" w:themeColor="text1"/>
          <w:szCs w:val="24"/>
        </w:rPr>
        <w:t>:</w:t>
      </w:r>
      <w:r>
        <w:rPr>
          <w:color w:val="000000" w:themeColor="text1"/>
          <w:szCs w:val="24"/>
        </w:rPr>
        <w:t xml:space="preserve"> </w:t>
      </w:r>
      <w:r w:rsidR="00BC1270">
        <w:rPr>
          <w:color w:val="000000" w:themeColor="text1"/>
          <w:szCs w:val="24"/>
        </w:rPr>
        <w:t>Medio coalescedor en la celda de aplicación de campo eléctrico.</w:t>
      </w:r>
    </w:p>
    <w:p w:rsidR="005E6D27" w:rsidRDefault="005E6D27" w:rsidP="005E6D27">
      <w:pPr>
        <w:spacing w:line="360" w:lineRule="auto"/>
        <w:ind w:firstLine="720"/>
        <w:jc w:val="both"/>
        <w:rPr>
          <w:color w:val="000000" w:themeColor="text1"/>
          <w:szCs w:val="24"/>
          <w:lang w:val="es-ES_tradnl"/>
        </w:rPr>
      </w:pPr>
      <w:r>
        <w:rPr>
          <w:color w:val="000000" w:themeColor="text1"/>
          <w:szCs w:val="24"/>
        </w:rPr>
        <w:t xml:space="preserve"> </w:t>
      </w:r>
      <w:r>
        <w:rPr>
          <w:color w:val="000000" w:themeColor="text1"/>
          <w:szCs w:val="24"/>
          <w:lang w:val="es-ES_tradnl"/>
        </w:rPr>
        <w:t xml:space="preserve">Los ensayos se realizaron únicamente para la fosa </w:t>
      </w:r>
      <w:r w:rsidR="00355A67">
        <w:rPr>
          <w:color w:val="000000" w:themeColor="text1"/>
          <w:szCs w:val="24"/>
          <w:lang w:val="es-ES_tradnl"/>
        </w:rPr>
        <w:t>Acema-100</w:t>
      </w:r>
      <w:r>
        <w:rPr>
          <w:color w:val="000000" w:themeColor="text1"/>
          <w:szCs w:val="24"/>
          <w:lang w:val="es-ES_tradnl"/>
        </w:rPr>
        <w:t xml:space="preserve"> por ser la fosa ‘‘más fácil de tratar’’ aplicando campo DC. </w:t>
      </w:r>
      <w:r w:rsidR="00BC1270">
        <w:rPr>
          <w:color w:val="000000" w:themeColor="text1"/>
          <w:szCs w:val="24"/>
          <w:lang w:val="es-ES_tradnl"/>
        </w:rPr>
        <w:t>El voltaje</w:t>
      </w:r>
      <w:r>
        <w:rPr>
          <w:color w:val="000000" w:themeColor="text1"/>
          <w:szCs w:val="24"/>
          <w:lang w:val="es-ES_tradnl"/>
        </w:rPr>
        <w:t xml:space="preserve"> aplicado estuvo determinad</w:t>
      </w:r>
      <w:r w:rsidR="00BC1270">
        <w:rPr>
          <w:color w:val="000000" w:themeColor="text1"/>
          <w:szCs w:val="24"/>
          <w:lang w:val="es-ES_tradnl"/>
        </w:rPr>
        <w:t>o</w:t>
      </w:r>
      <w:r>
        <w:rPr>
          <w:color w:val="000000" w:themeColor="text1"/>
          <w:szCs w:val="24"/>
          <w:lang w:val="es-ES_tradnl"/>
        </w:rPr>
        <w:t xml:space="preserve"> por la aparición de un corto eléctrico en el sistema de tratamiento</w:t>
      </w:r>
      <w:r w:rsidR="00BC1270">
        <w:rPr>
          <w:color w:val="000000" w:themeColor="text1"/>
          <w:szCs w:val="24"/>
          <w:lang w:val="es-ES_tradnl"/>
        </w:rPr>
        <w:t xml:space="preserve"> a consecuencia del fenómeno de percolación</w:t>
      </w:r>
      <w:r>
        <w:rPr>
          <w:color w:val="000000" w:themeColor="text1"/>
          <w:szCs w:val="24"/>
          <w:lang w:val="es-ES_tradnl"/>
        </w:rPr>
        <w:t xml:space="preserve">. Se utilizó un medio coalescedor hidrofílico e hidrofóbico, esferas de vidrio y esferas de polietileno </w:t>
      </w:r>
      <w:r w:rsidR="003D5DCB">
        <w:rPr>
          <w:color w:val="000000" w:themeColor="text1"/>
          <w:szCs w:val="24"/>
          <w:lang w:val="es-ES_tradnl"/>
        </w:rPr>
        <w:t>respectivamente</w:t>
      </w:r>
      <w:r>
        <w:rPr>
          <w:color w:val="000000" w:themeColor="text1"/>
          <w:szCs w:val="24"/>
          <w:lang w:val="es-ES_tradnl"/>
        </w:rPr>
        <w:t>. La selección del material se realizó de manera arbitraria, procurando únicamente realizar las experiencias con dos materiales mojabilidad distinta.</w:t>
      </w:r>
      <w:r w:rsidR="009A60A4">
        <w:rPr>
          <w:color w:val="000000" w:themeColor="text1"/>
          <w:szCs w:val="24"/>
          <w:lang w:val="es-ES_tradnl"/>
        </w:rPr>
        <w:t xml:space="preserve"> Los parámetros de selección del material se detallan en la sección de discusión evaluación del grado de separación para cada de una de las fosas.</w:t>
      </w:r>
    </w:p>
    <w:p w:rsidR="0046578D" w:rsidRDefault="006D5BC5" w:rsidP="0046578D">
      <w:pPr>
        <w:pStyle w:val="Prrafodelista"/>
        <w:spacing w:after="240" w:line="360" w:lineRule="auto"/>
        <w:ind w:left="0"/>
        <w:jc w:val="both"/>
        <w:rPr>
          <w:color w:val="000000" w:themeColor="text1"/>
          <w:szCs w:val="24"/>
          <w:lang w:val="es-ES_tradnl"/>
        </w:rPr>
      </w:pPr>
      <w:r>
        <w:rPr>
          <w:color w:val="000000" w:themeColor="text1"/>
          <w:szCs w:val="24"/>
          <w:lang w:val="es-ES_tradnl"/>
        </w:rPr>
        <w:tab/>
      </w:r>
      <w:r w:rsidR="009A60A4">
        <w:rPr>
          <w:color w:val="000000" w:themeColor="text1"/>
          <w:szCs w:val="24"/>
          <w:lang w:val="es-ES_tradnl"/>
        </w:rPr>
        <w:t xml:space="preserve">En las pruebas realizadas no se observó separación cuando </w:t>
      </w:r>
      <w:r>
        <w:rPr>
          <w:color w:val="000000" w:themeColor="text1"/>
          <w:szCs w:val="24"/>
          <w:lang w:val="es-ES_tradnl"/>
        </w:rPr>
        <w:t>para los arreglos I y II.</w:t>
      </w:r>
      <w:r w:rsidR="009A60A4">
        <w:rPr>
          <w:color w:val="000000" w:themeColor="text1"/>
          <w:szCs w:val="24"/>
          <w:lang w:val="es-ES_tradnl"/>
        </w:rPr>
        <w:t xml:space="preserve"> </w:t>
      </w:r>
      <w:r w:rsidR="005E6D27">
        <w:rPr>
          <w:color w:val="000000" w:themeColor="text1"/>
          <w:szCs w:val="24"/>
          <w:lang w:val="es-ES_tradnl"/>
        </w:rPr>
        <w:t xml:space="preserve">La única separación se logró </w:t>
      </w:r>
      <w:r>
        <w:rPr>
          <w:color w:val="000000" w:themeColor="text1"/>
          <w:szCs w:val="24"/>
          <w:lang w:val="es-ES_tradnl"/>
        </w:rPr>
        <w:t>para el arreglo III</w:t>
      </w:r>
      <w:r w:rsidR="009A60A4">
        <w:rPr>
          <w:color w:val="000000" w:themeColor="text1"/>
          <w:szCs w:val="24"/>
          <w:lang w:val="es-ES_tradnl"/>
        </w:rPr>
        <w:t>.</w:t>
      </w:r>
      <w:r w:rsidR="0046578D">
        <w:rPr>
          <w:color w:val="000000" w:themeColor="text1"/>
          <w:szCs w:val="24"/>
          <w:lang w:val="es-ES_tradnl"/>
        </w:rPr>
        <w:t xml:space="preserve"> Por lo tanto el arreglo seleccionado para cada de las experiencias fue el arreglo III</w:t>
      </w:r>
      <w:r w:rsidR="00956E55">
        <w:rPr>
          <w:color w:val="000000" w:themeColor="text1"/>
          <w:szCs w:val="24"/>
          <w:lang w:val="es-ES_tradnl"/>
        </w:rPr>
        <w:t xml:space="preserve"> (Figura N° 34)</w:t>
      </w:r>
      <w:r w:rsidR="0046578D">
        <w:rPr>
          <w:color w:val="000000" w:themeColor="text1"/>
          <w:szCs w:val="24"/>
          <w:lang w:val="es-ES_tradnl"/>
        </w:rPr>
        <w:t xml:space="preserve">. </w:t>
      </w:r>
      <w:r w:rsidR="005E6D27">
        <w:rPr>
          <w:color w:val="000000" w:themeColor="text1"/>
          <w:szCs w:val="24"/>
          <w:lang w:val="es-ES_tradnl"/>
        </w:rPr>
        <w:t xml:space="preserve">Cabe </w:t>
      </w:r>
      <w:r w:rsidR="005E6D27">
        <w:rPr>
          <w:color w:val="000000" w:themeColor="text1"/>
          <w:szCs w:val="24"/>
          <w:lang w:val="es-ES_tradnl"/>
        </w:rPr>
        <w:lastRenderedPageBreak/>
        <w:t>destacar que la separación de agua hace referencia a la presencia de agua</w:t>
      </w:r>
      <w:r>
        <w:rPr>
          <w:color w:val="000000" w:themeColor="text1"/>
          <w:szCs w:val="24"/>
          <w:lang w:val="es-ES_tradnl"/>
        </w:rPr>
        <w:t xml:space="preserve"> libre</w:t>
      </w:r>
      <w:r w:rsidR="005E6D27">
        <w:rPr>
          <w:color w:val="000000" w:themeColor="text1"/>
          <w:szCs w:val="24"/>
          <w:lang w:val="es-ES_tradnl"/>
        </w:rPr>
        <w:t xml:space="preserve"> en el tubo de recolección</w:t>
      </w:r>
      <w:r>
        <w:rPr>
          <w:color w:val="000000" w:themeColor="text1"/>
          <w:szCs w:val="24"/>
          <w:lang w:val="es-ES_tradnl"/>
        </w:rPr>
        <w:t xml:space="preserve"> luego de aplicado el tratamiento</w:t>
      </w:r>
      <w:r w:rsidR="005E6D27">
        <w:rPr>
          <w:color w:val="000000" w:themeColor="text1"/>
          <w:szCs w:val="24"/>
          <w:lang w:val="es-ES_tradnl"/>
        </w:rPr>
        <w:t xml:space="preserve">. </w:t>
      </w:r>
    </w:p>
    <w:p w:rsidR="00DC2D1E" w:rsidRDefault="00DC2D1E" w:rsidP="00DC2D1E">
      <w:pPr>
        <w:spacing w:line="360" w:lineRule="auto"/>
        <w:ind w:firstLine="720"/>
        <w:jc w:val="center"/>
        <w:rPr>
          <w:color w:val="000000" w:themeColor="text1"/>
          <w:szCs w:val="24"/>
        </w:rPr>
      </w:pPr>
      <w:r>
        <w:rPr>
          <w:noProof/>
          <w:color w:val="000000" w:themeColor="text1"/>
          <w:szCs w:val="24"/>
          <w:lang w:val="en-US" w:eastAsia="en-US"/>
        </w:rPr>
        <w:drawing>
          <wp:inline distT="0" distB="0" distL="0" distR="0">
            <wp:extent cx="2846660" cy="2166692"/>
            <wp:effectExtent l="19050" t="19050" r="10840" b="24058"/>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2847370" cy="2167233"/>
                    </a:xfrm>
                    <a:prstGeom prst="rect">
                      <a:avLst/>
                    </a:prstGeom>
                    <a:noFill/>
                    <a:ln w="15875">
                      <a:solidFill>
                        <a:schemeClr val="tx1"/>
                      </a:solidFill>
                      <a:miter lim="800000"/>
                      <a:headEnd/>
                      <a:tailEnd/>
                    </a:ln>
                  </pic:spPr>
                </pic:pic>
              </a:graphicData>
            </a:graphic>
          </wp:inline>
        </w:drawing>
      </w:r>
    </w:p>
    <w:p w:rsidR="00DC2D1E" w:rsidRPr="0005538D" w:rsidRDefault="003F4126" w:rsidP="0046578D">
      <w:pPr>
        <w:spacing w:line="360" w:lineRule="auto"/>
        <w:jc w:val="center"/>
        <w:rPr>
          <w:sz w:val="20"/>
        </w:rPr>
      </w:pPr>
      <w:bookmarkStart w:id="142" w:name="_Toc327481446"/>
      <w:r w:rsidRPr="0005538D">
        <w:rPr>
          <w:sz w:val="20"/>
        </w:rPr>
        <w:t xml:space="preserve">Figura N° </w:t>
      </w:r>
      <w:r w:rsidR="00A73CD2" w:rsidRPr="0005538D">
        <w:rPr>
          <w:sz w:val="20"/>
        </w:rPr>
        <w:fldChar w:fldCharType="begin"/>
      </w:r>
      <w:r w:rsidRPr="0005538D">
        <w:rPr>
          <w:sz w:val="20"/>
        </w:rPr>
        <w:instrText xml:space="preserve"> SEQ Figura_N° \* ARABIC </w:instrText>
      </w:r>
      <w:r w:rsidR="00A73CD2" w:rsidRPr="0005538D">
        <w:rPr>
          <w:sz w:val="20"/>
        </w:rPr>
        <w:fldChar w:fldCharType="separate"/>
      </w:r>
      <w:r w:rsidR="004A5F6F">
        <w:rPr>
          <w:noProof/>
          <w:sz w:val="20"/>
        </w:rPr>
        <w:t>34</w:t>
      </w:r>
      <w:r w:rsidR="00A73CD2" w:rsidRPr="0005538D">
        <w:rPr>
          <w:sz w:val="20"/>
        </w:rPr>
        <w:fldChar w:fldCharType="end"/>
      </w:r>
      <w:r w:rsidR="00DC2D1E" w:rsidRPr="0005538D">
        <w:rPr>
          <w:sz w:val="20"/>
        </w:rPr>
        <w:t xml:space="preserve">: Celda </w:t>
      </w:r>
      <w:r w:rsidR="009A60A4" w:rsidRPr="0005538D">
        <w:rPr>
          <w:sz w:val="20"/>
        </w:rPr>
        <w:t xml:space="preserve">de aplicación de campo eléctrico </w:t>
      </w:r>
      <w:r w:rsidR="00DC2D1E" w:rsidRPr="0005538D">
        <w:rPr>
          <w:sz w:val="20"/>
        </w:rPr>
        <w:t>con esferas de polietileno como medio coalescedor.</w:t>
      </w:r>
      <w:bookmarkEnd w:id="142"/>
    </w:p>
    <w:p w:rsidR="00335F95" w:rsidRDefault="00874CEA" w:rsidP="00874CEA">
      <w:pPr>
        <w:pStyle w:val="Ttulo3"/>
        <w:spacing w:line="360" w:lineRule="auto"/>
        <w:jc w:val="both"/>
        <w:rPr>
          <w:rFonts w:ascii="Times New Roman" w:hAnsi="Times New Roman" w:cs="Times New Roman"/>
          <w:color w:val="auto"/>
        </w:rPr>
      </w:pPr>
      <w:bookmarkStart w:id="143" w:name="_Toc327478032"/>
      <w:r>
        <w:rPr>
          <w:rFonts w:ascii="Times New Roman" w:hAnsi="Times New Roman" w:cs="Times New Roman"/>
          <w:color w:val="auto"/>
        </w:rPr>
        <w:t xml:space="preserve">4.2 </w:t>
      </w:r>
      <w:r w:rsidR="00335F95" w:rsidRPr="0046578D">
        <w:rPr>
          <w:rFonts w:ascii="Times New Roman" w:hAnsi="Times New Roman" w:cs="Times New Roman"/>
          <w:color w:val="auto"/>
        </w:rPr>
        <w:t>Cuantificación</w:t>
      </w:r>
      <w:r>
        <w:rPr>
          <w:rFonts w:ascii="Times New Roman" w:hAnsi="Times New Roman" w:cs="Times New Roman"/>
          <w:color w:val="auto"/>
        </w:rPr>
        <w:t xml:space="preserve"> y evaluación</w:t>
      </w:r>
      <w:r w:rsidR="00335F95" w:rsidRPr="0046578D">
        <w:rPr>
          <w:rFonts w:ascii="Times New Roman" w:hAnsi="Times New Roman" w:cs="Times New Roman"/>
          <w:color w:val="auto"/>
        </w:rPr>
        <w:t xml:space="preserve"> del grado de separación de las emulsiones Acema-100, Merey-31 y Guara-2</w:t>
      </w:r>
      <w:bookmarkEnd w:id="143"/>
    </w:p>
    <w:p w:rsidR="009A60A4" w:rsidRPr="005B74B4" w:rsidRDefault="00874CEA" w:rsidP="005B74B4">
      <w:pPr>
        <w:pStyle w:val="Ttulo4"/>
        <w:spacing w:line="360" w:lineRule="auto"/>
        <w:jc w:val="both"/>
        <w:rPr>
          <w:rFonts w:ascii="Times New Roman" w:hAnsi="Times New Roman"/>
          <w:sz w:val="24"/>
          <w:szCs w:val="24"/>
        </w:rPr>
      </w:pPr>
      <w:r w:rsidRPr="005B74B4">
        <w:rPr>
          <w:rFonts w:ascii="Times New Roman" w:hAnsi="Times New Roman"/>
          <w:sz w:val="24"/>
          <w:szCs w:val="24"/>
        </w:rPr>
        <w:t xml:space="preserve">4.2.1 </w:t>
      </w:r>
      <w:r w:rsidR="007B180F" w:rsidRPr="005B74B4">
        <w:rPr>
          <w:rFonts w:ascii="Times New Roman" w:hAnsi="Times New Roman"/>
          <w:sz w:val="24"/>
          <w:szCs w:val="24"/>
        </w:rPr>
        <w:t>Preselección del material</w:t>
      </w:r>
    </w:p>
    <w:p w:rsidR="0008300C" w:rsidRDefault="009F6C7B" w:rsidP="006D5BC5">
      <w:pPr>
        <w:spacing w:line="360" w:lineRule="auto"/>
        <w:jc w:val="both"/>
        <w:rPr>
          <w:szCs w:val="24"/>
        </w:rPr>
      </w:pPr>
      <w:r>
        <w:tab/>
      </w:r>
      <w:r w:rsidR="007B180F">
        <w:t xml:space="preserve">Sólidos con diferentes mojabilidades fueron preseleccionados en base al estudio </w:t>
      </w:r>
      <w:r w:rsidR="007B180F" w:rsidRPr="0037197D">
        <w:t>de</w:t>
      </w:r>
      <w:r w:rsidR="002A54D3" w:rsidRPr="0037197D">
        <w:t xml:space="preserve"> Zavarce (2006) y Morales (2009</w:t>
      </w:r>
      <w:r w:rsidR="007B180F" w:rsidRPr="0037197D">
        <w:t>)</w:t>
      </w:r>
      <w:r w:rsidR="00A93577" w:rsidRPr="0037197D">
        <w:t>.</w:t>
      </w:r>
      <w:r w:rsidR="00277D71">
        <w:rPr>
          <w:szCs w:val="24"/>
        </w:rPr>
        <w:t xml:space="preserve"> </w:t>
      </w:r>
      <w:r w:rsidR="006D5BC5">
        <w:rPr>
          <w:szCs w:val="24"/>
        </w:rPr>
        <w:t>S</w:t>
      </w:r>
      <w:r w:rsidR="00C24744">
        <w:rPr>
          <w:szCs w:val="24"/>
        </w:rPr>
        <w:t>e calculó la fracción de vacío para cada material</w:t>
      </w:r>
      <w:r w:rsidR="00571F9C">
        <w:rPr>
          <w:szCs w:val="24"/>
        </w:rPr>
        <w:t>, la cual</w:t>
      </w:r>
      <w:r w:rsidR="001123C6">
        <w:rPr>
          <w:szCs w:val="24"/>
        </w:rPr>
        <w:t xml:space="preserve"> </w:t>
      </w:r>
      <w:r w:rsidR="00A93577">
        <w:rPr>
          <w:szCs w:val="24"/>
        </w:rPr>
        <w:t>representa</w:t>
      </w:r>
      <w:r w:rsidR="001123C6">
        <w:rPr>
          <w:szCs w:val="24"/>
        </w:rPr>
        <w:t xml:space="preserve"> la relación </w:t>
      </w:r>
      <w:r w:rsidR="00A93577">
        <w:rPr>
          <w:szCs w:val="24"/>
        </w:rPr>
        <w:t>entre el</w:t>
      </w:r>
      <w:r w:rsidR="001123C6">
        <w:rPr>
          <w:szCs w:val="24"/>
        </w:rPr>
        <w:t xml:space="preserve"> volumen de </w:t>
      </w:r>
      <w:r w:rsidR="007E323D">
        <w:rPr>
          <w:szCs w:val="24"/>
        </w:rPr>
        <w:t xml:space="preserve">material </w:t>
      </w:r>
      <w:r w:rsidR="00A93577">
        <w:rPr>
          <w:szCs w:val="24"/>
        </w:rPr>
        <w:t xml:space="preserve">dispuesto en la </w:t>
      </w:r>
      <w:r w:rsidR="007E323D">
        <w:rPr>
          <w:szCs w:val="24"/>
        </w:rPr>
        <w:t>celda de aplicación de campo eléctrico (medido con agua) y el volumen total de la celda</w:t>
      </w:r>
      <w:r w:rsidR="00A87F5C">
        <w:rPr>
          <w:szCs w:val="24"/>
        </w:rPr>
        <w:t xml:space="preserve"> de tratamiento</w:t>
      </w:r>
      <w:r w:rsidR="00A93577">
        <w:rPr>
          <w:szCs w:val="24"/>
        </w:rPr>
        <w:t xml:space="preserve"> (5,0 cm</w:t>
      </w:r>
      <w:r w:rsidR="00A93577" w:rsidRPr="00A93577">
        <w:rPr>
          <w:szCs w:val="24"/>
          <w:vertAlign w:val="superscript"/>
        </w:rPr>
        <w:t>3</w:t>
      </w:r>
      <w:r w:rsidR="00A93577">
        <w:rPr>
          <w:szCs w:val="24"/>
        </w:rPr>
        <w:t>)</w:t>
      </w:r>
      <w:r w:rsidR="007E323D">
        <w:rPr>
          <w:szCs w:val="24"/>
        </w:rPr>
        <w:t xml:space="preserve">. </w:t>
      </w:r>
      <w:r w:rsidR="0008300C">
        <w:rPr>
          <w:szCs w:val="24"/>
        </w:rPr>
        <w:t>Esta relación, dependiendo del tipo de material (p. ej. cáscara de maní, rocas), puede ser significativamente imprecisa por la diferente granulometría de</w:t>
      </w:r>
      <w:r w:rsidR="00B1169B">
        <w:rPr>
          <w:szCs w:val="24"/>
        </w:rPr>
        <w:t>l</w:t>
      </w:r>
      <w:r w:rsidR="0008300C">
        <w:rPr>
          <w:szCs w:val="24"/>
        </w:rPr>
        <w:t xml:space="preserve"> material</w:t>
      </w:r>
      <w:r w:rsidR="00B1169B">
        <w:rPr>
          <w:szCs w:val="24"/>
        </w:rPr>
        <w:t>;</w:t>
      </w:r>
      <w:r w:rsidR="00C24744">
        <w:rPr>
          <w:szCs w:val="24"/>
        </w:rPr>
        <w:t xml:space="preserve"> sin embargo</w:t>
      </w:r>
      <w:r w:rsidR="00B1169B">
        <w:rPr>
          <w:szCs w:val="24"/>
        </w:rPr>
        <w:t>,</w:t>
      </w:r>
      <w:r w:rsidR="00C24744">
        <w:rPr>
          <w:szCs w:val="24"/>
        </w:rPr>
        <w:t xml:space="preserve"> se realizaron varias mediciones a fin de estimar un valor más preciso.</w:t>
      </w:r>
    </w:p>
    <w:p w:rsidR="00B1169B" w:rsidRDefault="0008300C" w:rsidP="00571F9C">
      <w:pPr>
        <w:spacing w:line="360" w:lineRule="auto"/>
        <w:jc w:val="both"/>
        <w:rPr>
          <w:szCs w:val="24"/>
        </w:rPr>
      </w:pPr>
      <w:r>
        <w:rPr>
          <w:szCs w:val="24"/>
        </w:rPr>
        <w:tab/>
      </w:r>
      <w:r w:rsidR="008E542A">
        <w:rPr>
          <w:szCs w:val="24"/>
        </w:rPr>
        <w:t>La fracción de vacío</w:t>
      </w:r>
      <w:r w:rsidR="000C7F8B">
        <w:rPr>
          <w:szCs w:val="24"/>
        </w:rPr>
        <w:t xml:space="preserve"> </w:t>
      </w:r>
      <w:r w:rsidR="00571F9C">
        <w:rPr>
          <w:szCs w:val="24"/>
        </w:rPr>
        <w:t xml:space="preserve">permite </w:t>
      </w:r>
      <w:r w:rsidR="003D437B">
        <w:rPr>
          <w:szCs w:val="24"/>
        </w:rPr>
        <w:t>determinar el tiempo de residencia de la emulsión en el sistema</w:t>
      </w:r>
      <w:r w:rsidR="000C7F8B">
        <w:rPr>
          <w:szCs w:val="24"/>
        </w:rPr>
        <w:t xml:space="preserve">. </w:t>
      </w:r>
      <w:r w:rsidR="00571F9C">
        <w:rPr>
          <w:szCs w:val="24"/>
        </w:rPr>
        <w:t>Sin embargo,</w:t>
      </w:r>
      <w:r w:rsidR="0030305D">
        <w:rPr>
          <w:szCs w:val="24"/>
        </w:rPr>
        <w:t xml:space="preserve"> </w:t>
      </w:r>
      <w:r w:rsidR="000C7F8B">
        <w:rPr>
          <w:szCs w:val="24"/>
        </w:rPr>
        <w:t>es preciso señalar</w:t>
      </w:r>
      <w:r w:rsidR="0030305D">
        <w:rPr>
          <w:szCs w:val="24"/>
        </w:rPr>
        <w:t xml:space="preserve"> </w:t>
      </w:r>
      <w:r w:rsidR="000C7F8B">
        <w:rPr>
          <w:szCs w:val="24"/>
        </w:rPr>
        <w:t>que este parámetro</w:t>
      </w:r>
      <w:r w:rsidR="00C24744">
        <w:rPr>
          <w:szCs w:val="24"/>
        </w:rPr>
        <w:t xml:space="preserve"> </w:t>
      </w:r>
      <w:r w:rsidR="000C7F8B">
        <w:rPr>
          <w:szCs w:val="24"/>
        </w:rPr>
        <w:t xml:space="preserve">es solo </w:t>
      </w:r>
      <w:r w:rsidR="00B1169B">
        <w:rPr>
          <w:szCs w:val="24"/>
        </w:rPr>
        <w:t>r</w:t>
      </w:r>
      <w:r w:rsidR="000C7F8B">
        <w:rPr>
          <w:szCs w:val="24"/>
        </w:rPr>
        <w:t>eferencia</w:t>
      </w:r>
      <w:r w:rsidR="00B1169B">
        <w:rPr>
          <w:szCs w:val="24"/>
        </w:rPr>
        <w:t>l,</w:t>
      </w:r>
      <w:r w:rsidR="000C7F8B">
        <w:rPr>
          <w:szCs w:val="24"/>
        </w:rPr>
        <w:t xml:space="preserve"> ya que las distintas interacciones que </w:t>
      </w:r>
      <w:r w:rsidR="00571F9C">
        <w:rPr>
          <w:szCs w:val="24"/>
        </w:rPr>
        <w:t>se</w:t>
      </w:r>
      <w:r w:rsidR="000C7F8B">
        <w:rPr>
          <w:szCs w:val="24"/>
        </w:rPr>
        <w:t xml:space="preserve"> presenta</w:t>
      </w:r>
      <w:r w:rsidR="00571F9C">
        <w:rPr>
          <w:szCs w:val="24"/>
        </w:rPr>
        <w:t>n</w:t>
      </w:r>
      <w:r w:rsidR="000C7F8B">
        <w:rPr>
          <w:szCs w:val="24"/>
        </w:rPr>
        <w:t xml:space="preserve"> entre la emulsión y el material por efectos del campo eléctrico</w:t>
      </w:r>
      <w:r w:rsidR="00571F9C">
        <w:rPr>
          <w:szCs w:val="24"/>
        </w:rPr>
        <w:t>,</w:t>
      </w:r>
      <w:r w:rsidR="000C7F8B">
        <w:rPr>
          <w:szCs w:val="24"/>
        </w:rPr>
        <w:t xml:space="preserve"> pueden afectar el comportamiento flu</w:t>
      </w:r>
      <w:r w:rsidR="00571F9C">
        <w:rPr>
          <w:szCs w:val="24"/>
        </w:rPr>
        <w:t>jo</w:t>
      </w:r>
      <w:r w:rsidR="000C7F8B">
        <w:rPr>
          <w:szCs w:val="24"/>
        </w:rPr>
        <w:t>dinámico de la emulsión en la celda de tratamiento (</w:t>
      </w:r>
      <w:r w:rsidR="000539B7">
        <w:rPr>
          <w:szCs w:val="24"/>
        </w:rPr>
        <w:t xml:space="preserve">p. ej. </w:t>
      </w:r>
      <w:r w:rsidR="000C7F8B">
        <w:rPr>
          <w:szCs w:val="24"/>
        </w:rPr>
        <w:t xml:space="preserve">aumento de la </w:t>
      </w:r>
      <w:r w:rsidR="000C7F8B">
        <w:rPr>
          <w:szCs w:val="24"/>
        </w:rPr>
        <w:lastRenderedPageBreak/>
        <w:t>tempera</w:t>
      </w:r>
      <w:r w:rsidR="00A0730E">
        <w:rPr>
          <w:szCs w:val="24"/>
        </w:rPr>
        <w:t xml:space="preserve">tura en la celda, </w:t>
      </w:r>
      <w:r w:rsidR="00B1169B">
        <w:rPr>
          <w:szCs w:val="24"/>
        </w:rPr>
        <w:t xml:space="preserve">cambio de </w:t>
      </w:r>
      <w:r w:rsidR="00A0730E">
        <w:rPr>
          <w:szCs w:val="24"/>
        </w:rPr>
        <w:t>mojabilidad</w:t>
      </w:r>
      <w:r w:rsidR="003D437B">
        <w:rPr>
          <w:szCs w:val="24"/>
        </w:rPr>
        <w:t>, etc.</w:t>
      </w:r>
      <w:r w:rsidR="00A0730E">
        <w:rPr>
          <w:szCs w:val="24"/>
        </w:rPr>
        <w:t>).</w:t>
      </w:r>
      <w:r w:rsidR="00C24744">
        <w:rPr>
          <w:szCs w:val="24"/>
        </w:rPr>
        <w:t xml:space="preserve"> En la </w:t>
      </w:r>
      <w:r w:rsidR="00B1169B">
        <w:rPr>
          <w:szCs w:val="24"/>
        </w:rPr>
        <w:t>T</w:t>
      </w:r>
      <w:r w:rsidR="00C24744">
        <w:rPr>
          <w:szCs w:val="24"/>
        </w:rPr>
        <w:t xml:space="preserve">abla </w:t>
      </w:r>
      <w:r w:rsidR="00B1169B">
        <w:rPr>
          <w:szCs w:val="24"/>
        </w:rPr>
        <w:t xml:space="preserve">Nº </w:t>
      </w:r>
      <w:r w:rsidR="003D5DCB">
        <w:rPr>
          <w:szCs w:val="24"/>
        </w:rPr>
        <w:t xml:space="preserve">5 </w:t>
      </w:r>
      <w:r w:rsidR="00C24744">
        <w:rPr>
          <w:szCs w:val="24"/>
        </w:rPr>
        <w:t>se resume la informació</w:t>
      </w:r>
      <w:r w:rsidR="00571F9C">
        <w:rPr>
          <w:szCs w:val="24"/>
        </w:rPr>
        <w:t>n recopilada para cada material. Estos</w:t>
      </w:r>
      <w:r w:rsidR="00B1169B">
        <w:rPr>
          <w:szCs w:val="24"/>
        </w:rPr>
        <w:t xml:space="preserve"> materiales seleccionados poseen mojabilidades diferentes</w:t>
      </w:r>
      <w:r w:rsidR="00571F9C">
        <w:rPr>
          <w:szCs w:val="24"/>
        </w:rPr>
        <w:t xml:space="preserve">, </w:t>
      </w:r>
      <w:r w:rsidR="00B1169B">
        <w:rPr>
          <w:szCs w:val="24"/>
        </w:rPr>
        <w:t xml:space="preserve">hidrofílicos, hidrofóbicos y de mojabilidad intermedia. </w:t>
      </w:r>
    </w:p>
    <w:p w:rsidR="00B1169B" w:rsidRDefault="00B1169B" w:rsidP="00B1169B">
      <w:pPr>
        <w:spacing w:line="360" w:lineRule="auto"/>
        <w:ind w:firstLine="720"/>
        <w:jc w:val="both"/>
        <w:rPr>
          <w:szCs w:val="24"/>
        </w:rPr>
      </w:pPr>
      <w:r>
        <w:rPr>
          <w:szCs w:val="24"/>
        </w:rPr>
        <w:t>Alguno de los materiales empleados (todos de constitución física de tipo granular) no presentan una granulometría monodispersa (único tamaño de grano). Por ejemplo, para las cáscaras de maní y las rocas, es notable, incluso a simple vista, la diferencia en los tamaños de las partículas</w:t>
      </w:r>
      <w:r w:rsidR="00571F9C">
        <w:rPr>
          <w:szCs w:val="24"/>
        </w:rPr>
        <w:t>, por lo que</w:t>
      </w:r>
      <w:r>
        <w:rPr>
          <w:szCs w:val="24"/>
        </w:rPr>
        <w:t xml:space="preserve"> se procuró excluir granos muy grandes o muy pequeños</w:t>
      </w:r>
      <w:r w:rsidR="0029410C">
        <w:rPr>
          <w:szCs w:val="24"/>
        </w:rPr>
        <w:t>.</w:t>
      </w:r>
    </w:p>
    <w:p w:rsidR="00C119C6" w:rsidRDefault="00C119C6" w:rsidP="00DC5F23">
      <w:pPr>
        <w:spacing w:line="360" w:lineRule="auto"/>
        <w:jc w:val="center"/>
        <w:rPr>
          <w:sz w:val="20"/>
        </w:rPr>
      </w:pPr>
    </w:p>
    <w:p w:rsidR="003D437B" w:rsidRDefault="003D437B" w:rsidP="00DC5F23">
      <w:pPr>
        <w:spacing w:line="360" w:lineRule="auto"/>
        <w:jc w:val="center"/>
        <w:rPr>
          <w:sz w:val="20"/>
        </w:rPr>
      </w:pPr>
    </w:p>
    <w:p w:rsidR="003D437B" w:rsidRDefault="003D437B" w:rsidP="00DC5F23">
      <w:pPr>
        <w:spacing w:line="360" w:lineRule="auto"/>
        <w:jc w:val="center"/>
        <w:rPr>
          <w:sz w:val="20"/>
        </w:rPr>
      </w:pPr>
    </w:p>
    <w:p w:rsidR="003D437B" w:rsidRDefault="003D437B" w:rsidP="00DC5F23">
      <w:pPr>
        <w:spacing w:line="360" w:lineRule="auto"/>
        <w:jc w:val="center"/>
        <w:rPr>
          <w:sz w:val="20"/>
        </w:rPr>
      </w:pPr>
    </w:p>
    <w:p w:rsidR="00641940" w:rsidRDefault="00641940" w:rsidP="00DC5F23">
      <w:pPr>
        <w:spacing w:line="360" w:lineRule="auto"/>
        <w:jc w:val="center"/>
        <w:rPr>
          <w:sz w:val="20"/>
        </w:rPr>
        <w:sectPr w:rsidR="00641940" w:rsidSect="00820F87">
          <w:pgSz w:w="12240" w:h="15840"/>
          <w:pgMar w:top="1699" w:right="1699" w:bottom="1699" w:left="2275" w:header="720" w:footer="720" w:gutter="0"/>
          <w:cols w:space="720"/>
          <w:docGrid w:linePitch="360"/>
        </w:sectPr>
      </w:pPr>
    </w:p>
    <w:p w:rsidR="00DC5F23" w:rsidRDefault="0005538D" w:rsidP="0005538D">
      <w:pPr>
        <w:pStyle w:val="Epgrafe"/>
      </w:pPr>
      <w:bookmarkStart w:id="144" w:name="_Toc325636319"/>
      <w:r>
        <w:lastRenderedPageBreak/>
        <w:t xml:space="preserve">Tabla N° </w:t>
      </w:r>
      <w:fldSimple w:instr=" SEQ Tabla_N° \* ARABIC ">
        <w:r w:rsidR="004A5F6F">
          <w:rPr>
            <w:noProof/>
          </w:rPr>
          <w:t>5</w:t>
        </w:r>
      </w:fldSimple>
      <w:r>
        <w:t xml:space="preserve">: </w:t>
      </w:r>
      <w:r w:rsidR="00DC5F23" w:rsidRPr="00B1169B">
        <w:t>Medios coalescedores dispuestos para el análisis. Mojabil</w:t>
      </w:r>
      <w:r w:rsidR="00DC5F23">
        <w:t>i</w:t>
      </w:r>
      <w:r w:rsidR="000C6E45">
        <w:t>dad relativa y f</w:t>
      </w:r>
      <w:r w:rsidR="00DC5F23" w:rsidRPr="00B1169B">
        <w:t>racción de vacío.</w:t>
      </w:r>
      <w:bookmarkEnd w:id="144"/>
    </w:p>
    <w:p w:rsidR="00E34771" w:rsidRPr="00DC5F23" w:rsidRDefault="00CF2416" w:rsidP="002B18EE">
      <w:pPr>
        <w:spacing w:line="360" w:lineRule="auto"/>
        <w:jc w:val="center"/>
        <w:rPr>
          <w:szCs w:val="24"/>
        </w:rPr>
      </w:pPr>
      <w:r w:rsidRPr="00CF2416">
        <w:rPr>
          <w:noProof/>
          <w:szCs w:val="24"/>
          <w:lang w:val="en-US" w:eastAsia="en-US"/>
        </w:rPr>
        <w:drawing>
          <wp:inline distT="0" distB="0" distL="0" distR="0">
            <wp:extent cx="5306665" cy="6562725"/>
            <wp:effectExtent l="19050" t="0" r="8285"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308906" cy="6565496"/>
                    </a:xfrm>
                    <a:prstGeom prst="rect">
                      <a:avLst/>
                    </a:prstGeom>
                    <a:noFill/>
                    <a:ln w="9525">
                      <a:noFill/>
                      <a:miter lim="800000"/>
                      <a:headEnd/>
                      <a:tailEnd/>
                    </a:ln>
                  </pic:spPr>
                </pic:pic>
              </a:graphicData>
            </a:graphic>
          </wp:inline>
        </w:drawing>
      </w:r>
    </w:p>
    <w:p w:rsidR="003E537B" w:rsidRDefault="003E537B" w:rsidP="0029410C">
      <w:pPr>
        <w:spacing w:line="360" w:lineRule="auto"/>
        <w:ind w:firstLine="720"/>
        <w:jc w:val="both"/>
        <w:rPr>
          <w:szCs w:val="24"/>
        </w:rPr>
      </w:pPr>
    </w:p>
    <w:p w:rsidR="0026032B" w:rsidRDefault="0029410C" w:rsidP="009F6C4B">
      <w:pPr>
        <w:spacing w:line="360" w:lineRule="auto"/>
        <w:ind w:firstLine="720"/>
        <w:jc w:val="both"/>
        <w:rPr>
          <w:szCs w:val="24"/>
        </w:rPr>
      </w:pPr>
      <w:r>
        <w:rPr>
          <w:szCs w:val="24"/>
        </w:rPr>
        <w:t xml:space="preserve">Dado que las pruebas realizadas </w:t>
      </w:r>
      <w:r w:rsidR="003D437B">
        <w:rPr>
          <w:szCs w:val="24"/>
        </w:rPr>
        <w:t>estuvieron</w:t>
      </w:r>
      <w:r>
        <w:rPr>
          <w:szCs w:val="24"/>
        </w:rPr>
        <w:t xml:space="preserve"> orientadas a determinar las mejores condiciones relacionadas con el tipo de material coalescedor y de campo eléctrico aplicado, se realizó la selección del medio coalescedor más eficiente en </w:t>
      </w:r>
      <w:r>
        <w:rPr>
          <w:szCs w:val="24"/>
        </w:rPr>
        <w:lastRenderedPageBreak/>
        <w:t>función de la fosa Acema-100</w:t>
      </w:r>
      <w:r w:rsidR="003D437B">
        <w:rPr>
          <w:szCs w:val="24"/>
        </w:rPr>
        <w:t>. Estas condiciones determinaron las condiciones operacionales para la fosas</w:t>
      </w:r>
      <w:r>
        <w:rPr>
          <w:szCs w:val="24"/>
        </w:rPr>
        <w:t xml:space="preserve"> Merey-31 y Guara-2. </w:t>
      </w:r>
    </w:p>
    <w:p w:rsidR="00176FC7" w:rsidRDefault="0037197D" w:rsidP="00E9418C">
      <w:pPr>
        <w:spacing w:after="240" w:line="360" w:lineRule="auto"/>
        <w:jc w:val="both"/>
        <w:rPr>
          <w:szCs w:val="24"/>
        </w:rPr>
      </w:pPr>
      <w:r>
        <w:rPr>
          <w:b/>
          <w:iCs/>
          <w:szCs w:val="24"/>
        </w:rPr>
        <w:tab/>
      </w:r>
      <w:r w:rsidR="00421C5F">
        <w:rPr>
          <w:szCs w:val="24"/>
        </w:rPr>
        <w:t>Las experiencias realizadas permitieron cuantificar el</w:t>
      </w:r>
      <w:r w:rsidR="00913DDD">
        <w:rPr>
          <w:szCs w:val="24"/>
        </w:rPr>
        <w:t xml:space="preserve"> grado de separación del agua emulsionada </w:t>
      </w:r>
      <w:r w:rsidR="00B52812">
        <w:rPr>
          <w:szCs w:val="24"/>
        </w:rPr>
        <w:t>de</w:t>
      </w:r>
      <w:r w:rsidR="00913DDD">
        <w:rPr>
          <w:szCs w:val="24"/>
        </w:rPr>
        <w:t xml:space="preserve"> un residuo de fosa </w:t>
      </w:r>
      <w:r w:rsidR="00C65A04">
        <w:rPr>
          <w:szCs w:val="24"/>
        </w:rPr>
        <w:t xml:space="preserve">de producción, </w:t>
      </w:r>
      <w:r w:rsidR="00913DDD">
        <w:rPr>
          <w:szCs w:val="24"/>
        </w:rPr>
        <w:t>empleando un medio coalescedor</w:t>
      </w:r>
      <w:r w:rsidR="00C65A04">
        <w:rPr>
          <w:szCs w:val="24"/>
        </w:rPr>
        <w:t xml:space="preserve"> en conjunto con la aplicación de campo eléctrico</w:t>
      </w:r>
      <w:r w:rsidR="00913DDD">
        <w:rPr>
          <w:szCs w:val="24"/>
        </w:rPr>
        <w:t xml:space="preserve">. Ciertamente </w:t>
      </w:r>
      <w:r w:rsidR="00B52812">
        <w:rPr>
          <w:szCs w:val="24"/>
        </w:rPr>
        <w:t xml:space="preserve">la inclusión de un medio coalescedor tiene como objetivo promover la coalescencia de las gotas de agua emulsionadas </w:t>
      </w:r>
      <w:r w:rsidR="003D437B">
        <w:rPr>
          <w:szCs w:val="24"/>
        </w:rPr>
        <w:t>en mayor grado al obtenido</w:t>
      </w:r>
      <w:r w:rsidR="00B52812">
        <w:rPr>
          <w:szCs w:val="24"/>
        </w:rPr>
        <w:t xml:space="preserve"> únicamente por efecto del campo eléctrico. </w:t>
      </w:r>
      <w:r w:rsidR="00876F54">
        <w:rPr>
          <w:szCs w:val="24"/>
        </w:rPr>
        <w:t>Sin embargo</w:t>
      </w:r>
      <w:r w:rsidR="003D437B">
        <w:rPr>
          <w:szCs w:val="24"/>
        </w:rPr>
        <w:t>,</w:t>
      </w:r>
      <w:r w:rsidR="00B52812">
        <w:rPr>
          <w:szCs w:val="24"/>
        </w:rPr>
        <w:t xml:space="preserve"> debe </w:t>
      </w:r>
      <w:r w:rsidR="00876F54">
        <w:rPr>
          <w:szCs w:val="24"/>
        </w:rPr>
        <w:t>considerarse</w:t>
      </w:r>
      <w:r w:rsidR="00E84902">
        <w:rPr>
          <w:szCs w:val="24"/>
        </w:rPr>
        <w:t xml:space="preserve">, </w:t>
      </w:r>
      <w:r w:rsidR="00B76D38">
        <w:rPr>
          <w:szCs w:val="24"/>
        </w:rPr>
        <w:t>que</w:t>
      </w:r>
      <w:r w:rsidR="00B52812">
        <w:rPr>
          <w:szCs w:val="24"/>
        </w:rPr>
        <w:t xml:space="preserve"> </w:t>
      </w:r>
      <w:r w:rsidR="003F1053">
        <w:rPr>
          <w:szCs w:val="24"/>
        </w:rPr>
        <w:t>son muchas las variables que determinan</w:t>
      </w:r>
      <w:r w:rsidR="00B76D38">
        <w:rPr>
          <w:szCs w:val="24"/>
        </w:rPr>
        <w:t xml:space="preserve"> o afectan la estabilidad de </w:t>
      </w:r>
      <w:r w:rsidR="00C65A04">
        <w:rPr>
          <w:szCs w:val="24"/>
        </w:rPr>
        <w:t xml:space="preserve">la </w:t>
      </w:r>
      <w:r w:rsidR="00B76D38">
        <w:rPr>
          <w:szCs w:val="24"/>
        </w:rPr>
        <w:t>emulsión</w:t>
      </w:r>
      <w:r w:rsidR="003F1053">
        <w:rPr>
          <w:szCs w:val="24"/>
        </w:rPr>
        <w:t>.</w:t>
      </w:r>
      <w:r w:rsidR="00B76D38">
        <w:rPr>
          <w:szCs w:val="24"/>
        </w:rPr>
        <w:t xml:space="preserve"> </w:t>
      </w:r>
      <w:r w:rsidR="003D437B">
        <w:rPr>
          <w:szCs w:val="24"/>
        </w:rPr>
        <w:t>Un mayor grado de deses</w:t>
      </w:r>
      <w:r w:rsidR="003F1053">
        <w:rPr>
          <w:szCs w:val="24"/>
        </w:rPr>
        <w:t xml:space="preserve">tabilización </w:t>
      </w:r>
      <w:r w:rsidR="003D437B">
        <w:rPr>
          <w:szCs w:val="24"/>
        </w:rPr>
        <w:t>hace referencia a</w:t>
      </w:r>
      <w:r w:rsidR="003F1053">
        <w:rPr>
          <w:szCs w:val="24"/>
        </w:rPr>
        <w:t xml:space="preserve"> un aumento de la tasa de coalescencia producto de una evolución de la ‘‘tensión interfacial dinámica’’ y de la reología dilatacional </w:t>
      </w:r>
      <w:r w:rsidR="003D437B">
        <w:rPr>
          <w:szCs w:val="24"/>
        </w:rPr>
        <w:t xml:space="preserve">de la emulsión </w:t>
      </w:r>
      <w:r w:rsidR="003F1053">
        <w:rPr>
          <w:szCs w:val="24"/>
        </w:rPr>
        <w:t>(p. ej.: aumento de temperatura).</w:t>
      </w:r>
      <w:r w:rsidR="00504157">
        <w:rPr>
          <w:szCs w:val="24"/>
        </w:rPr>
        <w:t xml:space="preserve"> </w:t>
      </w:r>
      <w:r w:rsidR="00E9418C">
        <w:rPr>
          <w:szCs w:val="24"/>
        </w:rPr>
        <w:t>El</w:t>
      </w:r>
      <w:r w:rsidR="002B6319">
        <w:rPr>
          <w:szCs w:val="24"/>
        </w:rPr>
        <w:t xml:space="preserve"> medio coalescedor, junto </w:t>
      </w:r>
      <w:r w:rsidR="00DB724E">
        <w:rPr>
          <w:szCs w:val="24"/>
        </w:rPr>
        <w:t>al</w:t>
      </w:r>
      <w:r w:rsidR="00504157">
        <w:rPr>
          <w:szCs w:val="24"/>
        </w:rPr>
        <w:t xml:space="preserve"> campo eléctrico aplicado</w:t>
      </w:r>
      <w:r w:rsidR="00F95A01">
        <w:rPr>
          <w:szCs w:val="24"/>
        </w:rPr>
        <w:t xml:space="preserve">, </w:t>
      </w:r>
      <w:r w:rsidR="00504157">
        <w:rPr>
          <w:szCs w:val="24"/>
        </w:rPr>
        <w:t xml:space="preserve">representan </w:t>
      </w:r>
      <w:r w:rsidR="004E3A06">
        <w:rPr>
          <w:szCs w:val="24"/>
        </w:rPr>
        <w:t xml:space="preserve">las variables determinantes en la búsqueda </w:t>
      </w:r>
      <w:r w:rsidR="00504157">
        <w:rPr>
          <w:szCs w:val="24"/>
        </w:rPr>
        <w:t>de establecer las condiciones más favorables para la separación (punto de mínima tensión)</w:t>
      </w:r>
      <w:r w:rsidR="00E84902">
        <w:rPr>
          <w:szCs w:val="24"/>
        </w:rPr>
        <w:t>.</w:t>
      </w:r>
      <w:r w:rsidR="00404E32">
        <w:rPr>
          <w:szCs w:val="24"/>
        </w:rPr>
        <w:t xml:space="preserve"> Es por ello que los análisis </w:t>
      </w:r>
      <w:r w:rsidR="003D5DCB">
        <w:rPr>
          <w:szCs w:val="24"/>
        </w:rPr>
        <w:t>giraron</w:t>
      </w:r>
      <w:r w:rsidR="00404E32">
        <w:rPr>
          <w:szCs w:val="24"/>
        </w:rPr>
        <w:t xml:space="preserve"> principalmente en torno a </w:t>
      </w:r>
      <w:r w:rsidR="00E9418C">
        <w:rPr>
          <w:szCs w:val="24"/>
        </w:rPr>
        <w:t>explicar</w:t>
      </w:r>
      <w:r w:rsidR="00404E32">
        <w:rPr>
          <w:szCs w:val="24"/>
        </w:rPr>
        <w:t xml:space="preserve"> la influencia del medio coalescedor y el tipo de campo eléctrico aplicado en el proceso de deshidratación de fosas de producción.</w:t>
      </w:r>
    </w:p>
    <w:p w:rsidR="000D0379" w:rsidRPr="00641940" w:rsidRDefault="00874CEA" w:rsidP="00641940">
      <w:pPr>
        <w:pStyle w:val="Ttulo4"/>
        <w:spacing w:line="360" w:lineRule="auto"/>
        <w:jc w:val="both"/>
        <w:rPr>
          <w:rFonts w:ascii="Times New Roman" w:hAnsi="Times New Roman"/>
          <w:sz w:val="24"/>
          <w:szCs w:val="24"/>
        </w:rPr>
      </w:pPr>
      <w:r>
        <w:rPr>
          <w:rFonts w:ascii="Times New Roman" w:hAnsi="Times New Roman"/>
          <w:sz w:val="24"/>
          <w:szCs w:val="24"/>
        </w:rPr>
        <w:t xml:space="preserve">4.2.2 </w:t>
      </w:r>
      <w:r w:rsidR="0002375E" w:rsidRPr="00641940">
        <w:rPr>
          <w:rFonts w:ascii="Times New Roman" w:hAnsi="Times New Roman"/>
          <w:sz w:val="24"/>
          <w:szCs w:val="24"/>
        </w:rPr>
        <w:t xml:space="preserve">Fosa </w:t>
      </w:r>
      <w:r w:rsidR="007770E8" w:rsidRPr="00641940">
        <w:rPr>
          <w:rFonts w:ascii="Times New Roman" w:hAnsi="Times New Roman"/>
          <w:sz w:val="24"/>
          <w:szCs w:val="24"/>
        </w:rPr>
        <w:t>Acema-100</w:t>
      </w:r>
    </w:p>
    <w:p w:rsidR="00201E63" w:rsidRDefault="00641940" w:rsidP="00641940">
      <w:pPr>
        <w:spacing w:line="360" w:lineRule="auto"/>
        <w:jc w:val="both"/>
        <w:rPr>
          <w:szCs w:val="24"/>
        </w:rPr>
      </w:pPr>
      <w:r>
        <w:rPr>
          <w:szCs w:val="24"/>
        </w:rPr>
        <w:tab/>
      </w:r>
      <w:r w:rsidR="0002375E" w:rsidRPr="00285139">
        <w:rPr>
          <w:szCs w:val="24"/>
        </w:rPr>
        <w:t>Se aplicó un campo de corriente continua</w:t>
      </w:r>
      <w:r w:rsidR="00351443">
        <w:rPr>
          <w:szCs w:val="24"/>
        </w:rPr>
        <w:t xml:space="preserve"> (DC)</w:t>
      </w:r>
      <w:r w:rsidR="0002375E" w:rsidRPr="00285139">
        <w:rPr>
          <w:szCs w:val="24"/>
        </w:rPr>
        <w:t xml:space="preserve"> y corriente alterna</w:t>
      </w:r>
      <w:r w:rsidR="00351443">
        <w:rPr>
          <w:szCs w:val="24"/>
        </w:rPr>
        <w:t xml:space="preserve"> (AC)</w:t>
      </w:r>
      <w:r w:rsidR="0002375E" w:rsidRPr="00285139">
        <w:rPr>
          <w:szCs w:val="24"/>
        </w:rPr>
        <w:t xml:space="preserve"> a la fosa </w:t>
      </w:r>
      <w:r w:rsidR="007770E8">
        <w:rPr>
          <w:szCs w:val="24"/>
        </w:rPr>
        <w:t>Acema-100,</w:t>
      </w:r>
      <w:r w:rsidR="0002375E" w:rsidRPr="00285139">
        <w:rPr>
          <w:szCs w:val="24"/>
        </w:rPr>
        <w:t xml:space="preserve"> con y sin la inclusión de un medio coalescedor en la celda de tratamiento</w:t>
      </w:r>
      <w:r w:rsidR="00404E32">
        <w:rPr>
          <w:szCs w:val="24"/>
        </w:rPr>
        <w:t>,</w:t>
      </w:r>
      <w:r w:rsidR="00E42F21">
        <w:rPr>
          <w:szCs w:val="24"/>
        </w:rPr>
        <w:t xml:space="preserve"> sometiendo posteriormente las muestras a un proceso de centrifugación</w:t>
      </w:r>
      <w:r w:rsidR="0002375E" w:rsidRPr="00285139">
        <w:rPr>
          <w:szCs w:val="24"/>
        </w:rPr>
        <w:t>.</w:t>
      </w:r>
      <w:r w:rsidR="00730428">
        <w:rPr>
          <w:szCs w:val="24"/>
        </w:rPr>
        <w:t xml:space="preserve"> La intensidad del campo eléctrico aplicado estuvo determinada por la aparición de un corto </w:t>
      </w:r>
      <w:r w:rsidR="00D542E8">
        <w:rPr>
          <w:szCs w:val="24"/>
        </w:rPr>
        <w:t xml:space="preserve">eléctrico </w:t>
      </w:r>
      <w:r w:rsidR="00730428">
        <w:rPr>
          <w:szCs w:val="24"/>
        </w:rPr>
        <w:t>en el sistema producto de la formación de cadenas de gotas entre los electrodos (</w:t>
      </w:r>
      <w:r w:rsidR="00D542E8">
        <w:rPr>
          <w:szCs w:val="24"/>
        </w:rPr>
        <w:t xml:space="preserve">fenómeno de </w:t>
      </w:r>
      <w:r w:rsidR="00730428">
        <w:rPr>
          <w:szCs w:val="24"/>
        </w:rPr>
        <w:t>percolación)</w:t>
      </w:r>
      <w:r w:rsidR="00D542E8">
        <w:rPr>
          <w:szCs w:val="24"/>
        </w:rPr>
        <w:t xml:space="preserve">. </w:t>
      </w:r>
      <w:r w:rsidR="00201E63" w:rsidRPr="00B648FC">
        <w:rPr>
          <w:szCs w:val="24"/>
        </w:rPr>
        <w:t>Debido a limitaciones</w:t>
      </w:r>
      <w:r w:rsidR="00201E63">
        <w:rPr>
          <w:szCs w:val="24"/>
        </w:rPr>
        <w:t xml:space="preserve"> operativas</w:t>
      </w:r>
      <w:r w:rsidR="00201E63" w:rsidRPr="00B648FC">
        <w:rPr>
          <w:szCs w:val="24"/>
        </w:rPr>
        <w:t xml:space="preserve"> de</w:t>
      </w:r>
      <w:r w:rsidR="00201E63">
        <w:rPr>
          <w:szCs w:val="24"/>
        </w:rPr>
        <w:t>l</w:t>
      </w:r>
      <w:r w:rsidR="00201E63" w:rsidRPr="00B648FC">
        <w:rPr>
          <w:szCs w:val="24"/>
        </w:rPr>
        <w:t xml:space="preserve"> equipo</w:t>
      </w:r>
      <w:r w:rsidR="00201E63">
        <w:rPr>
          <w:szCs w:val="24"/>
        </w:rPr>
        <w:t>,</w:t>
      </w:r>
      <w:r w:rsidR="00201E63" w:rsidRPr="00B648FC">
        <w:rPr>
          <w:szCs w:val="24"/>
        </w:rPr>
        <w:t xml:space="preserve"> las muestras se centrifugaron a una velocidad de 2700 rpm. Por su parte, en pruebas preliminares se observó que los efectos de la centrifugación para tiempos mayores a 5 minutos no diferían unos de otros, por lo tanto</w:t>
      </w:r>
      <w:r w:rsidR="00201E63">
        <w:rPr>
          <w:szCs w:val="24"/>
        </w:rPr>
        <w:t>,</w:t>
      </w:r>
      <w:r w:rsidR="00201E63" w:rsidRPr="00B648FC">
        <w:rPr>
          <w:szCs w:val="24"/>
        </w:rPr>
        <w:t xml:space="preserve"> se convino utilizar este tiempo de centrifugación.</w:t>
      </w:r>
    </w:p>
    <w:p w:rsidR="0050285B" w:rsidRDefault="004244DB" w:rsidP="00410535">
      <w:pPr>
        <w:spacing w:line="360" w:lineRule="auto"/>
        <w:jc w:val="both"/>
        <w:rPr>
          <w:szCs w:val="24"/>
        </w:rPr>
      </w:pPr>
      <w:r>
        <w:rPr>
          <w:szCs w:val="24"/>
        </w:rPr>
        <w:lastRenderedPageBreak/>
        <w:tab/>
      </w:r>
      <w:r w:rsidR="00C80711">
        <w:rPr>
          <w:szCs w:val="24"/>
        </w:rPr>
        <w:t>P</w:t>
      </w:r>
      <w:r w:rsidR="00D542E8">
        <w:rPr>
          <w:szCs w:val="24"/>
        </w:rPr>
        <w:t xml:space="preserve">ara </w:t>
      </w:r>
      <w:r>
        <w:rPr>
          <w:szCs w:val="24"/>
        </w:rPr>
        <w:t xml:space="preserve">las experiencias con la </w:t>
      </w:r>
      <w:r w:rsidR="00D542E8">
        <w:rPr>
          <w:szCs w:val="24"/>
        </w:rPr>
        <w:t xml:space="preserve">fosa </w:t>
      </w:r>
      <w:r w:rsidR="007770E8">
        <w:rPr>
          <w:szCs w:val="24"/>
        </w:rPr>
        <w:t>Acema-100</w:t>
      </w:r>
      <w:r w:rsidR="00D542E8">
        <w:rPr>
          <w:szCs w:val="24"/>
        </w:rPr>
        <w:t xml:space="preserve">, </w:t>
      </w:r>
      <w:r w:rsidR="00C004AC">
        <w:rPr>
          <w:szCs w:val="24"/>
        </w:rPr>
        <w:t>se varió</w:t>
      </w:r>
      <w:r w:rsidR="00D542E8">
        <w:rPr>
          <w:szCs w:val="24"/>
        </w:rPr>
        <w:t xml:space="preserve"> </w:t>
      </w:r>
      <w:r w:rsidR="0050285B">
        <w:rPr>
          <w:szCs w:val="24"/>
        </w:rPr>
        <w:t>la velocidad de flujo de la emulsión a través del sistema</w:t>
      </w:r>
      <w:r w:rsidR="00DA3B26">
        <w:rPr>
          <w:szCs w:val="24"/>
        </w:rPr>
        <w:t>. U</w:t>
      </w:r>
      <w:r w:rsidR="0050285B">
        <w:rPr>
          <w:szCs w:val="24"/>
        </w:rPr>
        <w:t xml:space="preserve">n cambio en la velocidad de flujo </w:t>
      </w:r>
      <w:r w:rsidR="00C24744">
        <w:rPr>
          <w:szCs w:val="24"/>
        </w:rPr>
        <w:t>modifica</w:t>
      </w:r>
      <w:r w:rsidR="0050285B">
        <w:rPr>
          <w:szCs w:val="24"/>
        </w:rPr>
        <w:t xml:space="preserve"> el tiempo de residencia de la emulsión en la celda de tratamiento</w:t>
      </w:r>
      <w:r w:rsidR="00C80711">
        <w:rPr>
          <w:szCs w:val="24"/>
        </w:rPr>
        <w:t>;</w:t>
      </w:r>
      <w:r w:rsidR="0050285B">
        <w:rPr>
          <w:szCs w:val="24"/>
        </w:rPr>
        <w:t xml:space="preserve"> es decir, a mayor velocidad de flujo menor tiempo residencia</w:t>
      </w:r>
      <w:r w:rsidR="00C80711">
        <w:rPr>
          <w:szCs w:val="24"/>
        </w:rPr>
        <w:t xml:space="preserve"> y menor exposición al campo eléctrico aplicado</w:t>
      </w:r>
      <w:r w:rsidR="00C24744">
        <w:rPr>
          <w:szCs w:val="24"/>
        </w:rPr>
        <w:t>,</w:t>
      </w:r>
      <w:r w:rsidR="0050285B">
        <w:rPr>
          <w:szCs w:val="24"/>
        </w:rPr>
        <w:t xml:space="preserve"> </w:t>
      </w:r>
      <w:r w:rsidR="00C80711">
        <w:rPr>
          <w:szCs w:val="24"/>
        </w:rPr>
        <w:t>análogamente</w:t>
      </w:r>
      <w:r w:rsidR="0050285B">
        <w:rPr>
          <w:szCs w:val="24"/>
        </w:rPr>
        <w:t xml:space="preserve">, a menor velocidad de flujo mayor será el tiempo de residencia </w:t>
      </w:r>
      <w:r w:rsidR="00C80711">
        <w:rPr>
          <w:szCs w:val="24"/>
        </w:rPr>
        <w:t>lo que supone que la emulsión esté mucho más tiempo sometida al efecto del campo eléctrico aplicado.</w:t>
      </w:r>
    </w:p>
    <w:p w:rsidR="00C10F21" w:rsidRDefault="00800C02" w:rsidP="00C10F21">
      <w:pPr>
        <w:spacing w:line="360" w:lineRule="auto"/>
        <w:jc w:val="both"/>
        <w:rPr>
          <w:szCs w:val="24"/>
        </w:rPr>
      </w:pPr>
      <w:r>
        <w:rPr>
          <w:szCs w:val="24"/>
        </w:rPr>
        <w:tab/>
        <w:t>Se establecieron tres veloci</w:t>
      </w:r>
      <w:r w:rsidR="00B06827">
        <w:rPr>
          <w:szCs w:val="24"/>
        </w:rPr>
        <w:t xml:space="preserve">dades de flujo </w:t>
      </w:r>
      <w:r w:rsidR="00E75886">
        <w:rPr>
          <w:szCs w:val="24"/>
        </w:rPr>
        <w:t xml:space="preserve">(alta, intermedia y baja) </w:t>
      </w:r>
      <w:r w:rsidR="00B06827">
        <w:rPr>
          <w:szCs w:val="24"/>
        </w:rPr>
        <w:t>para cada prueba</w:t>
      </w:r>
      <w:r w:rsidR="00277D71">
        <w:rPr>
          <w:szCs w:val="24"/>
        </w:rPr>
        <w:t xml:space="preserve">. </w:t>
      </w:r>
      <w:r w:rsidR="00C10F21">
        <w:rPr>
          <w:szCs w:val="24"/>
        </w:rPr>
        <w:t>Para garantizar una velocidad de flujo baja</w:t>
      </w:r>
      <w:r w:rsidR="00B40C8B">
        <w:rPr>
          <w:szCs w:val="24"/>
        </w:rPr>
        <w:t>,</w:t>
      </w:r>
      <w:r w:rsidR="00C10F21" w:rsidRPr="00285139">
        <w:rPr>
          <w:szCs w:val="24"/>
        </w:rPr>
        <w:t xml:space="preserve"> se prescindió del tanque de alimentación del sistema y se vertió manualmente la emulsión en la celda de tratamiento.</w:t>
      </w:r>
      <w:r w:rsidR="00C10F21">
        <w:rPr>
          <w:szCs w:val="24"/>
        </w:rPr>
        <w:t xml:space="preserve"> </w:t>
      </w:r>
      <w:r w:rsidR="00C10F21" w:rsidRPr="00E84902">
        <w:rPr>
          <w:szCs w:val="24"/>
        </w:rPr>
        <w:t xml:space="preserve">Para </w:t>
      </w:r>
      <w:r w:rsidR="00DA3B26">
        <w:rPr>
          <w:szCs w:val="24"/>
        </w:rPr>
        <w:t>lograr una velocidad intermedia</w:t>
      </w:r>
      <w:r w:rsidR="00C10F21">
        <w:rPr>
          <w:szCs w:val="24"/>
        </w:rPr>
        <w:t xml:space="preserve"> se incorporó</w:t>
      </w:r>
      <w:r w:rsidR="00C10F21" w:rsidRPr="00E84902">
        <w:rPr>
          <w:szCs w:val="24"/>
        </w:rPr>
        <w:t xml:space="preserve"> nuevamente el tanque de alimentación</w:t>
      </w:r>
      <w:r w:rsidR="00351443">
        <w:rPr>
          <w:szCs w:val="24"/>
        </w:rPr>
        <w:t>; e</w:t>
      </w:r>
      <w:r w:rsidR="00C10F21" w:rsidRPr="00E84902">
        <w:rPr>
          <w:szCs w:val="24"/>
        </w:rPr>
        <w:t>sto garantiz</w:t>
      </w:r>
      <w:r w:rsidR="00DA3B26">
        <w:rPr>
          <w:szCs w:val="24"/>
        </w:rPr>
        <w:t>ó</w:t>
      </w:r>
      <w:r w:rsidR="00C10F21" w:rsidRPr="00E84902">
        <w:rPr>
          <w:szCs w:val="24"/>
        </w:rPr>
        <w:t xml:space="preserve"> que la presión a </w:t>
      </w:r>
      <w:r w:rsidR="00C80711">
        <w:rPr>
          <w:szCs w:val="24"/>
        </w:rPr>
        <w:t xml:space="preserve">la entrada de la celda </w:t>
      </w:r>
      <w:r w:rsidR="00DA3B26">
        <w:rPr>
          <w:szCs w:val="24"/>
        </w:rPr>
        <w:t>fuese</w:t>
      </w:r>
      <w:r w:rsidR="00C10F21" w:rsidRPr="00E84902">
        <w:rPr>
          <w:szCs w:val="24"/>
        </w:rPr>
        <w:t xml:space="preserve"> </w:t>
      </w:r>
      <w:r w:rsidR="00C80711">
        <w:rPr>
          <w:szCs w:val="24"/>
        </w:rPr>
        <w:t>mayor</w:t>
      </w:r>
      <w:r w:rsidR="00C10F21">
        <w:rPr>
          <w:szCs w:val="24"/>
        </w:rPr>
        <w:t>. Por último</w:t>
      </w:r>
      <w:r w:rsidR="00C10F21" w:rsidRPr="00E84902">
        <w:rPr>
          <w:szCs w:val="24"/>
        </w:rPr>
        <w:t>,</w:t>
      </w:r>
      <w:r w:rsidR="00C10F21">
        <w:rPr>
          <w:szCs w:val="24"/>
        </w:rPr>
        <w:t xml:space="preserve"> para alcanzar </w:t>
      </w:r>
      <w:r w:rsidR="00DA3B26">
        <w:rPr>
          <w:szCs w:val="24"/>
        </w:rPr>
        <w:t>una mayor velocidad</w:t>
      </w:r>
      <w:r w:rsidR="00C10F21">
        <w:rPr>
          <w:szCs w:val="24"/>
        </w:rPr>
        <w:t xml:space="preserve">, </w:t>
      </w:r>
      <w:r w:rsidR="00C10F21" w:rsidRPr="00E84902">
        <w:rPr>
          <w:szCs w:val="24"/>
        </w:rPr>
        <w:t>se calentó la muestra en el tanque de alimentación a una temperatura de 33 °C</w:t>
      </w:r>
      <w:r w:rsidR="00C10F21">
        <w:rPr>
          <w:szCs w:val="24"/>
        </w:rPr>
        <w:t xml:space="preserve"> a fin de disminuir la viscosidad de la fosa</w:t>
      </w:r>
      <w:r w:rsidR="00351443">
        <w:rPr>
          <w:szCs w:val="24"/>
        </w:rPr>
        <w:t>; e</w:t>
      </w:r>
      <w:r w:rsidR="00B40C8B">
        <w:rPr>
          <w:szCs w:val="24"/>
        </w:rPr>
        <w:t xml:space="preserve">sta temperatura se seleccionó de manera arbitraria, únicamente con la finalidad de disminuir moderadamente la viscosidad de la emulsión. </w:t>
      </w:r>
    </w:p>
    <w:p w:rsidR="00361503" w:rsidRDefault="00E42F21" w:rsidP="007F5F9C">
      <w:pPr>
        <w:spacing w:line="360" w:lineRule="auto"/>
        <w:jc w:val="both"/>
        <w:rPr>
          <w:noProof/>
          <w:szCs w:val="24"/>
          <w:lang w:val="es-VE" w:eastAsia="en-US"/>
        </w:rPr>
      </w:pPr>
      <w:r>
        <w:rPr>
          <w:szCs w:val="24"/>
        </w:rPr>
        <w:tab/>
      </w:r>
      <w:r w:rsidR="005249AC">
        <w:rPr>
          <w:szCs w:val="24"/>
        </w:rPr>
        <w:t xml:space="preserve">Las </w:t>
      </w:r>
      <w:r w:rsidR="00361503">
        <w:rPr>
          <w:szCs w:val="24"/>
        </w:rPr>
        <w:t>figuras</w:t>
      </w:r>
      <w:r>
        <w:rPr>
          <w:szCs w:val="24"/>
        </w:rPr>
        <w:t xml:space="preserve"> a continuación</w:t>
      </w:r>
      <w:r w:rsidR="00361503">
        <w:rPr>
          <w:szCs w:val="24"/>
        </w:rPr>
        <w:t>,</w:t>
      </w:r>
      <w:r w:rsidR="005249AC">
        <w:rPr>
          <w:szCs w:val="24"/>
        </w:rPr>
        <w:t xml:space="preserve"> muestran los porcentajes de separación del agua emulsionada</w:t>
      </w:r>
      <w:r>
        <w:rPr>
          <w:szCs w:val="24"/>
        </w:rPr>
        <w:t xml:space="preserve"> para un campo eléctrico de corriente continua</w:t>
      </w:r>
      <w:r w:rsidR="00410535">
        <w:rPr>
          <w:szCs w:val="24"/>
        </w:rPr>
        <w:t xml:space="preserve"> y centrifugación</w:t>
      </w:r>
      <w:r>
        <w:rPr>
          <w:szCs w:val="24"/>
        </w:rPr>
        <w:t xml:space="preserve">, </w:t>
      </w:r>
      <w:r w:rsidR="00361503">
        <w:rPr>
          <w:szCs w:val="24"/>
        </w:rPr>
        <w:t xml:space="preserve">empleando </w:t>
      </w:r>
      <w:r>
        <w:rPr>
          <w:szCs w:val="24"/>
        </w:rPr>
        <w:t xml:space="preserve">distintos medios coalescedores </w:t>
      </w:r>
      <w:r w:rsidR="00773421">
        <w:rPr>
          <w:szCs w:val="24"/>
        </w:rPr>
        <w:t>a</w:t>
      </w:r>
      <w:r w:rsidR="00410535">
        <w:rPr>
          <w:szCs w:val="24"/>
        </w:rPr>
        <w:t xml:space="preserve"> </w:t>
      </w:r>
      <w:r w:rsidR="00155209">
        <w:rPr>
          <w:szCs w:val="24"/>
        </w:rPr>
        <w:t>tre</w:t>
      </w:r>
      <w:r w:rsidR="00361503">
        <w:rPr>
          <w:szCs w:val="24"/>
        </w:rPr>
        <w:t>s velocidades de flujo diferentes.</w:t>
      </w:r>
      <w:r w:rsidR="007F5F9C">
        <w:rPr>
          <w:szCs w:val="24"/>
        </w:rPr>
        <w:t xml:space="preserve"> </w:t>
      </w:r>
      <w:r w:rsidR="003E7EDD">
        <w:rPr>
          <w:noProof/>
          <w:szCs w:val="24"/>
          <w:lang w:val="es-VE" w:eastAsia="en-US"/>
        </w:rPr>
        <w:t>En la f</w:t>
      </w:r>
      <w:r w:rsidR="00361503">
        <w:rPr>
          <w:noProof/>
          <w:szCs w:val="24"/>
          <w:lang w:val="es-VE" w:eastAsia="en-US"/>
        </w:rPr>
        <w:t>ig</w:t>
      </w:r>
      <w:r w:rsidR="0005538D">
        <w:rPr>
          <w:noProof/>
          <w:szCs w:val="24"/>
          <w:lang w:val="es-VE" w:eastAsia="en-US"/>
        </w:rPr>
        <w:t>ura</w:t>
      </w:r>
      <w:r w:rsidR="00361503">
        <w:rPr>
          <w:noProof/>
          <w:szCs w:val="24"/>
          <w:lang w:val="es-VE" w:eastAsia="en-US"/>
        </w:rPr>
        <w:t xml:space="preserve"> Nº </w:t>
      </w:r>
      <w:r w:rsidR="0005538D">
        <w:rPr>
          <w:noProof/>
          <w:szCs w:val="24"/>
          <w:lang w:val="es-VE" w:eastAsia="en-US"/>
        </w:rPr>
        <w:t>3</w:t>
      </w:r>
      <w:r w:rsidR="003E7EDD">
        <w:rPr>
          <w:noProof/>
          <w:szCs w:val="24"/>
          <w:lang w:val="es-VE" w:eastAsia="en-US"/>
        </w:rPr>
        <w:t>5</w:t>
      </w:r>
      <w:r w:rsidR="00361503">
        <w:rPr>
          <w:noProof/>
          <w:szCs w:val="24"/>
          <w:lang w:val="es-VE" w:eastAsia="en-US"/>
        </w:rPr>
        <w:t xml:space="preserve">, </w:t>
      </w:r>
      <w:r w:rsidR="00361503" w:rsidRPr="00E02D7D">
        <w:rPr>
          <w:noProof/>
          <w:szCs w:val="24"/>
          <w:lang w:val="es-VE" w:eastAsia="en-US"/>
        </w:rPr>
        <w:t xml:space="preserve">se representan dos series de datos; </w:t>
      </w:r>
      <w:r w:rsidR="00361503">
        <w:rPr>
          <w:noProof/>
          <w:szCs w:val="24"/>
          <w:lang w:val="es-VE" w:eastAsia="en-US"/>
        </w:rPr>
        <w:t xml:space="preserve">porcentaje de </w:t>
      </w:r>
      <w:r w:rsidR="00361503" w:rsidRPr="00E02D7D">
        <w:rPr>
          <w:noProof/>
          <w:szCs w:val="24"/>
          <w:lang w:val="es-VE" w:eastAsia="en-US"/>
        </w:rPr>
        <w:t xml:space="preserve">agua recuperada con </w:t>
      </w:r>
      <w:r w:rsidR="00361503">
        <w:rPr>
          <w:noProof/>
          <w:szCs w:val="24"/>
          <w:lang w:val="es-VE" w:eastAsia="en-US"/>
        </w:rPr>
        <w:t>aplicación de</w:t>
      </w:r>
      <w:r w:rsidR="00361503" w:rsidRPr="00E02D7D">
        <w:rPr>
          <w:noProof/>
          <w:szCs w:val="24"/>
          <w:lang w:val="es-VE" w:eastAsia="en-US"/>
        </w:rPr>
        <w:t xml:space="preserve"> campo DC</w:t>
      </w:r>
      <w:r w:rsidR="00361503">
        <w:rPr>
          <w:noProof/>
          <w:szCs w:val="24"/>
          <w:lang w:val="es-VE" w:eastAsia="en-US"/>
        </w:rPr>
        <w:t>,</w:t>
      </w:r>
      <w:r w:rsidR="00361503" w:rsidRPr="00E02D7D">
        <w:rPr>
          <w:noProof/>
          <w:szCs w:val="24"/>
          <w:lang w:val="es-VE" w:eastAsia="en-US"/>
        </w:rPr>
        <w:t xml:space="preserve"> y</w:t>
      </w:r>
      <w:r w:rsidR="00361503">
        <w:rPr>
          <w:noProof/>
          <w:szCs w:val="24"/>
          <w:lang w:val="es-VE" w:eastAsia="en-US"/>
        </w:rPr>
        <w:t xml:space="preserve"> porcentaje de agua recuperada aplicando </w:t>
      </w:r>
      <w:r w:rsidR="00361503" w:rsidRPr="00E02D7D">
        <w:rPr>
          <w:noProof/>
          <w:szCs w:val="24"/>
          <w:lang w:val="es-VE" w:eastAsia="en-US"/>
        </w:rPr>
        <w:t xml:space="preserve">campo DC </w:t>
      </w:r>
      <w:r w:rsidR="00361503">
        <w:rPr>
          <w:noProof/>
          <w:szCs w:val="24"/>
          <w:lang w:val="es-VE" w:eastAsia="en-US"/>
        </w:rPr>
        <w:t>y</w:t>
      </w:r>
      <w:r w:rsidR="00361503" w:rsidRPr="00E02D7D">
        <w:rPr>
          <w:noProof/>
          <w:szCs w:val="24"/>
          <w:lang w:val="es-VE" w:eastAsia="en-US"/>
        </w:rPr>
        <w:t xml:space="preserve"> centrifugación. </w:t>
      </w:r>
      <w:r w:rsidR="00857E29">
        <w:rPr>
          <w:noProof/>
          <w:szCs w:val="24"/>
          <w:lang w:val="es-VE" w:eastAsia="en-US"/>
        </w:rPr>
        <w:t>Es claramente apreciable que l</w:t>
      </w:r>
      <w:r w:rsidR="00361503" w:rsidRPr="00E02D7D">
        <w:rPr>
          <w:noProof/>
          <w:szCs w:val="24"/>
          <w:lang w:val="es-VE" w:eastAsia="en-US"/>
        </w:rPr>
        <w:t xml:space="preserve">a cantidad de agua recuperada luego de someter las muestras a un proceso de centrifugación es, en la mayoría de los casos, aproximadamente 50% mayor que a la cantidad de agua recuperada obtenida solo aplicando </w:t>
      </w:r>
      <w:r w:rsidR="00361503">
        <w:rPr>
          <w:noProof/>
          <w:szCs w:val="24"/>
          <w:lang w:val="es-VE" w:eastAsia="en-US"/>
        </w:rPr>
        <w:t>el</w:t>
      </w:r>
      <w:r w:rsidR="00361503" w:rsidRPr="00E02D7D">
        <w:rPr>
          <w:noProof/>
          <w:szCs w:val="24"/>
          <w:lang w:val="es-VE" w:eastAsia="en-US"/>
        </w:rPr>
        <w:t xml:space="preserve"> campo eléctrico</w:t>
      </w:r>
      <w:r w:rsidR="00361503">
        <w:rPr>
          <w:noProof/>
          <w:szCs w:val="24"/>
          <w:lang w:val="es-VE" w:eastAsia="en-US"/>
        </w:rPr>
        <w:t xml:space="preserve"> en conjuto con el medio coalescedor</w:t>
      </w:r>
      <w:r w:rsidR="00361503" w:rsidRPr="00E02D7D">
        <w:rPr>
          <w:noProof/>
          <w:szCs w:val="24"/>
          <w:lang w:val="es-VE" w:eastAsia="en-US"/>
        </w:rPr>
        <w:t xml:space="preserve">. </w:t>
      </w:r>
    </w:p>
    <w:p w:rsidR="0042393B" w:rsidRDefault="0042393B" w:rsidP="007F5F9C">
      <w:pPr>
        <w:spacing w:line="360" w:lineRule="auto"/>
        <w:jc w:val="both"/>
        <w:rPr>
          <w:szCs w:val="24"/>
        </w:rPr>
        <w:sectPr w:rsidR="0042393B" w:rsidSect="00820F87">
          <w:pgSz w:w="12240" w:h="15840"/>
          <w:pgMar w:top="1699" w:right="1699" w:bottom="1699" w:left="2275" w:header="720" w:footer="720" w:gutter="0"/>
          <w:cols w:space="720"/>
          <w:docGrid w:linePitch="360"/>
        </w:sectPr>
      </w:pPr>
    </w:p>
    <w:p w:rsidR="00970950" w:rsidRDefault="00A73CD2" w:rsidP="00EC5566">
      <w:pPr>
        <w:spacing w:line="360" w:lineRule="auto"/>
        <w:jc w:val="center"/>
        <w:rPr>
          <w:szCs w:val="24"/>
        </w:rPr>
      </w:pPr>
      <w:r>
        <w:rPr>
          <w:noProof/>
          <w:szCs w:val="24"/>
          <w:lang w:val="en-US" w:eastAsia="en-US"/>
        </w:rPr>
        <w:lastRenderedPageBreak/>
        <w:pict>
          <v:shape id="_x0000_s1457" type="#_x0000_t202" style="position:absolute;left:0;text-align:left;margin-left:310.1pt;margin-top:-10.4pt;width:134pt;height:34.8pt;z-index:251812352;mso-height-percent:200;mso-height-percent:200;mso-width-relative:margin;mso-height-relative:margin" filled="f" stroked="f">
            <v:textbox style="mso-next-textbox:#_x0000_s1457;mso-fit-shape-to-text:t">
              <w:txbxContent>
                <w:p w:rsidR="004134A0" w:rsidRPr="00480668" w:rsidRDefault="004134A0" w:rsidP="00480668">
                  <w:pPr>
                    <w:jc w:val="both"/>
                    <w:rPr>
                      <w:sz w:val="16"/>
                      <w:szCs w:val="16"/>
                    </w:rPr>
                  </w:pPr>
                  <w:r>
                    <w:rPr>
                      <w:sz w:val="16"/>
                      <w:szCs w:val="16"/>
                    </w:rPr>
                    <w:t>Temperatura ambiente.</w:t>
                  </w:r>
                </w:p>
                <w:p w:rsidR="004134A0" w:rsidRPr="00480668" w:rsidRDefault="004134A0" w:rsidP="00480668">
                  <w:pPr>
                    <w:jc w:val="both"/>
                    <w:rPr>
                      <w:sz w:val="16"/>
                      <w:szCs w:val="16"/>
                    </w:rPr>
                  </w:pPr>
                  <w:r w:rsidRPr="00480668">
                    <w:rPr>
                      <w:sz w:val="16"/>
                      <w:szCs w:val="16"/>
                    </w:rPr>
                    <w:t>Centrifugación: 5 min. a 2700 rpm.</w:t>
                  </w:r>
                </w:p>
                <w:p w:rsidR="004134A0" w:rsidRPr="00480668" w:rsidRDefault="004134A0" w:rsidP="00480668">
                  <w:pPr>
                    <w:jc w:val="both"/>
                    <w:rPr>
                      <w:sz w:val="16"/>
                      <w:szCs w:val="16"/>
                      <w:lang w:val="es-VE"/>
                    </w:rPr>
                  </w:pPr>
                  <w:r w:rsidRPr="00480668">
                    <w:rPr>
                      <w:sz w:val="16"/>
                      <w:szCs w:val="16"/>
                    </w:rPr>
                    <w:t>Alto tiempo de residencia.</w:t>
                  </w:r>
                </w:p>
              </w:txbxContent>
            </v:textbox>
          </v:shape>
        </w:pict>
      </w:r>
      <w:r w:rsidRPr="00A73CD2">
        <w:rPr>
          <w:noProof/>
          <w:szCs w:val="24"/>
          <w:lang w:eastAsia="zh-TW"/>
        </w:rPr>
        <w:pict>
          <v:shape id="_x0000_s1456" type="#_x0000_t202" style="position:absolute;left:0;text-align:left;margin-left:301.25pt;margin-top:178.4pt;width:134pt;height:34.8pt;z-index:251811328;mso-height-percent:200;mso-height-percent:200;mso-width-relative:margin;mso-height-relative:margin" filled="f" stroked="f">
            <v:textbox style="mso-next-textbox:#_x0000_s1456;mso-fit-shape-to-text:t">
              <w:txbxContent>
                <w:p w:rsidR="004134A0" w:rsidRPr="00480668" w:rsidRDefault="004134A0" w:rsidP="00480668">
                  <w:pPr>
                    <w:jc w:val="both"/>
                    <w:rPr>
                      <w:sz w:val="16"/>
                      <w:szCs w:val="16"/>
                    </w:rPr>
                  </w:pPr>
                  <w:r>
                    <w:rPr>
                      <w:sz w:val="16"/>
                      <w:szCs w:val="16"/>
                    </w:rPr>
                    <w:t>Temperatura ambiente.</w:t>
                  </w:r>
                </w:p>
                <w:p w:rsidR="004134A0" w:rsidRPr="00480668" w:rsidRDefault="004134A0" w:rsidP="00480668">
                  <w:pPr>
                    <w:jc w:val="both"/>
                    <w:rPr>
                      <w:sz w:val="16"/>
                      <w:szCs w:val="16"/>
                    </w:rPr>
                  </w:pPr>
                  <w:r w:rsidRPr="00480668">
                    <w:rPr>
                      <w:sz w:val="16"/>
                      <w:szCs w:val="16"/>
                    </w:rPr>
                    <w:t>Centrifugación: 5 min. a 2700 rpm.</w:t>
                  </w:r>
                </w:p>
                <w:p w:rsidR="004134A0" w:rsidRPr="00480668" w:rsidRDefault="004134A0" w:rsidP="00480668">
                  <w:pPr>
                    <w:jc w:val="both"/>
                    <w:rPr>
                      <w:sz w:val="16"/>
                      <w:szCs w:val="16"/>
                      <w:lang w:val="es-VE"/>
                    </w:rPr>
                  </w:pPr>
                  <w:r>
                    <w:rPr>
                      <w:sz w:val="16"/>
                      <w:szCs w:val="16"/>
                    </w:rPr>
                    <w:t>Tiempo de residencia intermedio</w:t>
                  </w:r>
                  <w:r w:rsidRPr="00480668">
                    <w:rPr>
                      <w:sz w:val="16"/>
                      <w:szCs w:val="16"/>
                    </w:rPr>
                    <w:t>.</w:t>
                  </w:r>
                </w:p>
              </w:txbxContent>
            </v:textbox>
          </v:shape>
        </w:pict>
      </w:r>
      <w:r w:rsidR="00183D18" w:rsidRPr="00183D18">
        <w:rPr>
          <w:noProof/>
          <w:szCs w:val="24"/>
          <w:lang w:val="en-US" w:eastAsia="en-US"/>
        </w:rPr>
        <w:drawing>
          <wp:inline distT="0" distB="0" distL="0" distR="0">
            <wp:extent cx="4572000" cy="2286000"/>
            <wp:effectExtent l="0" t="0" r="0" b="0"/>
            <wp:docPr id="53"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A0DA5" w:rsidRDefault="00183D18" w:rsidP="006426B4">
      <w:pPr>
        <w:spacing w:line="360" w:lineRule="auto"/>
        <w:jc w:val="center"/>
        <w:rPr>
          <w:szCs w:val="24"/>
        </w:rPr>
      </w:pPr>
      <w:r w:rsidRPr="00183D18">
        <w:rPr>
          <w:noProof/>
          <w:szCs w:val="24"/>
          <w:lang w:val="en-US" w:eastAsia="en-US"/>
        </w:rPr>
        <w:drawing>
          <wp:inline distT="0" distB="0" distL="0" distR="0">
            <wp:extent cx="4572000" cy="2286000"/>
            <wp:effectExtent l="0" t="0" r="0" b="0"/>
            <wp:docPr id="52"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2571A" w:rsidRDefault="00A73CD2" w:rsidP="004207F6">
      <w:pPr>
        <w:spacing w:line="360" w:lineRule="auto"/>
        <w:jc w:val="both"/>
        <w:rPr>
          <w:b/>
          <w:i/>
          <w:noProof/>
          <w:szCs w:val="24"/>
          <w:lang w:val="es-VE" w:eastAsia="en-US"/>
        </w:rPr>
      </w:pPr>
      <w:r>
        <w:rPr>
          <w:b/>
          <w:i/>
          <w:noProof/>
          <w:szCs w:val="24"/>
          <w:lang w:val="en-US" w:eastAsia="en-US"/>
        </w:rPr>
        <w:pict>
          <v:shape id="_x0000_s1458" type="#_x0000_t202" style="position:absolute;left:0;text-align:left;margin-left:314.85pt;margin-top:7.65pt;width:134pt;height:34.8pt;z-index:251813376;mso-height-percent:200;mso-height-percent:200;mso-width-relative:margin;mso-height-relative:margin" filled="f" stroked="f">
            <v:textbox style="mso-next-textbox:#_x0000_s1458;mso-fit-shape-to-text:t">
              <w:txbxContent>
                <w:p w:rsidR="004134A0" w:rsidRPr="00480668" w:rsidRDefault="004134A0" w:rsidP="00480668">
                  <w:pPr>
                    <w:jc w:val="both"/>
                    <w:rPr>
                      <w:sz w:val="16"/>
                      <w:szCs w:val="16"/>
                    </w:rPr>
                  </w:pPr>
                  <w:r w:rsidRPr="00480668">
                    <w:rPr>
                      <w:sz w:val="16"/>
                      <w:szCs w:val="16"/>
                    </w:rPr>
                    <w:t>T</w:t>
                  </w:r>
                  <w:r>
                    <w:rPr>
                      <w:sz w:val="16"/>
                      <w:szCs w:val="16"/>
                    </w:rPr>
                    <w:t>emperatura</w:t>
                  </w:r>
                  <w:r w:rsidRPr="00480668">
                    <w:rPr>
                      <w:sz w:val="16"/>
                      <w:szCs w:val="16"/>
                    </w:rPr>
                    <w:t>: 33 °C</w:t>
                  </w:r>
                </w:p>
                <w:p w:rsidR="004134A0" w:rsidRPr="00480668" w:rsidRDefault="004134A0" w:rsidP="00480668">
                  <w:pPr>
                    <w:jc w:val="both"/>
                    <w:rPr>
                      <w:sz w:val="16"/>
                      <w:szCs w:val="16"/>
                    </w:rPr>
                  </w:pPr>
                  <w:r w:rsidRPr="00480668">
                    <w:rPr>
                      <w:sz w:val="16"/>
                      <w:szCs w:val="16"/>
                    </w:rPr>
                    <w:t>Centrifugación: 5 min. a 2700 rpm.</w:t>
                  </w:r>
                </w:p>
                <w:p w:rsidR="004134A0" w:rsidRPr="00480668" w:rsidRDefault="004134A0" w:rsidP="00480668">
                  <w:pPr>
                    <w:jc w:val="both"/>
                    <w:rPr>
                      <w:sz w:val="16"/>
                      <w:szCs w:val="16"/>
                      <w:lang w:val="es-VE"/>
                    </w:rPr>
                  </w:pPr>
                  <w:r>
                    <w:rPr>
                      <w:sz w:val="16"/>
                      <w:szCs w:val="16"/>
                    </w:rPr>
                    <w:t>Bajo tiempo de residencia.</w:t>
                  </w:r>
                </w:p>
              </w:txbxContent>
            </v:textbox>
          </v:shape>
        </w:pict>
      </w:r>
    </w:p>
    <w:p w:rsidR="004207F6" w:rsidRDefault="007923F9" w:rsidP="00DD725F">
      <w:pPr>
        <w:spacing w:line="360" w:lineRule="auto"/>
        <w:jc w:val="center"/>
        <w:rPr>
          <w:b/>
          <w:i/>
          <w:noProof/>
          <w:szCs w:val="24"/>
          <w:lang w:val="en-US" w:eastAsia="en-US"/>
        </w:rPr>
      </w:pPr>
      <w:r w:rsidRPr="007923F9">
        <w:rPr>
          <w:b/>
          <w:i/>
          <w:noProof/>
          <w:szCs w:val="24"/>
          <w:lang w:val="en-US" w:eastAsia="en-US"/>
        </w:rPr>
        <w:drawing>
          <wp:inline distT="0" distB="0" distL="0" distR="0">
            <wp:extent cx="4572000" cy="2413591"/>
            <wp:effectExtent l="0" t="0" r="0" b="0"/>
            <wp:docPr id="54"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2393B" w:rsidRDefault="003F4126" w:rsidP="003F4126">
      <w:pPr>
        <w:pStyle w:val="Epgrafe"/>
        <w:rPr>
          <w:noProof/>
          <w:lang w:val="es-VE" w:eastAsia="en-US"/>
        </w:rPr>
        <w:sectPr w:rsidR="0042393B" w:rsidSect="00820F87">
          <w:pgSz w:w="12240" w:h="15840"/>
          <w:pgMar w:top="1699" w:right="1699" w:bottom="1699" w:left="2275" w:header="720" w:footer="720" w:gutter="0"/>
          <w:cols w:space="720"/>
          <w:docGrid w:linePitch="360"/>
        </w:sectPr>
      </w:pPr>
      <w:bookmarkStart w:id="145" w:name="_Toc327481447"/>
      <w:r>
        <w:t xml:space="preserve">Figura N° </w:t>
      </w:r>
      <w:fldSimple w:instr=" SEQ Figura_N° \* ARABIC ">
        <w:r w:rsidR="004A5F6F">
          <w:rPr>
            <w:noProof/>
          </w:rPr>
          <w:t>35</w:t>
        </w:r>
      </w:fldSimple>
      <w:r w:rsidR="0046318C" w:rsidRPr="00F2571A">
        <w:rPr>
          <w:noProof/>
          <w:lang w:val="es-VE" w:eastAsia="en-US"/>
        </w:rPr>
        <w:t>: Porcentaje de separación de ag</w:t>
      </w:r>
      <w:r w:rsidR="0046318C">
        <w:rPr>
          <w:noProof/>
          <w:lang w:val="es-VE" w:eastAsia="en-US"/>
        </w:rPr>
        <w:t>ua</w:t>
      </w:r>
      <w:r w:rsidR="006426B4">
        <w:rPr>
          <w:noProof/>
          <w:lang w:val="es-VE" w:eastAsia="en-US"/>
        </w:rPr>
        <w:t>. Acem</w:t>
      </w:r>
      <w:r w:rsidR="0005538D">
        <w:rPr>
          <w:noProof/>
          <w:lang w:val="es-VE" w:eastAsia="en-US"/>
        </w:rPr>
        <w:t>a</w:t>
      </w:r>
      <w:r w:rsidR="006426B4">
        <w:rPr>
          <w:noProof/>
          <w:lang w:val="es-VE" w:eastAsia="en-US"/>
        </w:rPr>
        <w:t xml:space="preserve"> 1</w:t>
      </w:r>
      <w:r w:rsidR="007770E8">
        <w:rPr>
          <w:noProof/>
          <w:lang w:val="es-VE" w:eastAsia="en-US"/>
        </w:rPr>
        <w:t>00</w:t>
      </w:r>
      <w:r w:rsidR="006426B4">
        <w:rPr>
          <w:noProof/>
          <w:lang w:val="es-VE" w:eastAsia="en-US"/>
        </w:rPr>
        <w:t>. Campo DC. Con y sin medio coalescedor</w:t>
      </w:r>
      <w:r w:rsidR="0046318C">
        <w:rPr>
          <w:noProof/>
          <w:lang w:val="es-VE" w:eastAsia="en-US"/>
        </w:rPr>
        <w:t>.</w:t>
      </w:r>
      <w:bookmarkEnd w:id="145"/>
      <w:r w:rsidR="0046318C">
        <w:rPr>
          <w:noProof/>
          <w:lang w:val="es-VE" w:eastAsia="en-US"/>
        </w:rPr>
        <w:t xml:space="preserve"> </w:t>
      </w:r>
    </w:p>
    <w:p w:rsidR="00857E29" w:rsidRPr="00361503" w:rsidRDefault="00946978" w:rsidP="00857E29">
      <w:pPr>
        <w:spacing w:before="240" w:line="360" w:lineRule="auto"/>
        <w:ind w:firstLine="720"/>
        <w:jc w:val="both"/>
        <w:rPr>
          <w:szCs w:val="24"/>
          <w:lang w:val="es-VE"/>
        </w:rPr>
      </w:pPr>
      <w:r>
        <w:rPr>
          <w:noProof/>
          <w:szCs w:val="24"/>
          <w:lang w:val="es-VE" w:eastAsia="en-US"/>
        </w:rPr>
        <w:lastRenderedPageBreak/>
        <w:t>El grado</w:t>
      </w:r>
      <w:r w:rsidR="00857E29" w:rsidRPr="00E02D7D">
        <w:rPr>
          <w:noProof/>
          <w:szCs w:val="24"/>
          <w:lang w:val="es-VE" w:eastAsia="en-US"/>
        </w:rPr>
        <w:t xml:space="preserve"> de ruptura</w:t>
      </w:r>
      <w:r>
        <w:rPr>
          <w:noProof/>
          <w:szCs w:val="24"/>
          <w:lang w:val="es-VE" w:eastAsia="en-US"/>
        </w:rPr>
        <w:t xml:space="preserve"> de la emulsión luego de la aplicado el campo eléctrico</w:t>
      </w:r>
      <w:r w:rsidR="00857E29" w:rsidRPr="00E02D7D">
        <w:rPr>
          <w:noProof/>
          <w:szCs w:val="24"/>
          <w:lang w:val="es-VE" w:eastAsia="en-US"/>
        </w:rPr>
        <w:t xml:space="preserve"> </w:t>
      </w:r>
      <w:r w:rsidR="00857E29">
        <w:rPr>
          <w:noProof/>
          <w:szCs w:val="24"/>
          <w:lang w:val="es-VE" w:eastAsia="en-US"/>
        </w:rPr>
        <w:t xml:space="preserve">es </w:t>
      </w:r>
      <w:r w:rsidR="00857E29" w:rsidRPr="00E02D7D">
        <w:rPr>
          <w:noProof/>
          <w:szCs w:val="24"/>
          <w:lang w:val="es-VE" w:eastAsia="en-US"/>
        </w:rPr>
        <w:t>depend</w:t>
      </w:r>
      <w:r w:rsidR="00857E29">
        <w:rPr>
          <w:noProof/>
          <w:szCs w:val="24"/>
          <w:lang w:val="es-VE" w:eastAsia="en-US"/>
        </w:rPr>
        <w:t>iente</w:t>
      </w:r>
      <w:r w:rsidR="00857E29" w:rsidRPr="00E02D7D">
        <w:rPr>
          <w:noProof/>
          <w:szCs w:val="24"/>
          <w:lang w:val="es-VE" w:eastAsia="en-US"/>
        </w:rPr>
        <w:t xml:space="preserve"> de la fuerza centrífuga aplicada y de la estabilidad de la emulsión. Si la emulsión ha sido desestabilizada previamente</w:t>
      </w:r>
      <w:r w:rsidR="00857E29">
        <w:rPr>
          <w:noProof/>
          <w:szCs w:val="24"/>
          <w:lang w:val="es-VE" w:eastAsia="en-US"/>
        </w:rPr>
        <w:t xml:space="preserve">, </w:t>
      </w:r>
      <w:r w:rsidR="00857E29" w:rsidRPr="00E02D7D">
        <w:rPr>
          <w:noProof/>
          <w:szCs w:val="24"/>
          <w:lang w:val="es-VE" w:eastAsia="en-US"/>
        </w:rPr>
        <w:t xml:space="preserve">más eficiente y notable será el efecto </w:t>
      </w:r>
      <w:r>
        <w:rPr>
          <w:noProof/>
          <w:szCs w:val="24"/>
          <w:lang w:val="es-VE" w:eastAsia="en-US"/>
        </w:rPr>
        <w:t>centrífugo</w:t>
      </w:r>
      <w:r w:rsidR="00857E29" w:rsidRPr="00E02D7D">
        <w:rPr>
          <w:noProof/>
          <w:szCs w:val="24"/>
          <w:lang w:val="es-VE" w:eastAsia="en-US"/>
        </w:rPr>
        <w:t>.</w:t>
      </w:r>
    </w:p>
    <w:p w:rsidR="00946978" w:rsidRDefault="00F12682" w:rsidP="00320076">
      <w:pPr>
        <w:spacing w:line="360" w:lineRule="auto"/>
        <w:jc w:val="both"/>
        <w:rPr>
          <w:noProof/>
          <w:szCs w:val="24"/>
          <w:lang w:val="es-VE" w:eastAsia="en-US"/>
        </w:rPr>
      </w:pPr>
      <w:r w:rsidRPr="00E02D7D">
        <w:rPr>
          <w:noProof/>
          <w:szCs w:val="24"/>
          <w:lang w:val="es-VE" w:eastAsia="en-US"/>
        </w:rPr>
        <w:tab/>
      </w:r>
      <w:r w:rsidR="00B40C8B">
        <w:rPr>
          <w:noProof/>
          <w:szCs w:val="24"/>
          <w:lang w:val="es-VE" w:eastAsia="en-US"/>
        </w:rPr>
        <w:t>A modo de comparativo, s</w:t>
      </w:r>
      <w:r w:rsidR="005D29BD" w:rsidRPr="00E02D7D">
        <w:rPr>
          <w:noProof/>
          <w:szCs w:val="24"/>
          <w:lang w:val="es-VE" w:eastAsia="en-US"/>
        </w:rPr>
        <w:t>e someti</w:t>
      </w:r>
      <w:r w:rsidR="00B40C8B">
        <w:rPr>
          <w:noProof/>
          <w:szCs w:val="24"/>
          <w:lang w:val="es-VE" w:eastAsia="en-US"/>
        </w:rPr>
        <w:t>ó</w:t>
      </w:r>
      <w:r w:rsidR="005D29BD" w:rsidRPr="00E02D7D">
        <w:rPr>
          <w:noProof/>
          <w:szCs w:val="24"/>
          <w:lang w:val="es-VE" w:eastAsia="en-US"/>
        </w:rPr>
        <w:t xml:space="preserve"> una muestra de fosa sin tratamiento electrostático a centrifugación</w:t>
      </w:r>
      <w:r w:rsidR="009A3533" w:rsidRPr="00E02D7D">
        <w:rPr>
          <w:noProof/>
          <w:szCs w:val="24"/>
          <w:lang w:val="es-VE" w:eastAsia="en-US"/>
        </w:rPr>
        <w:t xml:space="preserve"> (2.700 rpm por 5 minutos)</w:t>
      </w:r>
      <w:r w:rsidRPr="00E02D7D">
        <w:rPr>
          <w:noProof/>
          <w:szCs w:val="24"/>
          <w:lang w:val="es-VE" w:eastAsia="en-US"/>
        </w:rPr>
        <w:t>,</w:t>
      </w:r>
      <w:r w:rsidR="005D29BD" w:rsidRPr="00E02D7D">
        <w:rPr>
          <w:noProof/>
          <w:szCs w:val="24"/>
          <w:lang w:val="es-VE" w:eastAsia="en-US"/>
        </w:rPr>
        <w:t xml:space="preserve"> </w:t>
      </w:r>
      <w:r w:rsidR="00B40C8B">
        <w:rPr>
          <w:noProof/>
          <w:szCs w:val="24"/>
          <w:lang w:val="es-VE" w:eastAsia="en-US"/>
        </w:rPr>
        <w:t xml:space="preserve">más no se observó </w:t>
      </w:r>
      <w:r w:rsidR="005D29BD" w:rsidRPr="00E02D7D">
        <w:rPr>
          <w:noProof/>
          <w:szCs w:val="24"/>
          <w:lang w:val="es-VE" w:eastAsia="en-US"/>
        </w:rPr>
        <w:t>separación alguna.</w:t>
      </w:r>
      <w:r w:rsidR="00B40C8B">
        <w:rPr>
          <w:noProof/>
          <w:szCs w:val="24"/>
          <w:lang w:val="es-VE" w:eastAsia="en-US"/>
        </w:rPr>
        <w:t xml:space="preserve"> Esto sugiere que la centrifugación</w:t>
      </w:r>
      <w:r w:rsidR="00946978">
        <w:rPr>
          <w:noProof/>
          <w:szCs w:val="24"/>
          <w:lang w:val="es-VE" w:eastAsia="en-US"/>
        </w:rPr>
        <w:t>, a pesar de que no</w:t>
      </w:r>
      <w:r w:rsidR="00B40C8B">
        <w:rPr>
          <w:noProof/>
          <w:szCs w:val="24"/>
          <w:lang w:val="es-VE" w:eastAsia="en-US"/>
        </w:rPr>
        <w:t xml:space="preserve"> tiene un efecto desestabilizante</w:t>
      </w:r>
      <w:r w:rsidR="00946978">
        <w:rPr>
          <w:noProof/>
          <w:szCs w:val="24"/>
          <w:lang w:val="es-VE" w:eastAsia="en-US"/>
        </w:rPr>
        <w:t>, promueve la coalescencia de gotas grandes (flóculos) no coalescidos durante el tratamiento e</w:t>
      </w:r>
      <w:r w:rsidR="0082261F">
        <w:rPr>
          <w:noProof/>
          <w:szCs w:val="24"/>
          <w:lang w:val="es-VE" w:eastAsia="en-US"/>
        </w:rPr>
        <w:t>l</w:t>
      </w:r>
      <w:r w:rsidR="00946978">
        <w:rPr>
          <w:noProof/>
          <w:szCs w:val="24"/>
          <w:lang w:val="es-VE" w:eastAsia="en-US"/>
        </w:rPr>
        <w:t>ectrico de la emulsión.</w:t>
      </w:r>
    </w:p>
    <w:p w:rsidR="00F2085B" w:rsidRDefault="00A73CD2" w:rsidP="00320076">
      <w:pPr>
        <w:spacing w:line="360" w:lineRule="auto"/>
        <w:jc w:val="both"/>
        <w:rPr>
          <w:noProof/>
          <w:szCs w:val="24"/>
          <w:lang w:val="es-VE" w:eastAsia="en-US"/>
        </w:rPr>
      </w:pPr>
      <w:r w:rsidRPr="00A73CD2">
        <w:rPr>
          <w:noProof/>
          <w:sz w:val="20"/>
          <w:lang w:val="en-US" w:eastAsia="en-US"/>
        </w:rPr>
        <w:pict>
          <v:shape id="_x0000_s1112" type="#_x0000_t202" style="position:absolute;left:0;text-align:left;margin-left:245.75pt;margin-top:194.5pt;width:32.95pt;height:18.7pt;z-index:251664896;mso-height-percent:200;mso-height-percent:200;mso-width-relative:margin;mso-height-relative:margin" filled="f" stroked="f">
            <v:textbox style="mso-next-textbox:#_x0000_s1112;mso-fit-shape-to-text:t">
              <w:txbxContent>
                <w:p w:rsidR="004134A0" w:rsidRPr="005B43E4" w:rsidRDefault="004134A0" w:rsidP="00313A0B">
                  <w:pPr>
                    <w:jc w:val="center"/>
                    <w:rPr>
                      <w:sz w:val="20"/>
                      <w:lang w:val="es-VE"/>
                    </w:rPr>
                  </w:pPr>
                  <w:r>
                    <w:rPr>
                      <w:sz w:val="20"/>
                      <w:lang w:val="es-VE"/>
                    </w:rPr>
                    <w:t xml:space="preserve">  (b)</w:t>
                  </w:r>
                </w:p>
              </w:txbxContent>
            </v:textbox>
          </v:shape>
        </w:pict>
      </w:r>
      <w:r w:rsidRPr="00A73CD2">
        <w:rPr>
          <w:noProof/>
          <w:sz w:val="20"/>
          <w:lang w:val="en-US" w:eastAsia="en-US"/>
        </w:rPr>
        <w:pict>
          <v:shape id="_x0000_s1111" type="#_x0000_t202" style="position:absolute;left:0;text-align:left;margin-left:191.4pt;margin-top:194.5pt;width:32.95pt;height:18.7pt;z-index:251663872;mso-height-percent:200;mso-height-percent:200;mso-width-relative:margin;mso-height-relative:margin" filled="f" stroked="f">
            <v:textbox style="mso-next-textbox:#_x0000_s1111;mso-fit-shape-to-text:t">
              <w:txbxContent>
                <w:p w:rsidR="004134A0" w:rsidRPr="005B43E4" w:rsidRDefault="004134A0" w:rsidP="00313A0B">
                  <w:pPr>
                    <w:jc w:val="center"/>
                    <w:rPr>
                      <w:sz w:val="20"/>
                      <w:lang w:val="es-VE"/>
                    </w:rPr>
                  </w:pPr>
                  <w:r>
                    <w:rPr>
                      <w:sz w:val="20"/>
                      <w:lang w:val="es-VE"/>
                    </w:rPr>
                    <w:t>(a)</w:t>
                  </w:r>
                </w:p>
              </w:txbxContent>
            </v:textbox>
          </v:shape>
        </w:pict>
      </w:r>
      <w:r w:rsidR="00B40C8B">
        <w:rPr>
          <w:noProof/>
          <w:szCs w:val="24"/>
          <w:lang w:val="es-VE" w:eastAsia="en-US"/>
        </w:rPr>
        <w:tab/>
        <w:t>D</w:t>
      </w:r>
      <w:r w:rsidR="009A3533" w:rsidRPr="00E02D7D">
        <w:rPr>
          <w:noProof/>
          <w:szCs w:val="24"/>
          <w:lang w:val="es-VE" w:eastAsia="en-US"/>
        </w:rPr>
        <w:t xml:space="preserve">urante el tramiento electrostático de la muestra, parte del agua emulsionada, flocula, coalesce y escurre a través del medio coalescedor depositándose </w:t>
      </w:r>
      <w:r w:rsidR="00946978">
        <w:rPr>
          <w:noProof/>
          <w:szCs w:val="24"/>
          <w:lang w:val="es-VE" w:eastAsia="en-US"/>
        </w:rPr>
        <w:t>en el</w:t>
      </w:r>
      <w:r w:rsidR="009A3533" w:rsidRPr="00E02D7D">
        <w:rPr>
          <w:noProof/>
          <w:szCs w:val="24"/>
          <w:lang w:val="es-VE" w:eastAsia="en-US"/>
        </w:rPr>
        <w:t xml:space="preserve"> fondo del tubo de </w:t>
      </w:r>
      <w:r w:rsidR="00F12682" w:rsidRPr="00E02D7D">
        <w:rPr>
          <w:noProof/>
          <w:szCs w:val="24"/>
          <w:lang w:val="es-VE" w:eastAsia="en-US"/>
        </w:rPr>
        <w:t>recolección de muestra.</w:t>
      </w:r>
      <w:r w:rsidR="00B40C8B">
        <w:rPr>
          <w:noProof/>
          <w:szCs w:val="24"/>
          <w:lang w:val="es-VE" w:eastAsia="en-US"/>
        </w:rPr>
        <w:t xml:space="preserve"> Este escurrimiento se observó una vez la emulsión empezó a fluir a través de la celda.</w:t>
      </w:r>
      <w:r w:rsidR="00F12682" w:rsidRPr="00E02D7D">
        <w:rPr>
          <w:noProof/>
          <w:szCs w:val="24"/>
          <w:lang w:val="es-VE" w:eastAsia="en-US"/>
        </w:rPr>
        <w:t xml:space="preserve"> </w:t>
      </w:r>
      <w:r w:rsidR="00AF5CCC" w:rsidRPr="00E02D7D">
        <w:rPr>
          <w:noProof/>
          <w:szCs w:val="24"/>
          <w:lang w:val="es-VE" w:eastAsia="en-US"/>
        </w:rPr>
        <w:t xml:space="preserve">El escurrimiento de agua </w:t>
      </w:r>
      <w:r w:rsidR="00946978">
        <w:rPr>
          <w:noProof/>
          <w:szCs w:val="24"/>
          <w:lang w:val="es-VE" w:eastAsia="en-US"/>
        </w:rPr>
        <w:t>no fue visible luego de que</w:t>
      </w:r>
      <w:r w:rsidR="00AF5CCC" w:rsidRPr="00E02D7D">
        <w:rPr>
          <w:noProof/>
          <w:szCs w:val="24"/>
          <w:lang w:val="es-VE" w:eastAsia="en-US"/>
        </w:rPr>
        <w:t xml:space="preserve"> </w:t>
      </w:r>
      <w:r w:rsidR="00946978">
        <w:rPr>
          <w:noProof/>
          <w:szCs w:val="24"/>
          <w:lang w:val="es-VE" w:eastAsia="en-US"/>
        </w:rPr>
        <w:t>el fluido</w:t>
      </w:r>
      <w:r w:rsidR="00AF5CCC" w:rsidRPr="00E02D7D">
        <w:rPr>
          <w:noProof/>
          <w:szCs w:val="24"/>
          <w:lang w:val="es-VE" w:eastAsia="en-US"/>
        </w:rPr>
        <w:t xml:space="preserve"> inund</w:t>
      </w:r>
      <w:r w:rsidR="00B40C8B">
        <w:rPr>
          <w:noProof/>
          <w:szCs w:val="24"/>
          <w:lang w:val="es-VE" w:eastAsia="en-US"/>
        </w:rPr>
        <w:t>ó</w:t>
      </w:r>
      <w:r w:rsidR="00AF5CCC" w:rsidRPr="00E02D7D">
        <w:rPr>
          <w:noProof/>
          <w:szCs w:val="24"/>
          <w:lang w:val="es-VE" w:eastAsia="en-US"/>
        </w:rPr>
        <w:t xml:space="preserve"> la celda de tratamiento eléctrico</w:t>
      </w:r>
      <w:r w:rsidR="00B40C8B">
        <w:rPr>
          <w:noProof/>
          <w:szCs w:val="24"/>
          <w:lang w:val="es-VE" w:eastAsia="en-US"/>
        </w:rPr>
        <w:t>, sin embargo es posible que el fenómeno continuase presentándose</w:t>
      </w:r>
      <w:r w:rsidR="00AF5CCC" w:rsidRPr="00E02D7D">
        <w:rPr>
          <w:noProof/>
          <w:szCs w:val="24"/>
          <w:lang w:val="es-VE" w:eastAsia="en-US"/>
        </w:rPr>
        <w:t xml:space="preserve">. </w:t>
      </w:r>
      <w:r w:rsidR="009E59FD">
        <w:rPr>
          <w:noProof/>
          <w:szCs w:val="24"/>
          <w:lang w:val="es-VE" w:eastAsia="en-US"/>
        </w:rPr>
        <w:t xml:space="preserve">Esto pudo dar origen a la formación de </w:t>
      </w:r>
      <w:r w:rsidR="009C7B16">
        <w:rPr>
          <w:noProof/>
          <w:szCs w:val="24"/>
          <w:lang w:val="es-VE" w:eastAsia="en-US"/>
        </w:rPr>
        <w:t xml:space="preserve">gotas grandes </w:t>
      </w:r>
      <w:r w:rsidR="00B40C8B">
        <w:rPr>
          <w:noProof/>
          <w:szCs w:val="24"/>
          <w:lang w:val="es-VE" w:eastAsia="en-US"/>
        </w:rPr>
        <w:t>las cuales logra</w:t>
      </w:r>
      <w:r w:rsidR="009C7B16">
        <w:rPr>
          <w:noProof/>
          <w:szCs w:val="24"/>
          <w:lang w:val="es-VE" w:eastAsia="en-US"/>
        </w:rPr>
        <w:t>ron</w:t>
      </w:r>
      <w:r w:rsidR="00B40C8B">
        <w:rPr>
          <w:noProof/>
          <w:szCs w:val="24"/>
          <w:lang w:val="es-VE" w:eastAsia="en-US"/>
        </w:rPr>
        <w:t xml:space="preserve"> </w:t>
      </w:r>
      <w:r w:rsidR="009C7B16">
        <w:rPr>
          <w:noProof/>
          <w:szCs w:val="24"/>
          <w:lang w:val="es-VE" w:eastAsia="en-US"/>
        </w:rPr>
        <w:t>coalescer</w:t>
      </w:r>
      <w:r w:rsidR="00B40C8B">
        <w:rPr>
          <w:noProof/>
          <w:szCs w:val="24"/>
          <w:lang w:val="es-VE" w:eastAsia="en-US"/>
        </w:rPr>
        <w:t xml:space="preserve"> definitivamente una vez sometidas las muestras a centrifugación</w:t>
      </w:r>
      <w:r w:rsidR="00AF5CCC" w:rsidRPr="00E02D7D">
        <w:rPr>
          <w:noProof/>
          <w:szCs w:val="24"/>
          <w:lang w:val="es-VE" w:eastAsia="en-US"/>
        </w:rPr>
        <w:t>.</w:t>
      </w:r>
      <w:r w:rsidR="00B40C8B">
        <w:rPr>
          <w:noProof/>
          <w:szCs w:val="24"/>
          <w:lang w:val="es-VE" w:eastAsia="en-US"/>
        </w:rPr>
        <w:t xml:space="preserve"> Cier</w:t>
      </w:r>
      <w:r w:rsidR="00DF1901">
        <w:rPr>
          <w:noProof/>
          <w:szCs w:val="24"/>
          <w:lang w:val="es-VE" w:eastAsia="en-US"/>
        </w:rPr>
        <w:t>tamente</w:t>
      </w:r>
      <w:r w:rsidR="009E59FD">
        <w:rPr>
          <w:noProof/>
          <w:szCs w:val="24"/>
          <w:lang w:val="es-VE" w:eastAsia="en-US"/>
        </w:rPr>
        <w:t>,</w:t>
      </w:r>
      <w:r w:rsidR="00DF1901">
        <w:rPr>
          <w:noProof/>
          <w:szCs w:val="24"/>
          <w:lang w:val="es-VE" w:eastAsia="en-US"/>
        </w:rPr>
        <w:t xml:space="preserve"> habrán gotas pequeñas</w:t>
      </w:r>
      <w:r w:rsidR="00673A4A">
        <w:rPr>
          <w:noProof/>
          <w:szCs w:val="24"/>
          <w:lang w:val="es-VE" w:eastAsia="en-US"/>
        </w:rPr>
        <w:t xml:space="preserve"> dispersas</w:t>
      </w:r>
      <w:r w:rsidR="00B40C8B">
        <w:rPr>
          <w:noProof/>
          <w:szCs w:val="24"/>
          <w:lang w:val="es-VE" w:eastAsia="en-US"/>
        </w:rPr>
        <w:t xml:space="preserve"> que no </w:t>
      </w:r>
      <w:r w:rsidR="009E59FD">
        <w:rPr>
          <w:noProof/>
          <w:szCs w:val="24"/>
          <w:lang w:val="es-VE" w:eastAsia="en-US"/>
        </w:rPr>
        <w:t>logran separse, lo cua</w:t>
      </w:r>
      <w:r w:rsidR="005A24BC">
        <w:rPr>
          <w:noProof/>
          <w:szCs w:val="24"/>
          <w:lang w:val="es-VE" w:eastAsia="en-US"/>
        </w:rPr>
        <w:t>l da origen a una distribución de fases en la muestra</w:t>
      </w:r>
      <w:r w:rsidR="009E59FD">
        <w:rPr>
          <w:noProof/>
          <w:szCs w:val="24"/>
          <w:lang w:val="es-VE" w:eastAsia="en-US"/>
        </w:rPr>
        <w:t xml:space="preserve"> (Figura N°</w:t>
      </w:r>
      <w:r w:rsidR="00956E55">
        <w:rPr>
          <w:noProof/>
          <w:szCs w:val="24"/>
          <w:lang w:val="es-VE" w:eastAsia="en-US"/>
        </w:rPr>
        <w:t xml:space="preserve"> 36</w:t>
      </w:r>
      <w:r w:rsidR="009E59FD">
        <w:rPr>
          <w:noProof/>
          <w:szCs w:val="24"/>
          <w:lang w:val="es-VE" w:eastAsia="en-US"/>
        </w:rPr>
        <w:t>)</w:t>
      </w:r>
      <w:r w:rsidR="005A24BC">
        <w:rPr>
          <w:noProof/>
          <w:szCs w:val="24"/>
          <w:lang w:val="es-VE" w:eastAsia="en-US"/>
        </w:rPr>
        <w:t xml:space="preserve">. </w:t>
      </w:r>
    </w:p>
    <w:p w:rsidR="00F2085B" w:rsidRDefault="00A73CD2" w:rsidP="005B43E4">
      <w:pPr>
        <w:tabs>
          <w:tab w:val="left" w:pos="926"/>
          <w:tab w:val="center" w:pos="4680"/>
        </w:tabs>
        <w:spacing w:line="360" w:lineRule="auto"/>
        <w:rPr>
          <w:noProof/>
          <w:sz w:val="20"/>
          <w:lang w:val="es-VE" w:eastAsia="en-US"/>
        </w:rPr>
      </w:pPr>
      <w:r>
        <w:rPr>
          <w:noProof/>
          <w:sz w:val="20"/>
          <w:lang w:val="en-US" w:eastAsia="en-US"/>
        </w:rPr>
        <w:pict>
          <v:shape id="_x0000_s1108" type="#_x0000_t202" style="position:absolute;margin-left:2.5pt;margin-top:69.2pt;width:169.9pt;height:30.2pt;z-index:251660800;mso-height-percent:200;mso-height-percent:200;mso-width-relative:margin;mso-height-relative:margin" filled="f" stroked="f">
            <v:textbox style="mso-next-textbox:#_x0000_s1108;mso-fit-shape-to-text:t">
              <w:txbxContent>
                <w:p w:rsidR="004134A0" w:rsidRDefault="004134A0" w:rsidP="005B43E4">
                  <w:pPr>
                    <w:jc w:val="center"/>
                    <w:rPr>
                      <w:sz w:val="20"/>
                      <w:lang w:val="es-VE"/>
                    </w:rPr>
                  </w:pPr>
                  <w:r w:rsidRPr="005B43E4">
                    <w:rPr>
                      <w:sz w:val="20"/>
                      <w:lang w:val="es-VE"/>
                    </w:rPr>
                    <w:t xml:space="preserve">Flóculos de gotas de agua. </w:t>
                  </w:r>
                </w:p>
                <w:p w:rsidR="004134A0" w:rsidRPr="005B43E4" w:rsidRDefault="004134A0" w:rsidP="005B43E4">
                  <w:pPr>
                    <w:jc w:val="center"/>
                    <w:rPr>
                      <w:sz w:val="20"/>
                      <w:lang w:val="es-VE"/>
                    </w:rPr>
                  </w:pPr>
                  <w:r>
                    <w:rPr>
                      <w:sz w:val="20"/>
                      <w:lang w:val="es-VE"/>
                    </w:rPr>
                    <w:t>(</w:t>
                  </w:r>
                  <w:r w:rsidRPr="005B43E4">
                    <w:rPr>
                      <w:sz w:val="20"/>
                      <w:lang w:val="es-VE"/>
                    </w:rPr>
                    <w:t>Diferentes distribuciones de tamaño</w:t>
                  </w:r>
                  <w:r>
                    <w:rPr>
                      <w:sz w:val="20"/>
                      <w:lang w:val="es-VE"/>
                    </w:rPr>
                    <w:t>)</w:t>
                  </w:r>
                </w:p>
              </w:txbxContent>
            </v:textbox>
          </v:shape>
        </w:pict>
      </w:r>
      <w:r>
        <w:rPr>
          <w:noProof/>
          <w:sz w:val="20"/>
          <w:lang w:val="en-US" w:eastAsia="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7" type="#_x0000_t87" style="position:absolute;margin-left:165.6pt;margin-top:51.6pt;width:14.55pt;height:55pt;z-index:251659776"/>
        </w:pict>
      </w:r>
      <w:r>
        <w:rPr>
          <w:noProof/>
          <w:sz w:val="20"/>
          <w:lang w:val="en-US" w:eastAsia="en-US"/>
        </w:rPr>
        <w:pict>
          <v:shape id="_x0000_s1101" type="#_x0000_t32" style="position:absolute;margin-left:284.95pt;margin-top:55.8pt;width:28.6pt;height:6.05pt;flip:y;z-index:251654656" o:connectortype="straight">
            <v:stroke endarrow="block"/>
          </v:shape>
        </w:pict>
      </w:r>
      <w:r>
        <w:rPr>
          <w:noProof/>
          <w:sz w:val="20"/>
          <w:lang w:val="en-US" w:eastAsia="en-US"/>
        </w:rPr>
        <w:pict>
          <v:shape id="_x0000_s1102" type="#_x0000_t32" style="position:absolute;margin-left:158.05pt;margin-top:99.4pt;width:39.45pt;height:25.9pt;flip:x;z-index:251655680" o:connectortype="straight">
            <v:stroke endarrow="block"/>
          </v:shape>
        </w:pict>
      </w:r>
      <w:r>
        <w:rPr>
          <w:noProof/>
          <w:sz w:val="20"/>
          <w:lang w:val="en-US" w:eastAsia="en-US"/>
        </w:rPr>
        <w:pict>
          <v:shape id="_x0000_s1105" type="#_x0000_t202" style="position:absolute;margin-left:306.7pt;margin-top:44.7pt;width:98.25pt;height:30.2pt;z-index:251657728;mso-height-percent:200;mso-height-percent:200;mso-width-relative:margin;mso-height-relative:margin" filled="f" stroked="f">
            <v:textbox style="mso-next-textbox:#_x0000_s1105;mso-fit-shape-to-text:t">
              <w:txbxContent>
                <w:p w:rsidR="004134A0" w:rsidRPr="005B43E4" w:rsidRDefault="004134A0" w:rsidP="005B43E4">
                  <w:pPr>
                    <w:jc w:val="center"/>
                    <w:rPr>
                      <w:sz w:val="20"/>
                      <w:lang w:val="es-VE"/>
                    </w:rPr>
                  </w:pPr>
                  <w:r w:rsidRPr="005B43E4">
                    <w:rPr>
                      <w:sz w:val="20"/>
                      <w:lang w:val="es-VE"/>
                    </w:rPr>
                    <w:t>Agua emulsionada</w:t>
                  </w:r>
                  <w:r>
                    <w:rPr>
                      <w:sz w:val="20"/>
                      <w:lang w:val="es-VE"/>
                    </w:rPr>
                    <w:t xml:space="preserve"> no separada</w:t>
                  </w:r>
                </w:p>
              </w:txbxContent>
            </v:textbox>
          </v:shape>
        </w:pict>
      </w:r>
      <w:r>
        <w:rPr>
          <w:noProof/>
          <w:sz w:val="20"/>
          <w:lang w:val="en-US" w:eastAsia="en-US"/>
        </w:rPr>
        <w:pict>
          <v:shape id="_x0000_s1106" type="#_x0000_t202" style="position:absolute;margin-left:53pt;margin-top:117.1pt;width:112.6pt;height:30.2pt;z-index:251658752;mso-height-percent:200;mso-height-percent:200;mso-width-relative:margin;mso-height-relative:margin" filled="f" stroked="f">
            <v:textbox style="mso-next-textbox:#_x0000_s1106;mso-fit-shape-to-text:t">
              <w:txbxContent>
                <w:p w:rsidR="004134A0" w:rsidRPr="005B43E4" w:rsidRDefault="004134A0" w:rsidP="005B43E4">
                  <w:pPr>
                    <w:jc w:val="center"/>
                    <w:rPr>
                      <w:sz w:val="20"/>
                      <w:lang w:val="es-VE"/>
                    </w:rPr>
                  </w:pPr>
                  <w:r>
                    <w:rPr>
                      <w:sz w:val="20"/>
                      <w:lang w:val="es-VE"/>
                    </w:rPr>
                    <w:t>Gotas de gran tamaño</w:t>
                  </w:r>
                </w:p>
              </w:txbxContent>
            </v:textbox>
          </v:shape>
        </w:pict>
      </w:r>
      <w:r>
        <w:rPr>
          <w:noProof/>
          <w:sz w:val="20"/>
          <w:lang w:val="en-US" w:eastAsia="en-US"/>
        </w:rPr>
        <w:pict>
          <v:shape id="_x0000_s1110" type="#_x0000_t202" style="position:absolute;margin-left:291.2pt;margin-top:106.6pt;width:98.25pt;height:18.7pt;z-index:251662848;mso-height-percent:200;mso-height-percent:200;mso-width-relative:margin;mso-height-relative:margin" filled="f" stroked="f">
            <v:textbox style="mso-next-textbox:#_x0000_s1110;mso-fit-shape-to-text:t">
              <w:txbxContent>
                <w:p w:rsidR="004134A0" w:rsidRPr="005B43E4" w:rsidRDefault="004134A0" w:rsidP="005B43E4">
                  <w:pPr>
                    <w:jc w:val="center"/>
                    <w:rPr>
                      <w:sz w:val="20"/>
                      <w:lang w:val="es-VE"/>
                    </w:rPr>
                  </w:pPr>
                  <w:r w:rsidRPr="005B43E4">
                    <w:rPr>
                      <w:sz w:val="20"/>
                      <w:lang w:val="es-VE"/>
                    </w:rPr>
                    <w:t>Agua separada</w:t>
                  </w:r>
                </w:p>
              </w:txbxContent>
            </v:textbox>
          </v:shape>
        </w:pict>
      </w:r>
      <w:r>
        <w:rPr>
          <w:noProof/>
          <w:sz w:val="20"/>
          <w:lang w:val="en-US" w:eastAsia="zh-TW"/>
        </w:rPr>
        <w:pict>
          <v:shape id="_x0000_s1104" type="#_x0000_t202" style="position:absolute;margin-left:31.2pt;margin-top:25.55pt;width:141.2pt;height:30.2pt;z-index:251656704;mso-height-percent:200;mso-height-percent:200;mso-width-relative:margin;mso-height-relative:margin" filled="f" stroked="f">
            <v:textbox style="mso-next-textbox:#_x0000_s1104;mso-fit-shape-to-text:t">
              <w:txbxContent>
                <w:p w:rsidR="004134A0" w:rsidRPr="005B43E4" w:rsidRDefault="004134A0" w:rsidP="005B43E4">
                  <w:pPr>
                    <w:jc w:val="center"/>
                    <w:rPr>
                      <w:sz w:val="20"/>
                      <w:lang w:val="es-VE"/>
                    </w:rPr>
                  </w:pPr>
                  <w:r w:rsidRPr="005B43E4">
                    <w:rPr>
                      <w:sz w:val="20"/>
                    </w:rPr>
                    <w:t>Crudo recuperado con bajo contenido de agua</w:t>
                  </w:r>
                </w:p>
              </w:txbxContent>
            </v:textbox>
          </v:shape>
        </w:pict>
      </w:r>
      <w:r>
        <w:rPr>
          <w:noProof/>
          <w:sz w:val="20"/>
          <w:lang w:val="en-US" w:eastAsia="en-US"/>
        </w:rPr>
        <w:pict>
          <v:shape id="_x0000_s1109" type="#_x0000_t32" style="position:absolute;margin-left:271.85pt;margin-top:117.1pt;width:34.85pt;height:0;z-index:251661824" o:connectortype="straight">
            <v:stroke endarrow="block"/>
          </v:shape>
        </w:pict>
      </w:r>
      <w:r w:rsidR="005B43E4">
        <w:rPr>
          <w:noProof/>
          <w:sz w:val="20"/>
          <w:lang w:val="es-VE" w:eastAsia="en-US"/>
        </w:rPr>
        <w:tab/>
      </w:r>
      <w:r w:rsidR="005B43E4">
        <w:rPr>
          <w:noProof/>
          <w:sz w:val="20"/>
          <w:lang w:val="es-VE" w:eastAsia="en-US"/>
        </w:rPr>
        <w:tab/>
      </w:r>
      <w:r>
        <w:rPr>
          <w:noProof/>
          <w:sz w:val="20"/>
          <w:lang w:val="en-US" w:eastAsia="en-US"/>
        </w:rPr>
        <w:pict>
          <v:shape id="_x0000_s1100" type="#_x0000_t32" style="position:absolute;margin-left:158.05pt;margin-top:40.95pt;width:41.8pt;height:0;flip:x;z-index:251653632;mso-position-horizontal-relative:text;mso-position-vertical-relative:text" o:connectortype="straight">
            <v:stroke endarrow="block"/>
          </v:shape>
        </w:pict>
      </w:r>
      <w:r w:rsidR="00A6414E">
        <w:rPr>
          <w:noProof/>
          <w:sz w:val="20"/>
          <w:lang w:val="en-US" w:eastAsia="en-US"/>
        </w:rPr>
        <w:drawing>
          <wp:inline distT="0" distB="0" distL="0" distR="0">
            <wp:extent cx="1573427" cy="1815617"/>
            <wp:effectExtent l="19050" t="0" r="7723" b="0"/>
            <wp:docPr id="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1572686" cy="1814762"/>
                    </a:xfrm>
                    <a:prstGeom prst="rect">
                      <a:avLst/>
                    </a:prstGeom>
                    <a:noFill/>
                    <a:ln w="9525">
                      <a:noFill/>
                      <a:miter lim="800000"/>
                      <a:headEnd/>
                      <a:tailEnd/>
                    </a:ln>
                  </pic:spPr>
                </pic:pic>
              </a:graphicData>
            </a:graphic>
          </wp:inline>
        </w:drawing>
      </w:r>
    </w:p>
    <w:p w:rsidR="00F2085B" w:rsidRDefault="00F2085B" w:rsidP="00320076">
      <w:pPr>
        <w:spacing w:line="360" w:lineRule="auto"/>
        <w:jc w:val="both"/>
        <w:rPr>
          <w:noProof/>
          <w:sz w:val="20"/>
          <w:lang w:val="es-VE" w:eastAsia="en-US"/>
        </w:rPr>
      </w:pPr>
    </w:p>
    <w:p w:rsidR="00966595" w:rsidRDefault="003F4126" w:rsidP="00A275D5">
      <w:pPr>
        <w:pStyle w:val="Epgrafe"/>
        <w:spacing w:line="360" w:lineRule="auto"/>
        <w:rPr>
          <w:noProof/>
          <w:lang w:val="es-VE" w:eastAsia="en-US"/>
        </w:rPr>
      </w:pPr>
      <w:bookmarkStart w:id="146" w:name="_Toc327481448"/>
      <w:r>
        <w:t xml:space="preserve">Figura N° </w:t>
      </w:r>
      <w:fldSimple w:instr=" SEQ Figura_N° \* ARABIC ">
        <w:r w:rsidR="004A5F6F">
          <w:rPr>
            <w:noProof/>
          </w:rPr>
          <w:t>36</w:t>
        </w:r>
      </w:fldSimple>
      <w:r w:rsidR="00313A0B">
        <w:rPr>
          <w:noProof/>
          <w:lang w:val="es-VE" w:eastAsia="en-US"/>
        </w:rPr>
        <w:t xml:space="preserve">: </w:t>
      </w:r>
      <w:r w:rsidR="000C6E45">
        <w:rPr>
          <w:noProof/>
          <w:lang w:val="es-VE" w:eastAsia="en-US"/>
        </w:rPr>
        <w:t>D</w:t>
      </w:r>
      <w:r w:rsidR="00313A0B">
        <w:rPr>
          <w:noProof/>
          <w:lang w:val="es-VE" w:eastAsia="en-US"/>
        </w:rPr>
        <w:t xml:space="preserve">istribución de fases </w:t>
      </w:r>
      <w:r w:rsidR="00E444AD">
        <w:rPr>
          <w:noProof/>
          <w:lang w:val="es-VE" w:eastAsia="en-US"/>
        </w:rPr>
        <w:t xml:space="preserve">en </w:t>
      </w:r>
      <w:r w:rsidR="008C255B">
        <w:rPr>
          <w:noProof/>
          <w:lang w:val="es-VE" w:eastAsia="en-US"/>
        </w:rPr>
        <w:t>los tubos de recolección de muestra luego de aplicado el tratamiento</w:t>
      </w:r>
      <w:r w:rsidR="00313A0B">
        <w:rPr>
          <w:noProof/>
          <w:lang w:val="es-VE" w:eastAsia="en-US"/>
        </w:rPr>
        <w:t>. (a) Campo eléctrico</w:t>
      </w:r>
      <w:r w:rsidR="00DF1901">
        <w:rPr>
          <w:noProof/>
          <w:lang w:val="es-VE" w:eastAsia="en-US"/>
        </w:rPr>
        <w:t xml:space="preserve"> y medio coalescedor</w:t>
      </w:r>
      <w:r w:rsidR="00313A0B">
        <w:rPr>
          <w:noProof/>
          <w:lang w:val="es-VE" w:eastAsia="en-US"/>
        </w:rPr>
        <w:t>. (b) Campo eléctrico</w:t>
      </w:r>
      <w:r w:rsidR="00DF1901">
        <w:rPr>
          <w:noProof/>
          <w:lang w:val="es-VE" w:eastAsia="en-US"/>
        </w:rPr>
        <w:t>, medio coalescedor</w:t>
      </w:r>
      <w:r w:rsidR="00313A0B">
        <w:rPr>
          <w:noProof/>
          <w:lang w:val="es-VE" w:eastAsia="en-US"/>
        </w:rPr>
        <w:t xml:space="preserve"> y centrifugación.</w:t>
      </w:r>
      <w:bookmarkEnd w:id="146"/>
    </w:p>
    <w:p w:rsidR="008F15C5" w:rsidRPr="00E02D7D" w:rsidRDefault="008F15C5" w:rsidP="00F20802">
      <w:pPr>
        <w:spacing w:before="240" w:line="360" w:lineRule="auto"/>
        <w:jc w:val="both"/>
        <w:rPr>
          <w:noProof/>
          <w:szCs w:val="24"/>
          <w:lang w:val="es-VE" w:eastAsia="en-US"/>
        </w:rPr>
      </w:pPr>
      <w:r>
        <w:rPr>
          <w:noProof/>
          <w:sz w:val="20"/>
          <w:lang w:val="es-VE" w:eastAsia="en-US"/>
        </w:rPr>
        <w:lastRenderedPageBreak/>
        <w:tab/>
      </w:r>
      <w:r w:rsidR="008C255B">
        <w:rPr>
          <w:noProof/>
          <w:szCs w:val="24"/>
          <w:lang w:val="es-VE" w:eastAsia="en-US"/>
        </w:rPr>
        <w:t>Sin embargo,</w:t>
      </w:r>
      <w:r w:rsidRPr="00E02D7D">
        <w:rPr>
          <w:noProof/>
          <w:szCs w:val="24"/>
          <w:lang w:val="es-VE" w:eastAsia="en-US"/>
        </w:rPr>
        <w:t xml:space="preserve"> </w:t>
      </w:r>
      <w:r w:rsidR="00A8188B" w:rsidRPr="00E02D7D">
        <w:rPr>
          <w:noProof/>
          <w:szCs w:val="24"/>
          <w:lang w:val="es-VE" w:eastAsia="en-US"/>
        </w:rPr>
        <w:t>no es posible remover la totalidad del agua emulsionada</w:t>
      </w:r>
      <w:r w:rsidR="005A24BC">
        <w:rPr>
          <w:noProof/>
          <w:szCs w:val="24"/>
          <w:lang w:val="es-VE" w:eastAsia="en-US"/>
        </w:rPr>
        <w:t>.</w:t>
      </w:r>
      <w:r w:rsidRPr="00E02D7D">
        <w:rPr>
          <w:noProof/>
          <w:szCs w:val="24"/>
          <w:lang w:val="es-VE" w:eastAsia="en-US"/>
        </w:rPr>
        <w:t xml:space="preserve"> Las pruebas realizadas a </w:t>
      </w:r>
      <w:r w:rsidR="005A24BC">
        <w:rPr>
          <w:noProof/>
          <w:szCs w:val="24"/>
          <w:lang w:val="es-VE" w:eastAsia="en-US"/>
        </w:rPr>
        <w:t>distintos tiempo de residencia</w:t>
      </w:r>
      <w:r w:rsidRPr="00E02D7D">
        <w:rPr>
          <w:noProof/>
          <w:szCs w:val="24"/>
          <w:lang w:val="es-VE" w:eastAsia="en-US"/>
        </w:rPr>
        <w:t xml:space="preserve"> </w:t>
      </w:r>
      <w:r w:rsidR="005A24BC">
        <w:rPr>
          <w:noProof/>
          <w:szCs w:val="24"/>
          <w:lang w:val="es-VE" w:eastAsia="en-US"/>
        </w:rPr>
        <w:t>sugieren que</w:t>
      </w:r>
      <w:r w:rsidRPr="00E02D7D">
        <w:rPr>
          <w:noProof/>
          <w:szCs w:val="24"/>
          <w:lang w:val="es-VE" w:eastAsia="en-US"/>
        </w:rPr>
        <w:t xml:space="preserve"> para lograr </w:t>
      </w:r>
      <w:r w:rsidR="008C255B">
        <w:rPr>
          <w:noProof/>
          <w:szCs w:val="24"/>
          <w:lang w:val="es-VE" w:eastAsia="en-US"/>
        </w:rPr>
        <w:t xml:space="preserve"> la mayor separación </w:t>
      </w:r>
      <w:r w:rsidR="005A24BC">
        <w:rPr>
          <w:noProof/>
          <w:szCs w:val="24"/>
          <w:lang w:val="es-VE" w:eastAsia="en-US"/>
        </w:rPr>
        <w:t xml:space="preserve"> agua</w:t>
      </w:r>
      <w:r w:rsidR="000E01AB">
        <w:rPr>
          <w:noProof/>
          <w:szCs w:val="24"/>
          <w:lang w:val="es-VE" w:eastAsia="en-US"/>
        </w:rPr>
        <w:t>,</w:t>
      </w:r>
      <w:r w:rsidRPr="00E02D7D">
        <w:rPr>
          <w:noProof/>
          <w:szCs w:val="24"/>
          <w:lang w:val="es-VE" w:eastAsia="en-US"/>
        </w:rPr>
        <w:t xml:space="preserve"> la emulsión debe permanecer un tiempo determinado en la celda de aplicación del campo eléctrico</w:t>
      </w:r>
      <w:r w:rsidR="008C255B">
        <w:rPr>
          <w:noProof/>
          <w:szCs w:val="24"/>
          <w:lang w:val="es-VE" w:eastAsia="en-US"/>
        </w:rPr>
        <w:t>.</w:t>
      </w:r>
    </w:p>
    <w:p w:rsidR="00A6160B" w:rsidRDefault="00A8188B" w:rsidP="00A6160B">
      <w:pPr>
        <w:spacing w:line="360" w:lineRule="auto"/>
        <w:jc w:val="both"/>
        <w:rPr>
          <w:noProof/>
          <w:szCs w:val="24"/>
          <w:lang w:val="es-VE" w:eastAsia="en-US"/>
        </w:rPr>
      </w:pPr>
      <w:r w:rsidRPr="00E02D7D">
        <w:rPr>
          <w:noProof/>
          <w:szCs w:val="24"/>
          <w:lang w:val="es-VE" w:eastAsia="en-US"/>
        </w:rPr>
        <w:tab/>
      </w:r>
      <w:r w:rsidR="008C255B">
        <w:rPr>
          <w:noProof/>
          <w:szCs w:val="24"/>
          <w:lang w:val="es-VE" w:eastAsia="en-US"/>
        </w:rPr>
        <w:t>En la figura N°</w:t>
      </w:r>
      <w:r w:rsidR="00956E55">
        <w:rPr>
          <w:noProof/>
          <w:szCs w:val="24"/>
          <w:lang w:val="es-VE" w:eastAsia="en-US"/>
        </w:rPr>
        <w:t xml:space="preserve"> 35</w:t>
      </w:r>
      <w:r w:rsidR="005F15C8">
        <w:rPr>
          <w:noProof/>
          <w:szCs w:val="24"/>
          <w:lang w:val="es-VE" w:eastAsia="en-US"/>
        </w:rPr>
        <w:t>,</w:t>
      </w:r>
      <w:r w:rsidR="00956E55">
        <w:rPr>
          <w:noProof/>
          <w:szCs w:val="24"/>
          <w:lang w:val="es-VE" w:eastAsia="en-US"/>
        </w:rPr>
        <w:t xml:space="preserve"> se observa que</w:t>
      </w:r>
      <w:r w:rsidR="005F15C8">
        <w:rPr>
          <w:noProof/>
          <w:szCs w:val="24"/>
          <w:lang w:val="es-VE" w:eastAsia="en-US"/>
        </w:rPr>
        <w:t xml:space="preserve"> l</w:t>
      </w:r>
      <w:r w:rsidR="00183D18">
        <w:rPr>
          <w:noProof/>
          <w:szCs w:val="24"/>
          <w:lang w:val="es-VE" w:eastAsia="en-US"/>
        </w:rPr>
        <w:t>a</w:t>
      </w:r>
      <w:r w:rsidRPr="00E02D7D">
        <w:rPr>
          <w:noProof/>
          <w:szCs w:val="24"/>
          <w:lang w:val="es-VE" w:eastAsia="en-US"/>
        </w:rPr>
        <w:t xml:space="preserve"> cantidad de agua </w:t>
      </w:r>
      <w:r w:rsidR="008C255B">
        <w:rPr>
          <w:noProof/>
          <w:szCs w:val="24"/>
          <w:lang w:val="es-VE" w:eastAsia="en-US"/>
        </w:rPr>
        <w:t>recuperada</w:t>
      </w:r>
      <w:r w:rsidRPr="00E02D7D">
        <w:rPr>
          <w:noProof/>
          <w:szCs w:val="24"/>
          <w:lang w:val="es-VE" w:eastAsia="en-US"/>
        </w:rPr>
        <w:t xml:space="preserve"> varió </w:t>
      </w:r>
      <w:r w:rsidR="008C255B">
        <w:rPr>
          <w:noProof/>
          <w:szCs w:val="24"/>
          <w:lang w:val="es-VE" w:eastAsia="en-US"/>
        </w:rPr>
        <w:t>en función de</w:t>
      </w:r>
      <w:r w:rsidRPr="00E02D7D">
        <w:rPr>
          <w:noProof/>
          <w:szCs w:val="24"/>
          <w:lang w:val="es-VE" w:eastAsia="en-US"/>
        </w:rPr>
        <w:t>l medio coalescedor utilizado</w:t>
      </w:r>
      <w:r w:rsidR="008C255B">
        <w:rPr>
          <w:noProof/>
          <w:szCs w:val="24"/>
          <w:lang w:val="es-VE" w:eastAsia="en-US"/>
        </w:rPr>
        <w:t>. Para la experiencias en las cuales no se incluyó un medio coalescedor</w:t>
      </w:r>
      <w:r w:rsidR="00334C5C">
        <w:rPr>
          <w:noProof/>
          <w:szCs w:val="24"/>
          <w:lang w:val="es-VE" w:eastAsia="en-US"/>
        </w:rPr>
        <w:t>,</w:t>
      </w:r>
      <w:r w:rsidR="008C255B">
        <w:rPr>
          <w:noProof/>
          <w:szCs w:val="24"/>
          <w:lang w:val="es-VE" w:eastAsia="en-US"/>
        </w:rPr>
        <w:t xml:space="preserve"> se observó agua separada luego decentrifugar las muestras. </w:t>
      </w:r>
      <w:r w:rsidR="008C255B">
        <w:rPr>
          <w:noProof/>
          <w:szCs w:val="24"/>
          <w:lang w:val="es-VE" w:eastAsia="en-US"/>
        </w:rPr>
        <w:tab/>
      </w:r>
    </w:p>
    <w:p w:rsidR="00A6160B" w:rsidRPr="00C757AD" w:rsidRDefault="00A6160B" w:rsidP="00A6160B">
      <w:pPr>
        <w:spacing w:after="240" w:line="360" w:lineRule="auto"/>
        <w:jc w:val="both"/>
        <w:rPr>
          <w:noProof/>
          <w:szCs w:val="24"/>
          <w:lang w:val="es-VE" w:eastAsia="en-US"/>
        </w:rPr>
      </w:pPr>
      <w:r>
        <w:rPr>
          <w:noProof/>
          <w:szCs w:val="24"/>
          <w:lang w:val="es-VE" w:eastAsia="en-US"/>
        </w:rPr>
        <w:tab/>
      </w:r>
      <w:r w:rsidR="008C255B">
        <w:rPr>
          <w:noProof/>
          <w:szCs w:val="24"/>
          <w:lang w:val="es-VE" w:eastAsia="en-US"/>
        </w:rPr>
        <w:t>La</w:t>
      </w:r>
      <w:r>
        <w:rPr>
          <w:noProof/>
          <w:szCs w:val="24"/>
          <w:lang w:val="es-VE" w:eastAsia="en-US"/>
        </w:rPr>
        <w:t xml:space="preserve"> p</w:t>
      </w:r>
      <w:r w:rsidR="000C2009" w:rsidRPr="00E02D7D">
        <w:rPr>
          <w:noProof/>
          <w:szCs w:val="24"/>
          <w:lang w:val="es-VE" w:eastAsia="en-US"/>
        </w:rPr>
        <w:t xml:space="preserve">resencia de un medio coalescedor </w:t>
      </w:r>
      <w:r w:rsidR="007A10DA" w:rsidRPr="00E02D7D">
        <w:rPr>
          <w:noProof/>
          <w:szCs w:val="24"/>
          <w:lang w:val="es-VE" w:eastAsia="en-US"/>
        </w:rPr>
        <w:t xml:space="preserve">en la celda representa una restricción al flujo, </w:t>
      </w:r>
      <w:r w:rsidR="00334C5C">
        <w:rPr>
          <w:noProof/>
          <w:szCs w:val="24"/>
          <w:lang w:val="es-VE" w:eastAsia="en-US"/>
        </w:rPr>
        <w:t>por lo que</w:t>
      </w:r>
      <w:r w:rsidR="005A24BC">
        <w:rPr>
          <w:noProof/>
          <w:szCs w:val="24"/>
          <w:lang w:val="es-VE" w:eastAsia="en-US"/>
        </w:rPr>
        <w:t xml:space="preserve"> la caída de presión de la emulsión a lo largo del sistema es</w:t>
      </w:r>
      <w:r w:rsidR="007A10DA" w:rsidRPr="00E02D7D">
        <w:rPr>
          <w:noProof/>
          <w:szCs w:val="24"/>
          <w:lang w:val="es-VE" w:eastAsia="en-US"/>
        </w:rPr>
        <w:t xml:space="preserve"> mucho mayor cuando se incluye un medio coalescedor </w:t>
      </w:r>
      <w:r w:rsidR="005F15C8">
        <w:rPr>
          <w:noProof/>
          <w:szCs w:val="24"/>
          <w:lang w:val="es-VE" w:eastAsia="en-US"/>
        </w:rPr>
        <w:t xml:space="preserve">en comparación con la que </w:t>
      </w:r>
      <w:r w:rsidR="007A10DA" w:rsidRPr="00E02D7D">
        <w:rPr>
          <w:noProof/>
          <w:szCs w:val="24"/>
          <w:lang w:val="es-VE" w:eastAsia="en-US"/>
        </w:rPr>
        <w:t>se obtendría en ausencia de</w:t>
      </w:r>
      <w:r w:rsidR="005F15C8">
        <w:rPr>
          <w:noProof/>
          <w:szCs w:val="24"/>
          <w:lang w:val="es-VE" w:eastAsia="en-US"/>
        </w:rPr>
        <w:t xml:space="preserve">l </w:t>
      </w:r>
      <w:r w:rsidR="008C255B">
        <w:rPr>
          <w:noProof/>
          <w:szCs w:val="24"/>
          <w:lang w:val="es-VE" w:eastAsia="en-US"/>
        </w:rPr>
        <w:t>este</w:t>
      </w:r>
      <w:r w:rsidR="007A10DA" w:rsidRPr="00E02D7D">
        <w:rPr>
          <w:noProof/>
          <w:szCs w:val="24"/>
          <w:lang w:val="es-VE" w:eastAsia="en-US"/>
        </w:rPr>
        <w:t xml:space="preserve">. </w:t>
      </w:r>
      <w:r w:rsidR="008C255B">
        <w:rPr>
          <w:noProof/>
          <w:szCs w:val="24"/>
          <w:lang w:val="es-VE" w:eastAsia="en-US"/>
        </w:rPr>
        <w:t>La caída de presión en el sistema afecta principalmente el tiempo de residencia de la emulsión</w:t>
      </w:r>
      <w:r>
        <w:rPr>
          <w:noProof/>
          <w:szCs w:val="24"/>
          <w:lang w:val="es-VE" w:eastAsia="en-US"/>
        </w:rPr>
        <w:t xml:space="preserve"> lo cual repercute en la cantidad de agua recuperada, es decir, a mayor tiempo de residencia mejor es la recuperación y viceversa. Sin embargo, no se obtiene la misma recuperación se utilizan medios coalescedores distintos a un mismo tiempo de residencia. Esto puede apreciarse cuando se comparan los valores de recuperación de agua obtenidos cuando se emplea esferas de vidrio y esferas de polietileno (Tabla N°</w:t>
      </w:r>
      <w:r w:rsidR="0005538D">
        <w:rPr>
          <w:noProof/>
          <w:szCs w:val="24"/>
          <w:lang w:val="es-VE" w:eastAsia="en-US"/>
        </w:rPr>
        <w:t xml:space="preserve"> 6</w:t>
      </w:r>
      <w:r>
        <w:rPr>
          <w:noProof/>
          <w:szCs w:val="24"/>
          <w:lang w:val="es-VE" w:eastAsia="en-US"/>
        </w:rPr>
        <w:t xml:space="preserve">) ya que ambas experiencias presentaron los mismos tiempos de residencia más no la misma separación. Consíderese para esto que la </w:t>
      </w:r>
      <w:r w:rsidRPr="00C757AD">
        <w:rPr>
          <w:noProof/>
          <w:szCs w:val="24"/>
          <w:lang w:val="es-VE" w:eastAsia="en-US"/>
        </w:rPr>
        <w:t xml:space="preserve">constitución geométrica </w:t>
      </w:r>
      <w:r>
        <w:rPr>
          <w:noProof/>
          <w:szCs w:val="24"/>
          <w:lang w:val="es-VE" w:eastAsia="en-US"/>
        </w:rPr>
        <w:t>y la fracción de vacío de cada material es similar;</w:t>
      </w:r>
      <w:r w:rsidRPr="00C757AD">
        <w:rPr>
          <w:noProof/>
          <w:szCs w:val="24"/>
          <w:lang w:val="es-VE" w:eastAsia="en-US"/>
        </w:rPr>
        <w:t xml:space="preserve"> 0,52 para el polietileno y 0,56 para esferas de vidr</w:t>
      </w:r>
      <w:r>
        <w:rPr>
          <w:noProof/>
          <w:szCs w:val="24"/>
          <w:lang w:val="es-VE" w:eastAsia="en-US"/>
        </w:rPr>
        <w:t xml:space="preserve">io. </w:t>
      </w:r>
    </w:p>
    <w:p w:rsidR="00334C5C" w:rsidRDefault="0005538D" w:rsidP="0005538D">
      <w:pPr>
        <w:pStyle w:val="Epgrafe"/>
        <w:rPr>
          <w:noProof/>
          <w:lang w:val="es-VE" w:eastAsia="en-US"/>
        </w:rPr>
      </w:pPr>
      <w:bookmarkStart w:id="147" w:name="_Toc325636320"/>
      <w:r>
        <w:t xml:space="preserve">Tabla N° </w:t>
      </w:r>
      <w:fldSimple w:instr=" SEQ Tabla_N° \* ARABIC ">
        <w:r w:rsidR="004A5F6F">
          <w:rPr>
            <w:noProof/>
          </w:rPr>
          <w:t>6</w:t>
        </w:r>
      </w:fldSimple>
      <w:r w:rsidR="00334C5C">
        <w:rPr>
          <w:noProof/>
          <w:lang w:val="es-VE" w:eastAsia="en-US"/>
        </w:rPr>
        <w:t xml:space="preserve">: Agua recuperada (% v/v). Material coalescedor: </w:t>
      </w:r>
      <w:r w:rsidR="0082261F">
        <w:rPr>
          <w:noProof/>
          <w:lang w:val="es-VE" w:eastAsia="en-US"/>
        </w:rPr>
        <w:t>Esferas de polietileno</w:t>
      </w:r>
      <w:r w:rsidR="00334C5C">
        <w:rPr>
          <w:noProof/>
          <w:lang w:val="es-VE" w:eastAsia="en-US"/>
        </w:rPr>
        <w:t xml:space="preserve"> y esfereas de vidrio.</w:t>
      </w:r>
      <w:bookmarkEnd w:id="147"/>
    </w:p>
    <w:tbl>
      <w:tblPr>
        <w:tblW w:w="8479" w:type="dxa"/>
        <w:jc w:val="center"/>
        <w:tblInd w:w="392" w:type="dxa"/>
        <w:tblLook w:val="04A0"/>
      </w:tblPr>
      <w:tblGrid>
        <w:gridCol w:w="2089"/>
        <w:gridCol w:w="2160"/>
        <w:gridCol w:w="1260"/>
        <w:gridCol w:w="2970"/>
      </w:tblGrid>
      <w:tr w:rsidR="00C757AD" w:rsidRPr="00C757AD" w:rsidTr="008C255B">
        <w:trPr>
          <w:trHeight w:val="315"/>
          <w:jc w:val="center"/>
        </w:trPr>
        <w:tc>
          <w:tcPr>
            <w:tcW w:w="20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57AD" w:rsidRPr="008C255B" w:rsidRDefault="00C757AD" w:rsidP="00A6160B">
            <w:pPr>
              <w:jc w:val="center"/>
              <w:rPr>
                <w:b/>
                <w:bCs/>
                <w:color w:val="000000"/>
                <w:sz w:val="20"/>
                <w:lang w:val="es-VE" w:eastAsia="en-US"/>
              </w:rPr>
            </w:pPr>
            <w:r w:rsidRPr="008C255B">
              <w:rPr>
                <w:b/>
                <w:bCs/>
                <w:color w:val="000000"/>
                <w:sz w:val="20"/>
                <w:lang w:val="es-VE" w:eastAsia="en-US"/>
              </w:rPr>
              <w:t>Tiempo de residencia</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57AD" w:rsidRPr="008C255B" w:rsidRDefault="00C757AD" w:rsidP="00C757AD">
            <w:pPr>
              <w:jc w:val="center"/>
              <w:rPr>
                <w:b/>
                <w:bCs/>
                <w:color w:val="000000"/>
                <w:sz w:val="20"/>
                <w:lang w:val="es-VE" w:eastAsia="en-US"/>
              </w:rPr>
            </w:pPr>
            <w:r w:rsidRPr="008C255B">
              <w:rPr>
                <w:b/>
                <w:bCs/>
                <w:color w:val="000000"/>
                <w:sz w:val="20"/>
                <w:lang w:val="es-VE" w:eastAsia="en-US"/>
              </w:rPr>
              <w:t>Material coalescedor</w:t>
            </w:r>
          </w:p>
        </w:tc>
        <w:tc>
          <w:tcPr>
            <w:tcW w:w="4230" w:type="dxa"/>
            <w:gridSpan w:val="2"/>
            <w:tcBorders>
              <w:top w:val="single" w:sz="4" w:space="0" w:color="auto"/>
              <w:left w:val="nil"/>
              <w:bottom w:val="single" w:sz="4" w:space="0" w:color="auto"/>
              <w:right w:val="single" w:sz="4" w:space="0" w:color="auto"/>
            </w:tcBorders>
            <w:shd w:val="clear" w:color="auto" w:fill="auto"/>
            <w:noWrap/>
            <w:vAlign w:val="bottom"/>
            <w:hideMark/>
          </w:tcPr>
          <w:p w:rsidR="00C757AD" w:rsidRPr="008C255B" w:rsidRDefault="00C757AD" w:rsidP="00334C5C">
            <w:pPr>
              <w:jc w:val="center"/>
              <w:rPr>
                <w:b/>
                <w:bCs/>
                <w:color w:val="000000"/>
                <w:sz w:val="20"/>
                <w:lang w:val="es-VE" w:eastAsia="en-US"/>
              </w:rPr>
            </w:pPr>
            <w:r w:rsidRPr="008C255B">
              <w:rPr>
                <w:b/>
                <w:bCs/>
                <w:color w:val="000000"/>
                <w:sz w:val="20"/>
                <w:lang w:val="es-VE" w:eastAsia="en-US"/>
              </w:rPr>
              <w:t xml:space="preserve">Agua recuperada (% </w:t>
            </w:r>
            <w:r w:rsidR="00334C5C" w:rsidRPr="008C255B">
              <w:rPr>
                <w:b/>
                <w:bCs/>
                <w:color w:val="000000"/>
                <w:sz w:val="20"/>
                <w:lang w:val="es-VE" w:eastAsia="en-US"/>
              </w:rPr>
              <w:t>v</w:t>
            </w:r>
            <w:r w:rsidRPr="008C255B">
              <w:rPr>
                <w:b/>
                <w:bCs/>
                <w:color w:val="000000"/>
                <w:sz w:val="20"/>
                <w:lang w:val="es-VE" w:eastAsia="en-US"/>
              </w:rPr>
              <w:t>/v)</w:t>
            </w:r>
          </w:p>
        </w:tc>
      </w:tr>
      <w:tr w:rsidR="00C757AD" w:rsidRPr="00C757AD" w:rsidTr="008C255B">
        <w:trPr>
          <w:trHeight w:val="330"/>
          <w:jc w:val="center"/>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C757AD" w:rsidRPr="008C255B" w:rsidRDefault="00C757AD" w:rsidP="00C757AD">
            <w:pPr>
              <w:rPr>
                <w:b/>
                <w:bCs/>
                <w:color w:val="000000"/>
                <w:sz w:val="20"/>
                <w:lang w:val="es-VE" w:eastAsia="en-US"/>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757AD" w:rsidRPr="008C255B" w:rsidRDefault="00C757AD" w:rsidP="00C757AD">
            <w:pPr>
              <w:rPr>
                <w:b/>
                <w:bCs/>
                <w:color w:val="000000"/>
                <w:sz w:val="20"/>
                <w:lang w:val="es-VE" w:eastAsia="en-US"/>
              </w:rPr>
            </w:pPr>
          </w:p>
        </w:tc>
        <w:tc>
          <w:tcPr>
            <w:tcW w:w="1260" w:type="dxa"/>
            <w:tcBorders>
              <w:top w:val="nil"/>
              <w:left w:val="nil"/>
              <w:bottom w:val="nil"/>
              <w:right w:val="single" w:sz="4" w:space="0" w:color="auto"/>
            </w:tcBorders>
            <w:shd w:val="clear" w:color="auto" w:fill="auto"/>
            <w:noWrap/>
            <w:vAlign w:val="bottom"/>
            <w:hideMark/>
          </w:tcPr>
          <w:p w:rsidR="00C757AD" w:rsidRPr="008C255B" w:rsidRDefault="00C757AD" w:rsidP="00C757AD">
            <w:pPr>
              <w:rPr>
                <w:b/>
                <w:bCs/>
                <w:color w:val="000000"/>
                <w:sz w:val="20"/>
                <w:lang w:val="es-VE" w:eastAsia="en-US"/>
              </w:rPr>
            </w:pPr>
            <w:r w:rsidRPr="008C255B">
              <w:rPr>
                <w:b/>
                <w:bCs/>
                <w:color w:val="000000"/>
                <w:sz w:val="20"/>
                <w:lang w:val="es-VE" w:eastAsia="en-US"/>
              </w:rPr>
              <w:t>Campo DC</w:t>
            </w:r>
          </w:p>
        </w:tc>
        <w:tc>
          <w:tcPr>
            <w:tcW w:w="2970" w:type="dxa"/>
            <w:tcBorders>
              <w:top w:val="single" w:sz="4" w:space="0" w:color="auto"/>
              <w:left w:val="nil"/>
              <w:bottom w:val="nil"/>
              <w:right w:val="single" w:sz="4" w:space="0" w:color="auto"/>
            </w:tcBorders>
            <w:shd w:val="clear" w:color="auto" w:fill="auto"/>
            <w:noWrap/>
            <w:vAlign w:val="bottom"/>
            <w:hideMark/>
          </w:tcPr>
          <w:p w:rsidR="00C757AD" w:rsidRPr="008C255B" w:rsidRDefault="00C757AD" w:rsidP="00C757AD">
            <w:pPr>
              <w:jc w:val="center"/>
              <w:rPr>
                <w:b/>
                <w:bCs/>
                <w:color w:val="000000"/>
                <w:sz w:val="20"/>
                <w:lang w:val="es-VE" w:eastAsia="en-US"/>
              </w:rPr>
            </w:pPr>
            <w:r w:rsidRPr="008C255B">
              <w:rPr>
                <w:b/>
                <w:bCs/>
                <w:color w:val="000000"/>
                <w:sz w:val="20"/>
                <w:lang w:val="es-VE" w:eastAsia="en-US"/>
              </w:rPr>
              <w:t>Campo DC + Centrifugación</w:t>
            </w:r>
          </w:p>
        </w:tc>
      </w:tr>
      <w:tr w:rsidR="00C757AD" w:rsidRPr="00C757AD" w:rsidTr="008C255B">
        <w:trPr>
          <w:trHeight w:val="315"/>
          <w:jc w:val="center"/>
        </w:trPr>
        <w:tc>
          <w:tcPr>
            <w:tcW w:w="208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C757AD" w:rsidRPr="008C255B" w:rsidRDefault="00C757AD" w:rsidP="00C757AD">
            <w:pPr>
              <w:jc w:val="center"/>
              <w:rPr>
                <w:color w:val="000000"/>
                <w:sz w:val="20"/>
                <w:lang w:val="es-VE" w:eastAsia="en-US"/>
              </w:rPr>
            </w:pPr>
            <w:r w:rsidRPr="008C255B">
              <w:rPr>
                <w:color w:val="000000"/>
                <w:sz w:val="20"/>
                <w:lang w:val="es-VE" w:eastAsia="en-US"/>
              </w:rPr>
              <w:t>Bajo</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rsidR="00C757AD" w:rsidRPr="008C255B" w:rsidRDefault="008C255B" w:rsidP="008C255B">
            <w:pPr>
              <w:jc w:val="center"/>
              <w:rPr>
                <w:color w:val="000000"/>
                <w:sz w:val="20"/>
                <w:lang w:val="es-VE" w:eastAsia="en-US"/>
              </w:rPr>
            </w:pPr>
            <w:r>
              <w:rPr>
                <w:color w:val="000000"/>
                <w:sz w:val="20"/>
                <w:lang w:val="es-VE" w:eastAsia="en-US"/>
              </w:rPr>
              <w:t>Esferas de p</w:t>
            </w:r>
            <w:r w:rsidR="00C757AD" w:rsidRPr="008C255B">
              <w:rPr>
                <w:color w:val="000000"/>
                <w:sz w:val="20"/>
                <w:lang w:val="es-VE" w:eastAsia="en-US"/>
              </w:rPr>
              <w:t>olietileno</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C757AD" w:rsidRPr="008C255B" w:rsidRDefault="00C757AD" w:rsidP="00C757AD">
            <w:pPr>
              <w:jc w:val="center"/>
              <w:rPr>
                <w:color w:val="000000"/>
                <w:sz w:val="20"/>
                <w:lang w:val="es-VE" w:eastAsia="en-US"/>
              </w:rPr>
            </w:pPr>
            <w:r w:rsidRPr="008C255B">
              <w:rPr>
                <w:color w:val="000000"/>
                <w:sz w:val="20"/>
                <w:lang w:val="es-VE" w:eastAsia="en-US"/>
              </w:rPr>
              <w:t>41</w:t>
            </w:r>
          </w:p>
        </w:tc>
        <w:tc>
          <w:tcPr>
            <w:tcW w:w="2970" w:type="dxa"/>
            <w:tcBorders>
              <w:top w:val="single" w:sz="8" w:space="0" w:color="auto"/>
              <w:left w:val="nil"/>
              <w:bottom w:val="single" w:sz="4" w:space="0" w:color="auto"/>
              <w:right w:val="single" w:sz="8" w:space="0" w:color="000000"/>
            </w:tcBorders>
            <w:shd w:val="clear" w:color="auto" w:fill="auto"/>
            <w:noWrap/>
            <w:vAlign w:val="bottom"/>
            <w:hideMark/>
          </w:tcPr>
          <w:p w:rsidR="00C757AD" w:rsidRPr="008C255B" w:rsidRDefault="00C757AD" w:rsidP="00C757AD">
            <w:pPr>
              <w:jc w:val="center"/>
              <w:rPr>
                <w:color w:val="000000"/>
                <w:sz w:val="20"/>
                <w:lang w:val="es-VE" w:eastAsia="en-US"/>
              </w:rPr>
            </w:pPr>
            <w:r w:rsidRPr="008C255B">
              <w:rPr>
                <w:color w:val="000000"/>
                <w:sz w:val="20"/>
                <w:lang w:val="es-VE" w:eastAsia="en-US"/>
              </w:rPr>
              <w:t>92</w:t>
            </w:r>
          </w:p>
        </w:tc>
      </w:tr>
      <w:tr w:rsidR="00C757AD" w:rsidRPr="00C757AD" w:rsidTr="008C255B">
        <w:trPr>
          <w:trHeight w:val="330"/>
          <w:jc w:val="center"/>
        </w:trPr>
        <w:tc>
          <w:tcPr>
            <w:tcW w:w="2089" w:type="dxa"/>
            <w:vMerge/>
            <w:tcBorders>
              <w:top w:val="single" w:sz="8" w:space="0" w:color="auto"/>
              <w:left w:val="single" w:sz="8" w:space="0" w:color="auto"/>
              <w:bottom w:val="single" w:sz="8" w:space="0" w:color="000000"/>
              <w:right w:val="single" w:sz="4" w:space="0" w:color="auto"/>
            </w:tcBorders>
            <w:vAlign w:val="center"/>
            <w:hideMark/>
          </w:tcPr>
          <w:p w:rsidR="00C757AD" w:rsidRPr="008C255B" w:rsidRDefault="00C757AD" w:rsidP="00C757AD">
            <w:pPr>
              <w:rPr>
                <w:color w:val="000000"/>
                <w:sz w:val="20"/>
                <w:lang w:val="es-VE" w:eastAsia="en-US"/>
              </w:rPr>
            </w:pP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C757AD" w:rsidRPr="008C255B" w:rsidRDefault="00C757AD" w:rsidP="00C757AD">
            <w:pPr>
              <w:jc w:val="center"/>
              <w:rPr>
                <w:color w:val="000000"/>
                <w:sz w:val="20"/>
                <w:lang w:val="es-VE" w:eastAsia="en-US"/>
              </w:rPr>
            </w:pPr>
            <w:r w:rsidRPr="008C255B">
              <w:rPr>
                <w:color w:val="000000"/>
                <w:sz w:val="20"/>
                <w:lang w:val="es-VE" w:eastAsia="en-US"/>
              </w:rPr>
              <w:t>Esferas de vidrio</w:t>
            </w:r>
          </w:p>
        </w:tc>
        <w:tc>
          <w:tcPr>
            <w:tcW w:w="1260" w:type="dxa"/>
            <w:tcBorders>
              <w:top w:val="nil"/>
              <w:left w:val="nil"/>
              <w:bottom w:val="single" w:sz="8" w:space="0" w:color="auto"/>
              <w:right w:val="single" w:sz="4" w:space="0" w:color="auto"/>
            </w:tcBorders>
            <w:shd w:val="clear" w:color="auto" w:fill="auto"/>
            <w:noWrap/>
            <w:vAlign w:val="bottom"/>
            <w:hideMark/>
          </w:tcPr>
          <w:p w:rsidR="00C757AD" w:rsidRPr="008C255B" w:rsidRDefault="00C757AD" w:rsidP="00C757AD">
            <w:pPr>
              <w:jc w:val="center"/>
              <w:rPr>
                <w:color w:val="000000"/>
                <w:sz w:val="20"/>
                <w:lang w:val="es-VE" w:eastAsia="en-US"/>
              </w:rPr>
            </w:pPr>
            <w:r w:rsidRPr="008C255B">
              <w:rPr>
                <w:color w:val="000000"/>
                <w:sz w:val="20"/>
                <w:lang w:val="es-VE" w:eastAsia="en-US"/>
              </w:rPr>
              <w:t>27</w:t>
            </w:r>
          </w:p>
        </w:tc>
        <w:tc>
          <w:tcPr>
            <w:tcW w:w="2970" w:type="dxa"/>
            <w:tcBorders>
              <w:top w:val="single" w:sz="4" w:space="0" w:color="auto"/>
              <w:left w:val="nil"/>
              <w:bottom w:val="single" w:sz="8" w:space="0" w:color="auto"/>
              <w:right w:val="single" w:sz="8" w:space="0" w:color="000000"/>
            </w:tcBorders>
            <w:shd w:val="clear" w:color="auto" w:fill="auto"/>
            <w:noWrap/>
            <w:vAlign w:val="bottom"/>
            <w:hideMark/>
          </w:tcPr>
          <w:p w:rsidR="00C757AD" w:rsidRPr="008C255B" w:rsidRDefault="00C757AD" w:rsidP="00C757AD">
            <w:pPr>
              <w:jc w:val="center"/>
              <w:rPr>
                <w:color w:val="000000"/>
                <w:sz w:val="20"/>
                <w:lang w:val="es-VE" w:eastAsia="en-US"/>
              </w:rPr>
            </w:pPr>
            <w:r w:rsidRPr="008C255B">
              <w:rPr>
                <w:color w:val="000000"/>
                <w:sz w:val="20"/>
                <w:lang w:val="es-VE" w:eastAsia="en-US"/>
              </w:rPr>
              <w:t>65</w:t>
            </w:r>
          </w:p>
        </w:tc>
      </w:tr>
      <w:tr w:rsidR="008C255B" w:rsidRPr="00C757AD" w:rsidTr="008C255B">
        <w:trPr>
          <w:trHeight w:val="315"/>
          <w:jc w:val="center"/>
        </w:trPr>
        <w:tc>
          <w:tcPr>
            <w:tcW w:w="20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255B" w:rsidRPr="008C255B" w:rsidRDefault="008C255B" w:rsidP="00C757AD">
            <w:pPr>
              <w:jc w:val="center"/>
              <w:rPr>
                <w:color w:val="000000"/>
                <w:sz w:val="20"/>
                <w:lang w:val="es-VE" w:eastAsia="en-US"/>
              </w:rPr>
            </w:pPr>
            <w:r w:rsidRPr="008C255B">
              <w:rPr>
                <w:color w:val="000000"/>
                <w:sz w:val="20"/>
                <w:lang w:val="es-VE" w:eastAsia="en-US"/>
              </w:rPr>
              <w:t>Intermedio</w:t>
            </w:r>
          </w:p>
        </w:tc>
        <w:tc>
          <w:tcPr>
            <w:tcW w:w="2160" w:type="dxa"/>
            <w:tcBorders>
              <w:top w:val="nil"/>
              <w:left w:val="nil"/>
              <w:bottom w:val="single" w:sz="4" w:space="0" w:color="auto"/>
              <w:right w:val="single" w:sz="4" w:space="0" w:color="auto"/>
            </w:tcBorders>
            <w:shd w:val="clear" w:color="auto" w:fill="auto"/>
            <w:noWrap/>
            <w:vAlign w:val="bottom"/>
            <w:hideMark/>
          </w:tcPr>
          <w:p w:rsidR="008C255B" w:rsidRPr="008C255B" w:rsidRDefault="008C255B" w:rsidP="000C1AF4">
            <w:pPr>
              <w:jc w:val="center"/>
              <w:rPr>
                <w:color w:val="000000"/>
                <w:sz w:val="20"/>
                <w:lang w:val="es-VE" w:eastAsia="en-US"/>
              </w:rPr>
            </w:pPr>
            <w:r>
              <w:rPr>
                <w:color w:val="000000"/>
                <w:sz w:val="20"/>
                <w:lang w:val="es-VE" w:eastAsia="en-US"/>
              </w:rPr>
              <w:t>Esferas de p</w:t>
            </w:r>
            <w:r w:rsidRPr="008C255B">
              <w:rPr>
                <w:color w:val="000000"/>
                <w:sz w:val="20"/>
                <w:lang w:val="es-VE" w:eastAsia="en-US"/>
              </w:rPr>
              <w:t>olietileno</w:t>
            </w:r>
          </w:p>
        </w:tc>
        <w:tc>
          <w:tcPr>
            <w:tcW w:w="1260" w:type="dxa"/>
            <w:tcBorders>
              <w:top w:val="nil"/>
              <w:left w:val="nil"/>
              <w:bottom w:val="single" w:sz="4" w:space="0" w:color="auto"/>
              <w:right w:val="single" w:sz="4" w:space="0" w:color="auto"/>
            </w:tcBorders>
            <w:shd w:val="clear" w:color="auto" w:fill="auto"/>
            <w:noWrap/>
            <w:vAlign w:val="bottom"/>
            <w:hideMark/>
          </w:tcPr>
          <w:p w:rsidR="008C255B" w:rsidRPr="008C255B" w:rsidRDefault="008C255B" w:rsidP="00C757AD">
            <w:pPr>
              <w:jc w:val="center"/>
              <w:rPr>
                <w:color w:val="000000"/>
                <w:sz w:val="20"/>
                <w:lang w:val="es-VE" w:eastAsia="en-US"/>
              </w:rPr>
            </w:pPr>
            <w:r w:rsidRPr="008C255B">
              <w:rPr>
                <w:color w:val="000000"/>
                <w:sz w:val="20"/>
                <w:lang w:val="es-VE" w:eastAsia="en-US"/>
              </w:rPr>
              <w:t>27</w:t>
            </w:r>
          </w:p>
        </w:tc>
        <w:tc>
          <w:tcPr>
            <w:tcW w:w="2970" w:type="dxa"/>
            <w:tcBorders>
              <w:top w:val="nil"/>
              <w:left w:val="nil"/>
              <w:bottom w:val="single" w:sz="4" w:space="0" w:color="auto"/>
              <w:right w:val="single" w:sz="4" w:space="0" w:color="auto"/>
            </w:tcBorders>
            <w:shd w:val="clear" w:color="auto" w:fill="auto"/>
            <w:noWrap/>
            <w:vAlign w:val="bottom"/>
            <w:hideMark/>
          </w:tcPr>
          <w:p w:rsidR="008C255B" w:rsidRPr="008C255B" w:rsidRDefault="008C255B" w:rsidP="00C757AD">
            <w:pPr>
              <w:jc w:val="center"/>
              <w:rPr>
                <w:color w:val="000000"/>
                <w:sz w:val="20"/>
                <w:lang w:val="es-VE" w:eastAsia="en-US"/>
              </w:rPr>
            </w:pPr>
            <w:r w:rsidRPr="008C255B">
              <w:rPr>
                <w:color w:val="000000"/>
                <w:sz w:val="20"/>
                <w:lang w:val="es-VE" w:eastAsia="en-US"/>
              </w:rPr>
              <w:t>65</w:t>
            </w:r>
          </w:p>
        </w:tc>
      </w:tr>
      <w:tr w:rsidR="008C255B" w:rsidRPr="00C757AD" w:rsidTr="008C255B">
        <w:trPr>
          <w:trHeight w:val="330"/>
          <w:jc w:val="center"/>
        </w:trPr>
        <w:tc>
          <w:tcPr>
            <w:tcW w:w="2089" w:type="dxa"/>
            <w:vMerge/>
            <w:tcBorders>
              <w:top w:val="nil"/>
              <w:left w:val="single" w:sz="4" w:space="0" w:color="auto"/>
              <w:bottom w:val="single" w:sz="4" w:space="0" w:color="auto"/>
              <w:right w:val="single" w:sz="4" w:space="0" w:color="auto"/>
            </w:tcBorders>
            <w:vAlign w:val="center"/>
            <w:hideMark/>
          </w:tcPr>
          <w:p w:rsidR="008C255B" w:rsidRPr="008C255B" w:rsidRDefault="008C255B" w:rsidP="00C757AD">
            <w:pPr>
              <w:rPr>
                <w:color w:val="000000"/>
                <w:sz w:val="20"/>
                <w:lang w:val="es-VE" w:eastAsia="en-US"/>
              </w:rPr>
            </w:pPr>
          </w:p>
        </w:tc>
        <w:tc>
          <w:tcPr>
            <w:tcW w:w="2160" w:type="dxa"/>
            <w:tcBorders>
              <w:top w:val="single" w:sz="4" w:space="0" w:color="auto"/>
              <w:left w:val="nil"/>
              <w:bottom w:val="nil"/>
              <w:right w:val="single" w:sz="4" w:space="0" w:color="auto"/>
            </w:tcBorders>
            <w:shd w:val="clear" w:color="auto" w:fill="auto"/>
            <w:noWrap/>
            <w:vAlign w:val="bottom"/>
            <w:hideMark/>
          </w:tcPr>
          <w:p w:rsidR="008C255B" w:rsidRPr="008C255B" w:rsidRDefault="008C255B" w:rsidP="00C757AD">
            <w:pPr>
              <w:jc w:val="center"/>
              <w:rPr>
                <w:color w:val="000000"/>
                <w:sz w:val="20"/>
                <w:lang w:val="es-VE" w:eastAsia="en-US"/>
              </w:rPr>
            </w:pPr>
            <w:r w:rsidRPr="008C255B">
              <w:rPr>
                <w:color w:val="000000"/>
                <w:sz w:val="20"/>
                <w:lang w:val="es-VE" w:eastAsia="en-US"/>
              </w:rPr>
              <w:t>Esferas de vidrio</w:t>
            </w:r>
          </w:p>
        </w:tc>
        <w:tc>
          <w:tcPr>
            <w:tcW w:w="1260" w:type="dxa"/>
            <w:tcBorders>
              <w:top w:val="nil"/>
              <w:left w:val="nil"/>
              <w:bottom w:val="nil"/>
              <w:right w:val="single" w:sz="4" w:space="0" w:color="auto"/>
            </w:tcBorders>
            <w:shd w:val="clear" w:color="auto" w:fill="auto"/>
            <w:noWrap/>
            <w:vAlign w:val="bottom"/>
            <w:hideMark/>
          </w:tcPr>
          <w:p w:rsidR="008C255B" w:rsidRPr="008C255B" w:rsidRDefault="008C255B" w:rsidP="00C757AD">
            <w:pPr>
              <w:jc w:val="center"/>
              <w:rPr>
                <w:color w:val="000000"/>
                <w:sz w:val="20"/>
                <w:lang w:val="es-VE" w:eastAsia="en-US"/>
              </w:rPr>
            </w:pPr>
            <w:r w:rsidRPr="008C255B">
              <w:rPr>
                <w:color w:val="000000"/>
                <w:sz w:val="20"/>
                <w:lang w:val="es-VE" w:eastAsia="en-US"/>
              </w:rPr>
              <w:t>16</w:t>
            </w:r>
          </w:p>
        </w:tc>
        <w:tc>
          <w:tcPr>
            <w:tcW w:w="2970" w:type="dxa"/>
            <w:tcBorders>
              <w:top w:val="single" w:sz="4" w:space="0" w:color="auto"/>
              <w:left w:val="nil"/>
              <w:bottom w:val="nil"/>
              <w:right w:val="single" w:sz="4" w:space="0" w:color="auto"/>
            </w:tcBorders>
            <w:shd w:val="clear" w:color="auto" w:fill="auto"/>
            <w:noWrap/>
            <w:vAlign w:val="bottom"/>
            <w:hideMark/>
          </w:tcPr>
          <w:p w:rsidR="008C255B" w:rsidRPr="008C255B" w:rsidRDefault="008C255B" w:rsidP="00C757AD">
            <w:pPr>
              <w:jc w:val="center"/>
              <w:rPr>
                <w:color w:val="000000"/>
                <w:sz w:val="20"/>
                <w:lang w:val="es-VE" w:eastAsia="en-US"/>
              </w:rPr>
            </w:pPr>
            <w:r w:rsidRPr="008C255B">
              <w:rPr>
                <w:color w:val="000000"/>
                <w:sz w:val="20"/>
                <w:lang w:val="es-VE" w:eastAsia="en-US"/>
              </w:rPr>
              <w:t>38</w:t>
            </w:r>
          </w:p>
        </w:tc>
      </w:tr>
      <w:tr w:rsidR="008C255B" w:rsidRPr="00C757AD" w:rsidTr="008C255B">
        <w:trPr>
          <w:trHeight w:val="315"/>
          <w:jc w:val="center"/>
        </w:trPr>
        <w:tc>
          <w:tcPr>
            <w:tcW w:w="208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255B" w:rsidRPr="008C255B" w:rsidRDefault="008C255B" w:rsidP="00C757AD">
            <w:pPr>
              <w:jc w:val="center"/>
              <w:rPr>
                <w:color w:val="000000"/>
                <w:sz w:val="20"/>
                <w:lang w:val="es-VE" w:eastAsia="en-US"/>
              </w:rPr>
            </w:pPr>
            <w:r w:rsidRPr="008C255B">
              <w:rPr>
                <w:color w:val="000000"/>
                <w:sz w:val="20"/>
                <w:lang w:val="es-VE" w:eastAsia="en-US"/>
              </w:rPr>
              <w:t>Alto</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rsidR="008C255B" w:rsidRPr="008C255B" w:rsidRDefault="008C255B" w:rsidP="000C1AF4">
            <w:pPr>
              <w:jc w:val="center"/>
              <w:rPr>
                <w:color w:val="000000"/>
                <w:sz w:val="20"/>
                <w:lang w:val="es-VE" w:eastAsia="en-US"/>
              </w:rPr>
            </w:pPr>
            <w:r>
              <w:rPr>
                <w:color w:val="000000"/>
                <w:sz w:val="20"/>
                <w:lang w:val="es-VE" w:eastAsia="en-US"/>
              </w:rPr>
              <w:t>Esferas de p</w:t>
            </w:r>
            <w:r w:rsidRPr="008C255B">
              <w:rPr>
                <w:color w:val="000000"/>
                <w:sz w:val="20"/>
                <w:lang w:val="es-VE" w:eastAsia="en-US"/>
              </w:rPr>
              <w:t>olietileno</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8C255B" w:rsidRPr="008C255B" w:rsidRDefault="008C255B" w:rsidP="00C757AD">
            <w:pPr>
              <w:jc w:val="center"/>
              <w:rPr>
                <w:color w:val="000000"/>
                <w:sz w:val="20"/>
                <w:lang w:val="es-VE" w:eastAsia="en-US"/>
              </w:rPr>
            </w:pPr>
            <w:r w:rsidRPr="008C255B">
              <w:rPr>
                <w:color w:val="000000"/>
                <w:sz w:val="20"/>
                <w:lang w:val="es-VE" w:eastAsia="en-US"/>
              </w:rPr>
              <w:t>3</w:t>
            </w:r>
          </w:p>
        </w:tc>
        <w:tc>
          <w:tcPr>
            <w:tcW w:w="2970" w:type="dxa"/>
            <w:tcBorders>
              <w:top w:val="single" w:sz="8" w:space="0" w:color="auto"/>
              <w:left w:val="nil"/>
              <w:bottom w:val="single" w:sz="4" w:space="0" w:color="auto"/>
              <w:right w:val="single" w:sz="8" w:space="0" w:color="000000"/>
            </w:tcBorders>
            <w:shd w:val="clear" w:color="auto" w:fill="auto"/>
            <w:noWrap/>
            <w:vAlign w:val="bottom"/>
            <w:hideMark/>
          </w:tcPr>
          <w:p w:rsidR="008C255B" w:rsidRPr="008C255B" w:rsidRDefault="008C255B" w:rsidP="00C757AD">
            <w:pPr>
              <w:jc w:val="center"/>
              <w:rPr>
                <w:color w:val="000000"/>
                <w:sz w:val="20"/>
                <w:lang w:val="es-VE" w:eastAsia="en-US"/>
              </w:rPr>
            </w:pPr>
            <w:r w:rsidRPr="008C255B">
              <w:rPr>
                <w:color w:val="000000"/>
                <w:sz w:val="20"/>
                <w:lang w:val="es-VE" w:eastAsia="en-US"/>
              </w:rPr>
              <w:t>24</w:t>
            </w:r>
          </w:p>
        </w:tc>
      </w:tr>
      <w:tr w:rsidR="008C255B" w:rsidRPr="00C757AD" w:rsidTr="008C255B">
        <w:trPr>
          <w:trHeight w:val="330"/>
          <w:jc w:val="center"/>
        </w:trPr>
        <w:tc>
          <w:tcPr>
            <w:tcW w:w="2089" w:type="dxa"/>
            <w:vMerge/>
            <w:tcBorders>
              <w:top w:val="single" w:sz="8" w:space="0" w:color="auto"/>
              <w:left w:val="single" w:sz="8" w:space="0" w:color="auto"/>
              <w:bottom w:val="single" w:sz="8" w:space="0" w:color="000000"/>
              <w:right w:val="single" w:sz="4" w:space="0" w:color="auto"/>
            </w:tcBorders>
            <w:vAlign w:val="center"/>
            <w:hideMark/>
          </w:tcPr>
          <w:p w:rsidR="008C255B" w:rsidRPr="008C255B" w:rsidRDefault="008C255B" w:rsidP="00C757AD">
            <w:pPr>
              <w:rPr>
                <w:color w:val="000000"/>
                <w:sz w:val="20"/>
                <w:lang w:val="es-VE" w:eastAsia="en-US"/>
              </w:rPr>
            </w:pP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8C255B" w:rsidRPr="008C255B" w:rsidRDefault="008C255B" w:rsidP="00C757AD">
            <w:pPr>
              <w:jc w:val="center"/>
              <w:rPr>
                <w:color w:val="000000"/>
                <w:sz w:val="20"/>
                <w:lang w:val="es-VE" w:eastAsia="en-US"/>
              </w:rPr>
            </w:pPr>
            <w:r w:rsidRPr="008C255B">
              <w:rPr>
                <w:color w:val="000000"/>
                <w:sz w:val="20"/>
                <w:lang w:val="es-VE" w:eastAsia="en-US"/>
              </w:rPr>
              <w:t>Esferas de vidrio</w:t>
            </w:r>
          </w:p>
        </w:tc>
        <w:tc>
          <w:tcPr>
            <w:tcW w:w="1260" w:type="dxa"/>
            <w:tcBorders>
              <w:top w:val="nil"/>
              <w:left w:val="nil"/>
              <w:bottom w:val="single" w:sz="8" w:space="0" w:color="auto"/>
              <w:right w:val="single" w:sz="4" w:space="0" w:color="auto"/>
            </w:tcBorders>
            <w:shd w:val="clear" w:color="auto" w:fill="auto"/>
            <w:noWrap/>
            <w:vAlign w:val="bottom"/>
            <w:hideMark/>
          </w:tcPr>
          <w:p w:rsidR="008C255B" w:rsidRPr="008C255B" w:rsidRDefault="008C255B" w:rsidP="00C757AD">
            <w:pPr>
              <w:jc w:val="center"/>
              <w:rPr>
                <w:color w:val="000000"/>
                <w:sz w:val="20"/>
                <w:lang w:val="es-VE" w:eastAsia="en-US"/>
              </w:rPr>
            </w:pPr>
            <w:r w:rsidRPr="008C255B">
              <w:rPr>
                <w:color w:val="000000"/>
                <w:sz w:val="20"/>
                <w:lang w:val="es-VE" w:eastAsia="en-US"/>
              </w:rPr>
              <w:t>3</w:t>
            </w:r>
          </w:p>
        </w:tc>
        <w:tc>
          <w:tcPr>
            <w:tcW w:w="2970" w:type="dxa"/>
            <w:tcBorders>
              <w:top w:val="single" w:sz="4" w:space="0" w:color="auto"/>
              <w:left w:val="nil"/>
              <w:bottom w:val="single" w:sz="8" w:space="0" w:color="auto"/>
              <w:right w:val="single" w:sz="8" w:space="0" w:color="000000"/>
            </w:tcBorders>
            <w:shd w:val="clear" w:color="auto" w:fill="auto"/>
            <w:noWrap/>
            <w:vAlign w:val="bottom"/>
            <w:hideMark/>
          </w:tcPr>
          <w:p w:rsidR="008C255B" w:rsidRPr="008C255B" w:rsidRDefault="008C255B" w:rsidP="00C757AD">
            <w:pPr>
              <w:jc w:val="center"/>
              <w:rPr>
                <w:color w:val="000000"/>
                <w:sz w:val="20"/>
                <w:lang w:val="es-VE" w:eastAsia="en-US"/>
              </w:rPr>
            </w:pPr>
            <w:r w:rsidRPr="008C255B">
              <w:rPr>
                <w:color w:val="000000"/>
                <w:sz w:val="20"/>
                <w:lang w:val="es-VE" w:eastAsia="en-US"/>
              </w:rPr>
              <w:t>19</w:t>
            </w:r>
          </w:p>
        </w:tc>
      </w:tr>
    </w:tbl>
    <w:p w:rsidR="00C757AD" w:rsidRPr="00C757AD" w:rsidRDefault="00C757AD" w:rsidP="00334C5C">
      <w:pPr>
        <w:spacing w:before="240" w:line="360" w:lineRule="auto"/>
        <w:jc w:val="both"/>
        <w:rPr>
          <w:noProof/>
          <w:szCs w:val="24"/>
          <w:lang w:val="es-VE" w:eastAsia="en-US"/>
        </w:rPr>
      </w:pPr>
      <w:r>
        <w:rPr>
          <w:noProof/>
          <w:szCs w:val="24"/>
          <w:lang w:val="es-VE" w:eastAsia="en-US"/>
        </w:rPr>
        <w:lastRenderedPageBreak/>
        <w:tab/>
      </w:r>
    </w:p>
    <w:p w:rsidR="004E6045" w:rsidRDefault="00C757AD" w:rsidP="00320076">
      <w:pPr>
        <w:spacing w:line="360" w:lineRule="auto"/>
        <w:jc w:val="both"/>
        <w:rPr>
          <w:noProof/>
          <w:szCs w:val="24"/>
          <w:lang w:val="es-VE" w:eastAsia="en-US"/>
        </w:rPr>
      </w:pPr>
      <w:r>
        <w:rPr>
          <w:noProof/>
          <w:szCs w:val="24"/>
          <w:lang w:val="es-VE" w:eastAsia="en-US"/>
        </w:rPr>
        <w:tab/>
      </w:r>
      <w:r w:rsidR="004E6045">
        <w:rPr>
          <w:noProof/>
          <w:szCs w:val="24"/>
          <w:lang w:val="es-VE" w:eastAsia="en-US"/>
        </w:rPr>
        <w:t>En la tabla N°</w:t>
      </w:r>
      <w:r w:rsidR="00956E55">
        <w:rPr>
          <w:noProof/>
          <w:szCs w:val="24"/>
          <w:lang w:val="es-VE" w:eastAsia="en-US"/>
        </w:rPr>
        <w:t xml:space="preserve"> 6</w:t>
      </w:r>
      <w:r w:rsidR="004E6045">
        <w:rPr>
          <w:noProof/>
          <w:szCs w:val="24"/>
          <w:lang w:val="es-VE" w:eastAsia="en-US"/>
        </w:rPr>
        <w:t xml:space="preserve"> se observa que, para un tiempos de residencia similares, la mejor recuperación se obtiene logra cuando se emplea el polietileno como medio coalescedor.  </w:t>
      </w:r>
    </w:p>
    <w:p w:rsidR="00277D71" w:rsidRDefault="00463F32" w:rsidP="00320076">
      <w:pPr>
        <w:spacing w:line="360" w:lineRule="auto"/>
        <w:jc w:val="both"/>
        <w:rPr>
          <w:noProof/>
          <w:szCs w:val="24"/>
          <w:lang w:val="es-VE" w:eastAsia="en-US"/>
        </w:rPr>
      </w:pPr>
      <w:r>
        <w:rPr>
          <w:noProof/>
          <w:szCs w:val="24"/>
          <w:lang w:val="es-VE" w:eastAsia="en-US"/>
        </w:rPr>
        <w:tab/>
        <w:t>P</w:t>
      </w:r>
      <w:r w:rsidR="00277D71">
        <w:rPr>
          <w:noProof/>
          <w:szCs w:val="24"/>
          <w:lang w:val="es-VE" w:eastAsia="en-US"/>
        </w:rPr>
        <w:t>or otro lado, si se comparan los tubos de recolección de las muestras tratadas con campo eléctrico y centrifugación para esferas de vidrio y anillos de vidrio,</w:t>
      </w:r>
      <w:r w:rsidR="008E0879">
        <w:rPr>
          <w:noProof/>
          <w:szCs w:val="24"/>
          <w:lang w:val="es-VE" w:eastAsia="en-US"/>
        </w:rPr>
        <w:t xml:space="preserve"> dos medios coalescedores de igual material pero de diferentes geometrías,</w:t>
      </w:r>
      <w:r w:rsidR="00277D71">
        <w:rPr>
          <w:noProof/>
          <w:szCs w:val="24"/>
          <w:lang w:val="es-VE" w:eastAsia="en-US"/>
        </w:rPr>
        <w:t xml:space="preserve"> se observa lo siguiente:</w:t>
      </w:r>
    </w:p>
    <w:p w:rsidR="008A5573" w:rsidRPr="00C42EBF" w:rsidRDefault="008A5573" w:rsidP="008A5573">
      <w:pPr>
        <w:autoSpaceDE w:val="0"/>
        <w:autoSpaceDN w:val="0"/>
        <w:adjustRightInd w:val="0"/>
        <w:rPr>
          <w:b/>
          <w:noProof/>
          <w:szCs w:val="24"/>
          <w:lang w:val="es-VE" w:eastAsia="en-US"/>
        </w:rPr>
      </w:pPr>
      <w:r w:rsidRPr="00C42EBF">
        <w:rPr>
          <w:b/>
          <w:noProof/>
          <w:szCs w:val="24"/>
          <w:lang w:val="es-VE" w:eastAsia="en-US"/>
        </w:rPr>
        <w:t xml:space="preserve">          τ </w:t>
      </w:r>
      <w:r w:rsidRPr="00C42EBF">
        <w:rPr>
          <w:b/>
          <w:noProof/>
          <w:szCs w:val="24"/>
          <w:vertAlign w:val="subscript"/>
          <w:lang w:val="es-VE" w:eastAsia="en-US"/>
        </w:rPr>
        <w:t>1</w:t>
      </w:r>
      <w:r w:rsidRPr="00C42EBF">
        <w:rPr>
          <w:b/>
          <w:noProof/>
          <w:szCs w:val="24"/>
          <w:lang w:val="es-VE" w:eastAsia="en-US"/>
        </w:rPr>
        <w:t xml:space="preserve">       </w:t>
      </w:r>
      <w:r w:rsidRPr="00C42EBF">
        <w:rPr>
          <w:rFonts w:eastAsia="Calibri"/>
          <w:b/>
          <w:szCs w:val="24"/>
          <w:lang w:val="es-VE" w:eastAsia="en-US"/>
        </w:rPr>
        <w:t xml:space="preserve">&lt; </w:t>
      </w:r>
      <w:r w:rsidRPr="00C42EBF">
        <w:rPr>
          <w:b/>
          <w:noProof/>
          <w:szCs w:val="24"/>
          <w:lang w:val="es-VE" w:eastAsia="en-US"/>
        </w:rPr>
        <w:t xml:space="preserve">       τ </w:t>
      </w:r>
      <w:r w:rsidRPr="00C42EBF">
        <w:rPr>
          <w:b/>
          <w:noProof/>
          <w:szCs w:val="24"/>
          <w:vertAlign w:val="subscript"/>
          <w:lang w:val="es-VE" w:eastAsia="en-US"/>
        </w:rPr>
        <w:t>2</w:t>
      </w:r>
      <w:r w:rsidRPr="00C42EBF">
        <w:rPr>
          <w:b/>
          <w:noProof/>
          <w:szCs w:val="24"/>
          <w:lang w:val="es-VE" w:eastAsia="en-US"/>
        </w:rPr>
        <w:t xml:space="preserve">       </w:t>
      </w:r>
      <w:r w:rsidR="008E0879" w:rsidRPr="00C42EBF">
        <w:rPr>
          <w:b/>
          <w:noProof/>
          <w:szCs w:val="24"/>
          <w:lang w:val="es-VE" w:eastAsia="en-US"/>
        </w:rPr>
        <w:t xml:space="preserve"> </w:t>
      </w:r>
      <w:r w:rsidRPr="00C42EBF">
        <w:rPr>
          <w:rFonts w:eastAsia="Calibri"/>
          <w:b/>
          <w:szCs w:val="24"/>
          <w:lang w:val="es-VE" w:eastAsia="en-US"/>
        </w:rPr>
        <w:t>&lt;</w:t>
      </w:r>
      <w:r w:rsidRPr="00C42EBF">
        <w:rPr>
          <w:b/>
          <w:noProof/>
          <w:szCs w:val="24"/>
          <w:lang w:val="es-VE" w:eastAsia="en-US"/>
        </w:rPr>
        <w:t xml:space="preserve">        τ </w:t>
      </w:r>
      <w:r w:rsidRPr="00C42EBF">
        <w:rPr>
          <w:b/>
          <w:noProof/>
          <w:szCs w:val="24"/>
          <w:vertAlign w:val="subscript"/>
          <w:lang w:val="es-VE" w:eastAsia="en-US"/>
        </w:rPr>
        <w:t>3</w:t>
      </w:r>
      <w:r>
        <w:rPr>
          <w:noProof/>
          <w:szCs w:val="24"/>
          <w:lang w:val="es-VE" w:eastAsia="en-US"/>
        </w:rPr>
        <w:tab/>
        <w:t xml:space="preserve">                      </w:t>
      </w:r>
      <w:r w:rsidRPr="00C42EBF">
        <w:rPr>
          <w:b/>
          <w:noProof/>
          <w:szCs w:val="24"/>
          <w:lang w:val="es-VE" w:eastAsia="en-US"/>
        </w:rPr>
        <w:t xml:space="preserve">τ </w:t>
      </w:r>
      <w:r w:rsidRPr="00C42EBF">
        <w:rPr>
          <w:b/>
          <w:noProof/>
          <w:szCs w:val="24"/>
          <w:vertAlign w:val="subscript"/>
          <w:lang w:val="es-VE" w:eastAsia="en-US"/>
        </w:rPr>
        <w:t>1</w:t>
      </w:r>
      <w:r w:rsidRPr="00C42EBF">
        <w:rPr>
          <w:b/>
          <w:noProof/>
          <w:szCs w:val="24"/>
          <w:lang w:val="es-VE" w:eastAsia="en-US"/>
        </w:rPr>
        <w:t xml:space="preserve">        </w:t>
      </w:r>
      <w:r w:rsidRPr="00C42EBF">
        <w:rPr>
          <w:rFonts w:eastAsia="Calibri"/>
          <w:b/>
          <w:szCs w:val="24"/>
          <w:lang w:val="es-VE" w:eastAsia="en-US"/>
        </w:rPr>
        <w:t>&lt;</w:t>
      </w:r>
      <w:r w:rsidRPr="00C42EBF">
        <w:rPr>
          <w:b/>
          <w:noProof/>
          <w:szCs w:val="24"/>
          <w:lang w:val="es-VE" w:eastAsia="en-US"/>
        </w:rPr>
        <w:t xml:space="preserve">       τ </w:t>
      </w:r>
      <w:r w:rsidRPr="00C42EBF">
        <w:rPr>
          <w:b/>
          <w:noProof/>
          <w:szCs w:val="24"/>
          <w:vertAlign w:val="subscript"/>
          <w:lang w:val="es-VE" w:eastAsia="en-US"/>
        </w:rPr>
        <w:t>2</w:t>
      </w:r>
      <w:r w:rsidRPr="00C42EBF">
        <w:rPr>
          <w:b/>
          <w:noProof/>
          <w:szCs w:val="24"/>
          <w:lang w:val="es-VE" w:eastAsia="en-US"/>
        </w:rPr>
        <w:t xml:space="preserve">        </w:t>
      </w:r>
      <w:r w:rsidRPr="00C42EBF">
        <w:rPr>
          <w:rFonts w:eastAsia="Calibri"/>
          <w:b/>
          <w:szCs w:val="24"/>
          <w:lang w:val="es-VE" w:eastAsia="en-US"/>
        </w:rPr>
        <w:t>&lt;</w:t>
      </w:r>
      <w:r w:rsidRPr="00C42EBF">
        <w:rPr>
          <w:b/>
          <w:noProof/>
          <w:szCs w:val="24"/>
          <w:lang w:val="es-VE" w:eastAsia="en-US"/>
        </w:rPr>
        <w:t xml:space="preserve">        τ </w:t>
      </w:r>
      <w:r w:rsidRPr="00C42EBF">
        <w:rPr>
          <w:b/>
          <w:noProof/>
          <w:szCs w:val="24"/>
          <w:vertAlign w:val="subscript"/>
          <w:lang w:val="es-VE" w:eastAsia="en-US"/>
        </w:rPr>
        <w:t>3</w:t>
      </w:r>
    </w:p>
    <w:p w:rsidR="00463F32" w:rsidRDefault="00463F32" w:rsidP="00320076">
      <w:pPr>
        <w:spacing w:line="360" w:lineRule="auto"/>
        <w:jc w:val="both"/>
        <w:rPr>
          <w:noProof/>
          <w:szCs w:val="24"/>
          <w:lang w:val="es-VE" w:eastAsia="en-US"/>
        </w:rPr>
      </w:pPr>
      <w:r>
        <w:rPr>
          <w:noProof/>
          <w:szCs w:val="24"/>
          <w:lang w:val="en-US" w:eastAsia="en-US"/>
        </w:rPr>
        <w:drawing>
          <wp:inline distT="0" distB="0" distL="0" distR="0">
            <wp:extent cx="5247640" cy="1304290"/>
            <wp:effectExtent l="19050" t="0" r="0" b="0"/>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5247640" cy="1304290"/>
                    </a:xfrm>
                    <a:prstGeom prst="rect">
                      <a:avLst/>
                    </a:prstGeom>
                    <a:noFill/>
                    <a:ln w="9525">
                      <a:noFill/>
                      <a:miter lim="800000"/>
                      <a:headEnd/>
                      <a:tailEnd/>
                    </a:ln>
                  </pic:spPr>
                </pic:pic>
              </a:graphicData>
            </a:graphic>
          </wp:inline>
        </w:drawing>
      </w:r>
    </w:p>
    <w:p w:rsidR="00277D71" w:rsidRPr="00277D71" w:rsidRDefault="00277D71" w:rsidP="00463F32">
      <w:pPr>
        <w:pStyle w:val="Prrafodelista"/>
        <w:numPr>
          <w:ilvl w:val="0"/>
          <w:numId w:val="4"/>
        </w:numPr>
        <w:spacing w:line="360" w:lineRule="auto"/>
        <w:ind w:left="1890" w:firstLine="0"/>
        <w:jc w:val="both"/>
        <w:rPr>
          <w:noProof/>
          <w:szCs w:val="24"/>
          <w:lang w:val="es-VE" w:eastAsia="en-US"/>
        </w:rPr>
      </w:pPr>
      <w:r>
        <w:rPr>
          <w:noProof/>
          <w:szCs w:val="24"/>
          <w:lang w:val="es-VE" w:eastAsia="en-US"/>
        </w:rPr>
        <w:t xml:space="preserve">                                                           </w:t>
      </w:r>
      <w:r w:rsidR="00463F32">
        <w:rPr>
          <w:noProof/>
          <w:szCs w:val="24"/>
          <w:lang w:val="es-VE" w:eastAsia="en-US"/>
        </w:rPr>
        <w:t xml:space="preserve">        </w:t>
      </w:r>
      <w:r>
        <w:rPr>
          <w:noProof/>
          <w:szCs w:val="24"/>
          <w:lang w:val="es-VE" w:eastAsia="en-US"/>
        </w:rPr>
        <w:t>(b)</w:t>
      </w:r>
    </w:p>
    <w:p w:rsidR="00913CCE" w:rsidRPr="00913CCE" w:rsidRDefault="00A275D5" w:rsidP="00A275D5">
      <w:pPr>
        <w:pStyle w:val="Epgrafe"/>
        <w:spacing w:line="360" w:lineRule="auto"/>
        <w:rPr>
          <w:lang w:val="es-VE"/>
        </w:rPr>
      </w:pPr>
      <w:bookmarkStart w:id="148" w:name="_Toc327481449"/>
      <w:r>
        <w:t xml:space="preserve">Figura N° </w:t>
      </w:r>
      <w:fldSimple w:instr=" SEQ Figura_N° \* ARABIC ">
        <w:r w:rsidR="004A5F6F">
          <w:rPr>
            <w:noProof/>
          </w:rPr>
          <w:t>37</w:t>
        </w:r>
      </w:fldSimple>
      <w:r w:rsidR="003439DD">
        <w:rPr>
          <w:noProof/>
          <w:lang w:val="es-VE" w:eastAsia="en-US"/>
        </w:rPr>
        <w:t xml:space="preserve">: Separación obtenida empleando como medios </w:t>
      </w:r>
      <w:r w:rsidR="00995F9A">
        <w:rPr>
          <w:noProof/>
          <w:lang w:val="es-VE" w:eastAsia="en-US"/>
        </w:rPr>
        <w:t xml:space="preserve">coalescedores esferas de vidrio y </w:t>
      </w:r>
      <w:r w:rsidR="00277D71">
        <w:rPr>
          <w:noProof/>
          <w:lang w:val="es-VE" w:eastAsia="en-US"/>
        </w:rPr>
        <w:t>anillos de vidrio</w:t>
      </w:r>
      <w:r w:rsidR="00995F9A">
        <w:rPr>
          <w:noProof/>
          <w:lang w:val="es-VE" w:eastAsia="en-US"/>
        </w:rPr>
        <w:t xml:space="preserve"> a </w:t>
      </w:r>
      <w:r w:rsidR="00913CCE">
        <w:rPr>
          <w:noProof/>
          <w:lang w:val="es-VE" w:eastAsia="en-US"/>
        </w:rPr>
        <w:t>tres diferentes tiempo de residencia</w:t>
      </w:r>
      <w:r w:rsidR="00995F9A">
        <w:rPr>
          <w:noProof/>
          <w:lang w:val="es-VE" w:eastAsia="en-US"/>
        </w:rPr>
        <w:t xml:space="preserve">. Campo DC y </w:t>
      </w:r>
      <w:r w:rsidR="00995F9A" w:rsidRPr="00913CCE">
        <w:rPr>
          <w:noProof/>
          <w:lang w:val="es-VE" w:eastAsia="en-US"/>
        </w:rPr>
        <w:t>centrifugación.</w:t>
      </w:r>
      <w:r w:rsidR="00913CCE" w:rsidRPr="00913CCE">
        <w:rPr>
          <w:noProof/>
          <w:lang w:val="es-VE" w:eastAsia="en-US"/>
        </w:rPr>
        <w:t xml:space="preserve"> (a) </w:t>
      </w:r>
      <w:r w:rsidR="00913CCE" w:rsidRPr="00913CCE">
        <w:rPr>
          <w:lang w:val="es-VE"/>
        </w:rPr>
        <w:t xml:space="preserve">Esferas de vidrio. (b) </w:t>
      </w:r>
      <w:r w:rsidR="00913CCE" w:rsidRPr="00913CCE">
        <w:t>Anillos de vidrio.</w:t>
      </w:r>
      <w:bookmarkEnd w:id="148"/>
    </w:p>
    <w:p w:rsidR="007B1AFD" w:rsidRPr="00E02D7D" w:rsidRDefault="00995F9A" w:rsidP="00334C5C">
      <w:pPr>
        <w:spacing w:before="240" w:line="360" w:lineRule="auto"/>
        <w:jc w:val="both"/>
        <w:rPr>
          <w:noProof/>
          <w:szCs w:val="24"/>
          <w:lang w:val="es-VE" w:eastAsia="en-US"/>
        </w:rPr>
      </w:pPr>
      <w:r>
        <w:rPr>
          <w:noProof/>
          <w:sz w:val="20"/>
          <w:lang w:val="es-VE" w:eastAsia="en-US"/>
        </w:rPr>
        <w:tab/>
      </w:r>
      <w:r w:rsidRPr="00E02D7D">
        <w:rPr>
          <w:noProof/>
          <w:szCs w:val="24"/>
          <w:lang w:val="es-VE" w:eastAsia="en-US"/>
        </w:rPr>
        <w:t>En la figura anterior puede notarse claramente que el agua recuperada</w:t>
      </w:r>
      <w:r w:rsidR="008E0879">
        <w:rPr>
          <w:noProof/>
          <w:szCs w:val="24"/>
          <w:lang w:val="es-VE" w:eastAsia="en-US"/>
        </w:rPr>
        <w:t xml:space="preserve"> cuando se emplean esferas de vidrio como material coalescedor</w:t>
      </w:r>
      <w:r w:rsidRPr="00E02D7D">
        <w:rPr>
          <w:noProof/>
          <w:szCs w:val="24"/>
          <w:lang w:val="es-VE" w:eastAsia="en-US"/>
        </w:rPr>
        <w:t xml:space="preserve">, presenta </w:t>
      </w:r>
      <w:r w:rsidR="00183D18">
        <w:rPr>
          <w:noProof/>
          <w:szCs w:val="24"/>
          <w:lang w:val="es-VE" w:eastAsia="en-US"/>
        </w:rPr>
        <w:t>una</w:t>
      </w:r>
      <w:r w:rsidRPr="00E02D7D">
        <w:rPr>
          <w:noProof/>
          <w:szCs w:val="24"/>
          <w:lang w:val="es-VE" w:eastAsia="en-US"/>
        </w:rPr>
        <w:t xml:space="preserve"> coloración marrón mientras que para </w:t>
      </w:r>
      <w:r w:rsidR="008E0879">
        <w:rPr>
          <w:noProof/>
          <w:szCs w:val="24"/>
          <w:lang w:val="es-VE" w:eastAsia="en-US"/>
        </w:rPr>
        <w:t>anillos de vidrio</w:t>
      </w:r>
      <w:r w:rsidRPr="00E02D7D">
        <w:rPr>
          <w:noProof/>
          <w:szCs w:val="24"/>
          <w:lang w:val="es-VE" w:eastAsia="en-US"/>
        </w:rPr>
        <w:t xml:space="preserve"> el agua separada es prácticamente incolora.</w:t>
      </w:r>
      <w:r w:rsidR="00312F1E" w:rsidRPr="00E02D7D">
        <w:rPr>
          <w:noProof/>
          <w:szCs w:val="24"/>
          <w:lang w:val="es-VE" w:eastAsia="en-US"/>
        </w:rPr>
        <w:t xml:space="preserve"> </w:t>
      </w:r>
      <w:r w:rsidR="008E0879">
        <w:rPr>
          <w:noProof/>
          <w:szCs w:val="24"/>
          <w:lang w:val="es-VE" w:eastAsia="en-US"/>
        </w:rPr>
        <w:t>Esto sugiere que el área superficial del medio coalescedor afecta significativamente la separación. Para este caso en particular la mejor recuperación se obtuvo para anillos de vidrio.</w:t>
      </w:r>
    </w:p>
    <w:p w:rsidR="008E0879" w:rsidRDefault="007B1AFD" w:rsidP="00320076">
      <w:pPr>
        <w:spacing w:line="360" w:lineRule="auto"/>
        <w:jc w:val="both"/>
        <w:rPr>
          <w:noProof/>
          <w:szCs w:val="24"/>
          <w:lang w:val="es-VE" w:eastAsia="en-US"/>
        </w:rPr>
      </w:pPr>
      <w:r w:rsidRPr="00E02D7D">
        <w:rPr>
          <w:noProof/>
          <w:szCs w:val="24"/>
          <w:lang w:val="es-VE" w:eastAsia="en-US"/>
        </w:rPr>
        <w:tab/>
      </w:r>
      <w:r w:rsidR="00995F9A" w:rsidRPr="00E02D7D">
        <w:rPr>
          <w:noProof/>
          <w:szCs w:val="24"/>
          <w:lang w:val="es-VE" w:eastAsia="en-US"/>
        </w:rPr>
        <w:t>Todo esto confirma de una u otra manera que</w:t>
      </w:r>
      <w:r w:rsidR="00183D18">
        <w:rPr>
          <w:noProof/>
          <w:szCs w:val="24"/>
          <w:lang w:val="es-VE" w:eastAsia="en-US"/>
        </w:rPr>
        <w:t>,</w:t>
      </w:r>
      <w:r w:rsidR="00995F9A" w:rsidRPr="00E02D7D">
        <w:rPr>
          <w:noProof/>
          <w:szCs w:val="24"/>
          <w:lang w:val="es-VE" w:eastAsia="en-US"/>
        </w:rPr>
        <w:t xml:space="preserve"> tanto el tiempo de residencia de la emulsión en la celda de aplicación de campo eléctrico como el medio coalescedor</w:t>
      </w:r>
      <w:r w:rsidRPr="00E02D7D">
        <w:rPr>
          <w:noProof/>
          <w:szCs w:val="24"/>
          <w:lang w:val="es-VE" w:eastAsia="en-US"/>
        </w:rPr>
        <w:t xml:space="preserve"> empleado</w:t>
      </w:r>
      <w:r w:rsidR="00183D18">
        <w:rPr>
          <w:noProof/>
          <w:szCs w:val="24"/>
          <w:lang w:val="es-VE" w:eastAsia="en-US"/>
        </w:rPr>
        <w:t>,</w:t>
      </w:r>
      <w:r w:rsidRPr="00E02D7D">
        <w:rPr>
          <w:noProof/>
          <w:szCs w:val="24"/>
          <w:lang w:val="es-VE" w:eastAsia="en-US"/>
        </w:rPr>
        <w:t xml:space="preserve"> afectan la separación</w:t>
      </w:r>
      <w:r w:rsidR="005766EE">
        <w:rPr>
          <w:noProof/>
          <w:szCs w:val="24"/>
          <w:lang w:val="es-VE" w:eastAsia="en-US"/>
        </w:rPr>
        <w:t xml:space="preserve"> pero </w:t>
      </w:r>
      <w:r w:rsidR="008E0879">
        <w:rPr>
          <w:noProof/>
          <w:szCs w:val="24"/>
          <w:lang w:val="es-VE" w:eastAsia="en-US"/>
        </w:rPr>
        <w:t>de manera distinta</w:t>
      </w:r>
      <w:r w:rsidRPr="00E02D7D">
        <w:rPr>
          <w:noProof/>
          <w:szCs w:val="24"/>
          <w:lang w:val="es-VE" w:eastAsia="en-US"/>
        </w:rPr>
        <w:t>.</w:t>
      </w:r>
    </w:p>
    <w:p w:rsidR="0042393B" w:rsidRDefault="0002127E" w:rsidP="00320076">
      <w:pPr>
        <w:spacing w:line="360" w:lineRule="auto"/>
        <w:jc w:val="both"/>
        <w:rPr>
          <w:noProof/>
          <w:szCs w:val="24"/>
          <w:lang w:val="es-VE" w:eastAsia="en-US"/>
        </w:rPr>
      </w:pPr>
      <w:r>
        <w:rPr>
          <w:noProof/>
          <w:sz w:val="20"/>
          <w:lang w:val="es-VE" w:eastAsia="en-US"/>
        </w:rPr>
        <w:tab/>
      </w:r>
      <w:r w:rsidR="006631C3">
        <w:rPr>
          <w:noProof/>
          <w:szCs w:val="24"/>
          <w:lang w:val="es-VE" w:eastAsia="en-US"/>
        </w:rPr>
        <w:t>En l</w:t>
      </w:r>
      <w:r w:rsidRPr="00E02D7D">
        <w:rPr>
          <w:noProof/>
          <w:szCs w:val="24"/>
          <w:lang w:val="es-VE" w:eastAsia="en-US"/>
        </w:rPr>
        <w:t xml:space="preserve">as experiencias </w:t>
      </w:r>
      <w:r w:rsidR="008E0879">
        <w:rPr>
          <w:noProof/>
          <w:szCs w:val="24"/>
          <w:lang w:val="es-VE" w:eastAsia="en-US"/>
        </w:rPr>
        <w:t xml:space="preserve">realizadas </w:t>
      </w:r>
      <w:r w:rsidR="006631C3">
        <w:rPr>
          <w:noProof/>
          <w:szCs w:val="24"/>
          <w:lang w:val="es-VE" w:eastAsia="en-US"/>
        </w:rPr>
        <w:t>con</w:t>
      </w:r>
      <w:r w:rsidRPr="00E02D7D">
        <w:rPr>
          <w:noProof/>
          <w:szCs w:val="24"/>
          <w:lang w:val="es-VE" w:eastAsia="en-US"/>
        </w:rPr>
        <w:t xml:space="preserve"> campo eléctrico de corriente alterna</w:t>
      </w:r>
      <w:r w:rsidR="006631C3">
        <w:rPr>
          <w:noProof/>
          <w:szCs w:val="24"/>
          <w:lang w:val="es-VE" w:eastAsia="en-US"/>
        </w:rPr>
        <w:t xml:space="preserve"> </w:t>
      </w:r>
      <w:r w:rsidR="005766EE">
        <w:rPr>
          <w:noProof/>
          <w:szCs w:val="24"/>
          <w:lang w:val="es-VE" w:eastAsia="en-US"/>
        </w:rPr>
        <w:t>AC</w:t>
      </w:r>
      <w:r w:rsidRPr="00E02D7D">
        <w:rPr>
          <w:noProof/>
          <w:szCs w:val="24"/>
          <w:lang w:val="es-VE" w:eastAsia="en-US"/>
        </w:rPr>
        <w:t xml:space="preserve"> </w:t>
      </w:r>
      <w:r w:rsidR="005766EE">
        <w:rPr>
          <w:noProof/>
          <w:szCs w:val="24"/>
          <w:lang w:val="es-VE" w:eastAsia="en-US"/>
        </w:rPr>
        <w:t xml:space="preserve">se </w:t>
      </w:r>
      <w:r w:rsidR="006631C3">
        <w:rPr>
          <w:noProof/>
          <w:szCs w:val="24"/>
          <w:lang w:val="es-VE" w:eastAsia="en-US"/>
        </w:rPr>
        <w:t>la</w:t>
      </w:r>
      <w:r w:rsidRPr="00E02D7D">
        <w:rPr>
          <w:noProof/>
          <w:szCs w:val="24"/>
          <w:lang w:val="es-VE" w:eastAsia="en-US"/>
        </w:rPr>
        <w:t xml:space="preserve"> cantidad de agua recuperada disminuy</w:t>
      </w:r>
      <w:r w:rsidR="006631C3">
        <w:rPr>
          <w:noProof/>
          <w:szCs w:val="24"/>
          <w:lang w:val="es-VE" w:eastAsia="en-US"/>
        </w:rPr>
        <w:t>ó</w:t>
      </w:r>
      <w:r w:rsidRPr="00E02D7D">
        <w:rPr>
          <w:noProof/>
          <w:szCs w:val="24"/>
          <w:lang w:val="es-VE" w:eastAsia="en-US"/>
        </w:rPr>
        <w:t xml:space="preserve"> </w:t>
      </w:r>
      <w:r w:rsidR="006631C3">
        <w:rPr>
          <w:noProof/>
          <w:szCs w:val="24"/>
          <w:lang w:val="es-VE" w:eastAsia="en-US"/>
        </w:rPr>
        <w:t>significativamente</w:t>
      </w:r>
      <w:r w:rsidR="009C7B16">
        <w:rPr>
          <w:noProof/>
          <w:szCs w:val="24"/>
          <w:lang w:val="es-VE" w:eastAsia="en-US"/>
        </w:rPr>
        <w:t xml:space="preserve"> tal y como se observa en las figuras a continuación:</w:t>
      </w:r>
    </w:p>
    <w:p w:rsidR="00641940" w:rsidRDefault="00641940" w:rsidP="00320076">
      <w:pPr>
        <w:spacing w:line="360" w:lineRule="auto"/>
        <w:jc w:val="both"/>
        <w:rPr>
          <w:noProof/>
          <w:szCs w:val="24"/>
          <w:lang w:val="es-VE" w:eastAsia="en-US"/>
        </w:rPr>
        <w:sectPr w:rsidR="00641940" w:rsidSect="00820F87">
          <w:pgSz w:w="12240" w:h="15840"/>
          <w:pgMar w:top="1699" w:right="1699" w:bottom="1699" w:left="2275" w:header="720" w:footer="720" w:gutter="0"/>
          <w:cols w:space="720"/>
          <w:docGrid w:linePitch="360"/>
        </w:sectPr>
      </w:pPr>
    </w:p>
    <w:p w:rsidR="004A0DA5" w:rsidRDefault="00A73CD2" w:rsidP="00DD725F">
      <w:pPr>
        <w:spacing w:line="360" w:lineRule="auto"/>
        <w:jc w:val="center"/>
        <w:rPr>
          <w:szCs w:val="24"/>
        </w:rPr>
      </w:pPr>
      <w:r>
        <w:rPr>
          <w:noProof/>
          <w:szCs w:val="24"/>
          <w:lang w:val="en-US" w:eastAsia="en-US"/>
        </w:rPr>
        <w:lastRenderedPageBreak/>
        <w:pict>
          <v:shape id="_x0000_s1461" type="#_x0000_t202" style="position:absolute;left:0;text-align:left;margin-left:316.5pt;margin-top:173.15pt;width:134pt;height:34.8pt;z-index:251815424;mso-height-percent:200;mso-height-percent:200;mso-width-relative:margin;mso-height-relative:margin" filled="f" stroked="f">
            <v:textbox style="mso-next-textbox:#_x0000_s1461;mso-fit-shape-to-text:t">
              <w:txbxContent>
                <w:p w:rsidR="004134A0" w:rsidRPr="00480668" w:rsidRDefault="004134A0" w:rsidP="00AB6004">
                  <w:pPr>
                    <w:jc w:val="both"/>
                    <w:rPr>
                      <w:sz w:val="16"/>
                      <w:szCs w:val="16"/>
                    </w:rPr>
                  </w:pPr>
                  <w:r w:rsidRPr="00480668">
                    <w:rPr>
                      <w:sz w:val="16"/>
                      <w:szCs w:val="16"/>
                    </w:rPr>
                    <w:t>T</w:t>
                  </w:r>
                  <w:r>
                    <w:rPr>
                      <w:sz w:val="16"/>
                      <w:szCs w:val="16"/>
                    </w:rPr>
                    <w:t>emperatura ambiente</w:t>
                  </w:r>
                </w:p>
                <w:p w:rsidR="004134A0" w:rsidRPr="00480668" w:rsidRDefault="004134A0" w:rsidP="00AB6004">
                  <w:pPr>
                    <w:jc w:val="both"/>
                    <w:rPr>
                      <w:sz w:val="16"/>
                      <w:szCs w:val="16"/>
                    </w:rPr>
                  </w:pPr>
                  <w:r w:rsidRPr="00480668">
                    <w:rPr>
                      <w:sz w:val="16"/>
                      <w:szCs w:val="16"/>
                    </w:rPr>
                    <w:t>Centrifugación: 5 min. a 2700 rpm.</w:t>
                  </w:r>
                </w:p>
                <w:p w:rsidR="004134A0" w:rsidRPr="00480668" w:rsidRDefault="004134A0" w:rsidP="00AB6004">
                  <w:pPr>
                    <w:jc w:val="both"/>
                    <w:rPr>
                      <w:sz w:val="16"/>
                      <w:szCs w:val="16"/>
                      <w:lang w:val="es-VE"/>
                    </w:rPr>
                  </w:pPr>
                  <w:r>
                    <w:rPr>
                      <w:sz w:val="16"/>
                      <w:szCs w:val="16"/>
                      <w:lang w:val="es-VE"/>
                    </w:rPr>
                    <w:t>Tiempo de residencia intermedio.</w:t>
                  </w:r>
                </w:p>
              </w:txbxContent>
            </v:textbox>
          </v:shape>
        </w:pict>
      </w:r>
      <w:r>
        <w:rPr>
          <w:noProof/>
          <w:szCs w:val="24"/>
          <w:lang w:val="en-US" w:eastAsia="en-US"/>
        </w:rPr>
        <w:pict>
          <v:shape id="_x0000_s1460" type="#_x0000_t202" style="position:absolute;left:0;text-align:left;margin-left:316.5pt;margin-top:-12.95pt;width:134pt;height:34.8pt;z-index:251814400;mso-height-percent:200;mso-height-percent:200;mso-width-relative:margin;mso-height-relative:margin" filled="f" stroked="f">
            <v:textbox style="mso-next-textbox:#_x0000_s1460;mso-fit-shape-to-text:t">
              <w:txbxContent>
                <w:p w:rsidR="004134A0" w:rsidRPr="00480668" w:rsidRDefault="004134A0" w:rsidP="00AB6004">
                  <w:pPr>
                    <w:jc w:val="both"/>
                    <w:rPr>
                      <w:sz w:val="16"/>
                      <w:szCs w:val="16"/>
                    </w:rPr>
                  </w:pPr>
                  <w:r w:rsidRPr="00480668">
                    <w:rPr>
                      <w:sz w:val="16"/>
                      <w:szCs w:val="16"/>
                    </w:rPr>
                    <w:t>T</w:t>
                  </w:r>
                  <w:r>
                    <w:rPr>
                      <w:sz w:val="16"/>
                      <w:szCs w:val="16"/>
                    </w:rPr>
                    <w:t>emperatura ambiente</w:t>
                  </w:r>
                </w:p>
                <w:p w:rsidR="004134A0" w:rsidRPr="00480668" w:rsidRDefault="004134A0" w:rsidP="00AB6004">
                  <w:pPr>
                    <w:jc w:val="both"/>
                    <w:rPr>
                      <w:sz w:val="16"/>
                      <w:szCs w:val="16"/>
                    </w:rPr>
                  </w:pPr>
                  <w:r w:rsidRPr="00480668">
                    <w:rPr>
                      <w:sz w:val="16"/>
                      <w:szCs w:val="16"/>
                    </w:rPr>
                    <w:t>Centrifugación: 5 min. a 2700 rpm.</w:t>
                  </w:r>
                </w:p>
                <w:p w:rsidR="004134A0" w:rsidRPr="00480668" w:rsidRDefault="004134A0" w:rsidP="00AB6004">
                  <w:pPr>
                    <w:jc w:val="both"/>
                    <w:rPr>
                      <w:sz w:val="16"/>
                      <w:szCs w:val="16"/>
                      <w:lang w:val="es-VE"/>
                    </w:rPr>
                  </w:pPr>
                  <w:r>
                    <w:rPr>
                      <w:sz w:val="16"/>
                      <w:szCs w:val="16"/>
                    </w:rPr>
                    <w:t>Bajo tiempo de residencia.</w:t>
                  </w:r>
                </w:p>
              </w:txbxContent>
            </v:textbox>
          </v:shape>
        </w:pict>
      </w:r>
      <w:r w:rsidR="007923F9" w:rsidRPr="007923F9">
        <w:rPr>
          <w:noProof/>
          <w:szCs w:val="24"/>
          <w:lang w:val="en-US" w:eastAsia="en-US"/>
        </w:rPr>
        <w:drawing>
          <wp:inline distT="0" distB="0" distL="0" distR="0">
            <wp:extent cx="4572000" cy="2286000"/>
            <wp:effectExtent l="0" t="0" r="0" b="0"/>
            <wp:docPr id="55"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D725F" w:rsidRPr="004A0DA5" w:rsidRDefault="00A73CD2" w:rsidP="00DD725F">
      <w:pPr>
        <w:spacing w:line="360" w:lineRule="auto"/>
        <w:jc w:val="center"/>
        <w:rPr>
          <w:b/>
          <w:i/>
          <w:noProof/>
          <w:szCs w:val="24"/>
          <w:lang w:val="es-VE" w:eastAsia="en-US"/>
        </w:rPr>
      </w:pPr>
      <w:r>
        <w:rPr>
          <w:b/>
          <w:i/>
          <w:noProof/>
          <w:szCs w:val="24"/>
          <w:lang w:val="en-US" w:eastAsia="en-US"/>
        </w:rPr>
        <w:pict>
          <v:shape id="_x0000_s1462" type="#_x0000_t202" style="position:absolute;left:0;text-align:left;margin-left:313.1pt;margin-top:185.2pt;width:134pt;height:34.8pt;z-index:251816448;mso-height-percent:200;mso-height-percent:200;mso-width-relative:margin;mso-height-relative:margin" filled="f" stroked="f">
            <v:textbox style="mso-next-textbox:#_x0000_s1462;mso-fit-shape-to-text:t">
              <w:txbxContent>
                <w:p w:rsidR="004134A0" w:rsidRPr="00480668" w:rsidRDefault="004134A0" w:rsidP="00AB6004">
                  <w:pPr>
                    <w:jc w:val="both"/>
                    <w:rPr>
                      <w:sz w:val="16"/>
                      <w:szCs w:val="16"/>
                    </w:rPr>
                  </w:pPr>
                  <w:r w:rsidRPr="00480668">
                    <w:rPr>
                      <w:sz w:val="16"/>
                      <w:szCs w:val="16"/>
                    </w:rPr>
                    <w:t>T</w:t>
                  </w:r>
                  <w:r>
                    <w:rPr>
                      <w:sz w:val="16"/>
                      <w:szCs w:val="16"/>
                    </w:rPr>
                    <w:t>emperatura</w:t>
                  </w:r>
                  <w:r w:rsidRPr="00480668">
                    <w:rPr>
                      <w:sz w:val="16"/>
                      <w:szCs w:val="16"/>
                    </w:rPr>
                    <w:t>: 33 °C</w:t>
                  </w:r>
                </w:p>
                <w:p w:rsidR="004134A0" w:rsidRPr="00480668" w:rsidRDefault="004134A0" w:rsidP="00AB6004">
                  <w:pPr>
                    <w:jc w:val="both"/>
                    <w:rPr>
                      <w:sz w:val="16"/>
                      <w:szCs w:val="16"/>
                    </w:rPr>
                  </w:pPr>
                  <w:r w:rsidRPr="00480668">
                    <w:rPr>
                      <w:sz w:val="16"/>
                      <w:szCs w:val="16"/>
                    </w:rPr>
                    <w:t>Centrifugación: 5 min. a 2700 rpm.</w:t>
                  </w:r>
                </w:p>
                <w:p w:rsidR="004134A0" w:rsidRPr="00480668" w:rsidRDefault="004134A0" w:rsidP="00AB6004">
                  <w:pPr>
                    <w:jc w:val="both"/>
                    <w:rPr>
                      <w:sz w:val="16"/>
                      <w:szCs w:val="16"/>
                      <w:lang w:val="es-VE"/>
                    </w:rPr>
                  </w:pPr>
                  <w:r>
                    <w:rPr>
                      <w:sz w:val="16"/>
                      <w:szCs w:val="16"/>
                    </w:rPr>
                    <w:t>Alto tiempo de residencia.</w:t>
                  </w:r>
                </w:p>
              </w:txbxContent>
            </v:textbox>
          </v:shape>
        </w:pict>
      </w:r>
      <w:r w:rsidR="007923F9" w:rsidRPr="007923F9">
        <w:rPr>
          <w:b/>
          <w:i/>
          <w:noProof/>
          <w:szCs w:val="24"/>
          <w:lang w:val="en-US" w:eastAsia="en-US"/>
        </w:rPr>
        <w:drawing>
          <wp:inline distT="0" distB="0" distL="0" distR="0">
            <wp:extent cx="4572000" cy="2286000"/>
            <wp:effectExtent l="0" t="0" r="0" b="0"/>
            <wp:docPr id="56"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A0DA5" w:rsidRDefault="004A0DA5" w:rsidP="004A0DA5">
      <w:pPr>
        <w:rPr>
          <w:szCs w:val="24"/>
        </w:rPr>
      </w:pPr>
    </w:p>
    <w:p w:rsidR="004A0DA5" w:rsidRDefault="007923F9" w:rsidP="00970950">
      <w:pPr>
        <w:jc w:val="center"/>
        <w:rPr>
          <w:szCs w:val="24"/>
        </w:rPr>
      </w:pPr>
      <w:r w:rsidRPr="007923F9">
        <w:rPr>
          <w:noProof/>
          <w:szCs w:val="24"/>
          <w:lang w:val="en-US" w:eastAsia="en-US"/>
        </w:rPr>
        <w:drawing>
          <wp:inline distT="0" distB="0" distL="0" distR="0">
            <wp:extent cx="4572000" cy="2286000"/>
            <wp:effectExtent l="0" t="0" r="0" b="0"/>
            <wp:docPr id="57"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2393B" w:rsidRDefault="0040746A" w:rsidP="00A275D5">
      <w:pPr>
        <w:pStyle w:val="Epgrafe"/>
        <w:spacing w:line="360" w:lineRule="auto"/>
        <w:rPr>
          <w:noProof/>
          <w:lang w:val="es-VE" w:eastAsia="en-US"/>
        </w:rPr>
        <w:sectPr w:rsidR="0042393B" w:rsidSect="00820F87">
          <w:pgSz w:w="12240" w:h="15840"/>
          <w:pgMar w:top="1699" w:right="1699" w:bottom="1699" w:left="2275" w:header="720" w:footer="720" w:gutter="0"/>
          <w:cols w:space="720"/>
          <w:docGrid w:linePitch="360"/>
        </w:sectPr>
      </w:pPr>
      <w:r>
        <w:rPr>
          <w:szCs w:val="24"/>
        </w:rPr>
        <w:tab/>
      </w:r>
      <w:bookmarkStart w:id="149" w:name="_Toc327481450"/>
      <w:r w:rsidR="00A275D5">
        <w:t xml:space="preserve">Figura N° </w:t>
      </w:r>
      <w:fldSimple w:instr=" SEQ Figura_N° \* ARABIC ">
        <w:r w:rsidR="004A5F6F">
          <w:rPr>
            <w:noProof/>
          </w:rPr>
          <w:t>38</w:t>
        </w:r>
      </w:fldSimple>
      <w:r w:rsidR="009C7B16" w:rsidRPr="00F2571A">
        <w:rPr>
          <w:noProof/>
          <w:lang w:val="es-VE" w:eastAsia="en-US"/>
        </w:rPr>
        <w:t>: Porcentaje de separación de ag</w:t>
      </w:r>
      <w:r w:rsidR="009C7B16">
        <w:rPr>
          <w:noProof/>
          <w:lang w:val="es-VE" w:eastAsia="en-US"/>
        </w:rPr>
        <w:t xml:space="preserve">ua. </w:t>
      </w:r>
      <w:r w:rsidR="00355A67">
        <w:rPr>
          <w:noProof/>
          <w:lang w:val="es-VE" w:eastAsia="en-US"/>
        </w:rPr>
        <w:t>Acema-100</w:t>
      </w:r>
      <w:r w:rsidR="009C7B16">
        <w:rPr>
          <w:noProof/>
          <w:lang w:val="es-VE" w:eastAsia="en-US"/>
        </w:rPr>
        <w:t>. Campo AC, con y sin medio coalescedor.</w:t>
      </w:r>
      <w:bookmarkEnd w:id="149"/>
      <w:r w:rsidR="009C7B16">
        <w:rPr>
          <w:noProof/>
          <w:lang w:val="es-VE" w:eastAsia="en-US"/>
        </w:rPr>
        <w:t xml:space="preserve"> </w:t>
      </w:r>
    </w:p>
    <w:p w:rsidR="00826D53" w:rsidRDefault="00304326" w:rsidP="00E02D7D">
      <w:pPr>
        <w:spacing w:line="360" w:lineRule="auto"/>
        <w:jc w:val="both"/>
        <w:rPr>
          <w:szCs w:val="24"/>
        </w:rPr>
      </w:pPr>
      <w:r>
        <w:rPr>
          <w:szCs w:val="24"/>
        </w:rPr>
        <w:lastRenderedPageBreak/>
        <w:tab/>
      </w:r>
      <w:r w:rsidR="005766EE">
        <w:rPr>
          <w:szCs w:val="24"/>
        </w:rPr>
        <w:t>El proceso de separación electrostática</w:t>
      </w:r>
      <w:r>
        <w:rPr>
          <w:szCs w:val="24"/>
        </w:rPr>
        <w:t xml:space="preserve"> en continuo</w:t>
      </w:r>
      <w:r w:rsidR="005766EE">
        <w:rPr>
          <w:szCs w:val="24"/>
        </w:rPr>
        <w:t xml:space="preserve"> </w:t>
      </w:r>
      <w:r>
        <w:rPr>
          <w:szCs w:val="24"/>
        </w:rPr>
        <w:t>con</w:t>
      </w:r>
      <w:r w:rsidR="00390D78">
        <w:rPr>
          <w:szCs w:val="24"/>
        </w:rPr>
        <w:t xml:space="preserve"> </w:t>
      </w:r>
      <w:r w:rsidR="00312F1E">
        <w:rPr>
          <w:szCs w:val="24"/>
        </w:rPr>
        <w:t>campo eléctrico AC resulta muy deficiente en comparación a los re</w:t>
      </w:r>
      <w:r w:rsidR="005766EE">
        <w:rPr>
          <w:szCs w:val="24"/>
        </w:rPr>
        <w:t xml:space="preserve">sultados obtenidos con campo DC; sin embargo, análogo a </w:t>
      </w:r>
      <w:r w:rsidR="00312F1E">
        <w:rPr>
          <w:szCs w:val="24"/>
        </w:rPr>
        <w:t xml:space="preserve">las experiencias con campo DC, las mayores separaciones se logran para los casos </w:t>
      </w:r>
      <w:r w:rsidR="000C2700">
        <w:rPr>
          <w:szCs w:val="24"/>
        </w:rPr>
        <w:t xml:space="preserve">en </w:t>
      </w:r>
      <w:r w:rsidR="007923F9">
        <w:rPr>
          <w:szCs w:val="24"/>
        </w:rPr>
        <w:t xml:space="preserve">el </w:t>
      </w:r>
      <w:r w:rsidR="005766EE">
        <w:rPr>
          <w:szCs w:val="24"/>
        </w:rPr>
        <w:t xml:space="preserve">que el </w:t>
      </w:r>
      <w:r w:rsidR="007923F9">
        <w:rPr>
          <w:szCs w:val="24"/>
        </w:rPr>
        <w:t xml:space="preserve">tiempo de residencia de la emulsión </w:t>
      </w:r>
      <w:r w:rsidR="005766EE">
        <w:rPr>
          <w:szCs w:val="24"/>
        </w:rPr>
        <w:t xml:space="preserve">en la celda de tratamiento </w:t>
      </w:r>
      <w:r w:rsidR="007923F9">
        <w:rPr>
          <w:szCs w:val="24"/>
        </w:rPr>
        <w:t>es máximo</w:t>
      </w:r>
      <w:r w:rsidR="00334C5C">
        <w:rPr>
          <w:szCs w:val="24"/>
        </w:rPr>
        <w:t>.</w:t>
      </w:r>
      <w:r>
        <w:rPr>
          <w:szCs w:val="24"/>
        </w:rPr>
        <w:t xml:space="preserve"> </w:t>
      </w:r>
      <w:r w:rsidR="000C2700">
        <w:rPr>
          <w:szCs w:val="24"/>
        </w:rPr>
        <w:t xml:space="preserve">En la </w:t>
      </w:r>
      <w:r w:rsidR="003E7EDD">
        <w:rPr>
          <w:szCs w:val="24"/>
        </w:rPr>
        <w:t>f</w:t>
      </w:r>
      <w:r w:rsidR="005766EE">
        <w:rPr>
          <w:szCs w:val="24"/>
        </w:rPr>
        <w:t>ig</w:t>
      </w:r>
      <w:r>
        <w:rPr>
          <w:szCs w:val="24"/>
        </w:rPr>
        <w:t>ura</w:t>
      </w:r>
      <w:r w:rsidR="005766EE">
        <w:rPr>
          <w:szCs w:val="24"/>
        </w:rPr>
        <w:t xml:space="preserve"> Nº</w:t>
      </w:r>
      <w:r w:rsidR="003E7EDD">
        <w:rPr>
          <w:szCs w:val="24"/>
        </w:rPr>
        <w:t xml:space="preserve"> 39</w:t>
      </w:r>
      <w:r w:rsidR="0040746A">
        <w:rPr>
          <w:szCs w:val="24"/>
        </w:rPr>
        <w:t>,</w:t>
      </w:r>
      <w:r w:rsidR="000C2700">
        <w:rPr>
          <w:szCs w:val="24"/>
        </w:rPr>
        <w:t xml:space="preserve"> puede apreciarse cualitativamente el efecto </w:t>
      </w:r>
      <w:r>
        <w:rPr>
          <w:szCs w:val="24"/>
        </w:rPr>
        <w:t>del tipo de campo sobre la cantidad de agua recup</w:t>
      </w:r>
      <w:r w:rsidR="00C42EBF">
        <w:rPr>
          <w:szCs w:val="24"/>
        </w:rPr>
        <w:t>e</w:t>
      </w:r>
      <w:r>
        <w:rPr>
          <w:szCs w:val="24"/>
        </w:rPr>
        <w:t>rada.</w:t>
      </w:r>
    </w:p>
    <w:p w:rsidR="00304326" w:rsidRDefault="00304326" w:rsidP="00E02D7D">
      <w:pPr>
        <w:spacing w:line="360" w:lineRule="auto"/>
        <w:jc w:val="both"/>
        <w:rPr>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1"/>
        <w:gridCol w:w="4241"/>
      </w:tblGrid>
      <w:tr w:rsidR="008C7143" w:rsidTr="008C7143">
        <w:tc>
          <w:tcPr>
            <w:tcW w:w="4750" w:type="dxa"/>
          </w:tcPr>
          <w:p w:rsidR="008C7143" w:rsidRDefault="008C7143" w:rsidP="00CE4420">
            <w:pPr>
              <w:jc w:val="both"/>
              <w:rPr>
                <w:szCs w:val="24"/>
              </w:rPr>
            </w:pPr>
            <w:r w:rsidRPr="008C7143">
              <w:rPr>
                <w:noProof/>
                <w:szCs w:val="24"/>
                <w:lang w:val="en-US" w:eastAsia="en-US"/>
              </w:rPr>
              <w:drawing>
                <wp:inline distT="0" distB="0" distL="0" distR="0">
                  <wp:extent cx="2789260" cy="1800000"/>
                  <wp:effectExtent l="19050" t="0" r="0" b="0"/>
                  <wp:docPr id="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srcRect l="2086" t="978" r="2087" b="55323"/>
                          <a:stretch>
                            <a:fillRect/>
                          </a:stretch>
                        </pic:blipFill>
                        <pic:spPr bwMode="auto">
                          <a:xfrm>
                            <a:off x="0" y="0"/>
                            <a:ext cx="2789260" cy="1800000"/>
                          </a:xfrm>
                          <a:prstGeom prst="rect">
                            <a:avLst/>
                          </a:prstGeom>
                          <a:noFill/>
                          <a:ln w="9525">
                            <a:noFill/>
                            <a:miter lim="800000"/>
                            <a:headEnd/>
                            <a:tailEnd/>
                          </a:ln>
                        </pic:spPr>
                      </pic:pic>
                    </a:graphicData>
                  </a:graphic>
                </wp:inline>
              </w:drawing>
            </w:r>
          </w:p>
          <w:p w:rsidR="008C7143" w:rsidRDefault="008C7143" w:rsidP="008C7143">
            <w:pPr>
              <w:jc w:val="center"/>
              <w:rPr>
                <w:szCs w:val="24"/>
              </w:rPr>
            </w:pPr>
            <w:r>
              <w:rPr>
                <w:szCs w:val="24"/>
              </w:rPr>
              <w:t>(a)</w:t>
            </w:r>
          </w:p>
        </w:tc>
        <w:tc>
          <w:tcPr>
            <w:tcW w:w="4750" w:type="dxa"/>
          </w:tcPr>
          <w:p w:rsidR="008C7143" w:rsidRDefault="008C7143" w:rsidP="00CE4420">
            <w:pPr>
              <w:jc w:val="both"/>
              <w:rPr>
                <w:szCs w:val="24"/>
              </w:rPr>
            </w:pPr>
            <w:r w:rsidRPr="008C7143">
              <w:rPr>
                <w:noProof/>
                <w:szCs w:val="24"/>
                <w:lang w:val="en-US" w:eastAsia="en-US"/>
              </w:rPr>
              <w:drawing>
                <wp:inline distT="0" distB="0" distL="0" distR="0">
                  <wp:extent cx="2790000" cy="1797803"/>
                  <wp:effectExtent l="19050" t="0" r="0" b="0"/>
                  <wp:docPr id="3"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spect="1" noChangeArrowheads="1"/>
                          </pic:cNvPicPr>
                        </pic:nvPicPr>
                        <pic:blipFill>
                          <a:blip r:embed="rId62" cstate="print"/>
                          <a:srcRect l="2363" t="54990" b="3522"/>
                          <a:stretch>
                            <a:fillRect/>
                          </a:stretch>
                        </pic:blipFill>
                        <pic:spPr bwMode="auto">
                          <a:xfrm>
                            <a:off x="0" y="0"/>
                            <a:ext cx="2790000" cy="1797803"/>
                          </a:xfrm>
                          <a:prstGeom prst="rect">
                            <a:avLst/>
                          </a:prstGeom>
                          <a:noFill/>
                          <a:ln w="9525">
                            <a:noFill/>
                            <a:miter lim="800000"/>
                            <a:headEnd/>
                            <a:tailEnd/>
                          </a:ln>
                        </pic:spPr>
                      </pic:pic>
                    </a:graphicData>
                  </a:graphic>
                </wp:inline>
              </w:drawing>
            </w:r>
          </w:p>
          <w:p w:rsidR="008C7143" w:rsidRDefault="00304326" w:rsidP="008C7143">
            <w:pPr>
              <w:jc w:val="center"/>
              <w:rPr>
                <w:szCs w:val="24"/>
              </w:rPr>
            </w:pPr>
            <w:r>
              <w:rPr>
                <w:szCs w:val="24"/>
              </w:rPr>
              <w:t xml:space="preserve">      </w:t>
            </w:r>
            <w:r w:rsidR="008C7143">
              <w:rPr>
                <w:szCs w:val="24"/>
              </w:rPr>
              <w:t>(b)</w:t>
            </w:r>
          </w:p>
        </w:tc>
      </w:tr>
    </w:tbl>
    <w:p w:rsidR="00304326" w:rsidRDefault="00304326" w:rsidP="00804EB0">
      <w:pPr>
        <w:jc w:val="center"/>
        <w:rPr>
          <w:sz w:val="20"/>
        </w:rPr>
      </w:pPr>
    </w:p>
    <w:p w:rsidR="00854351" w:rsidRPr="0040746A" w:rsidRDefault="00A275D5" w:rsidP="00A275D5">
      <w:pPr>
        <w:pStyle w:val="Epgrafe"/>
        <w:spacing w:line="360" w:lineRule="auto"/>
      </w:pPr>
      <w:bookmarkStart w:id="150" w:name="_Toc327481451"/>
      <w:r>
        <w:t xml:space="preserve">Figura N° </w:t>
      </w:r>
      <w:fldSimple w:instr=" SEQ Figura_N° \* ARABIC ">
        <w:r w:rsidR="004A5F6F">
          <w:rPr>
            <w:noProof/>
          </w:rPr>
          <w:t>39</w:t>
        </w:r>
      </w:fldSimple>
      <w:r w:rsidR="00804EB0" w:rsidRPr="0040746A">
        <w:t xml:space="preserve">: Separación para cada uno de los medios coalescedores empleados. Fosa </w:t>
      </w:r>
      <w:r w:rsidR="007770E8">
        <w:t>Acema-100</w:t>
      </w:r>
      <w:r w:rsidR="00804EB0" w:rsidRPr="0040746A">
        <w:t xml:space="preserve">. Campo eléctrico más centrifugación (2.700 rpm por 5 minutos). </w:t>
      </w:r>
      <w:r w:rsidR="009E761A">
        <w:t>Alto tiempo de residencia</w:t>
      </w:r>
      <w:r w:rsidR="00804EB0" w:rsidRPr="0040746A">
        <w:t>. (a) Campo DC. (b) Campo AC.</w:t>
      </w:r>
      <w:bookmarkEnd w:id="150"/>
    </w:p>
    <w:p w:rsidR="0064361E" w:rsidRDefault="0040746A" w:rsidP="002D4D94">
      <w:pPr>
        <w:spacing w:line="360" w:lineRule="auto"/>
        <w:jc w:val="both"/>
        <w:rPr>
          <w:szCs w:val="24"/>
        </w:rPr>
      </w:pPr>
      <w:r>
        <w:rPr>
          <w:szCs w:val="24"/>
        </w:rPr>
        <w:tab/>
      </w:r>
      <w:r w:rsidR="002D4D94">
        <w:rPr>
          <w:szCs w:val="24"/>
        </w:rPr>
        <w:t>Particularmente p</w:t>
      </w:r>
      <w:r w:rsidR="003F57B2">
        <w:rPr>
          <w:szCs w:val="24"/>
        </w:rPr>
        <w:t>ara las pruebas con cáscaras de maní y rocas, aplicando campo eléctrico DC y AC, no se observó a</w:t>
      </w:r>
      <w:r w:rsidR="002D4D94">
        <w:rPr>
          <w:szCs w:val="24"/>
        </w:rPr>
        <w:t xml:space="preserve">gua en los tubos de recolección cuando la muestra era tratada únicamente con campo eléctrico. </w:t>
      </w:r>
      <w:r w:rsidR="003F57B2">
        <w:rPr>
          <w:szCs w:val="24"/>
        </w:rPr>
        <w:t>L</w:t>
      </w:r>
      <w:r w:rsidR="007643B5">
        <w:rPr>
          <w:szCs w:val="24"/>
        </w:rPr>
        <w:t>a máxima separación con AC</w:t>
      </w:r>
      <w:r w:rsidR="00952F90">
        <w:rPr>
          <w:szCs w:val="24"/>
        </w:rPr>
        <w:t xml:space="preserve"> se obtuvo empleando medio</w:t>
      </w:r>
      <w:r w:rsidR="005766EE">
        <w:rPr>
          <w:szCs w:val="24"/>
        </w:rPr>
        <w:t>s</w:t>
      </w:r>
      <w:r w:rsidR="00952F90">
        <w:rPr>
          <w:szCs w:val="24"/>
        </w:rPr>
        <w:t xml:space="preserve"> hidrofílico</w:t>
      </w:r>
      <w:r w:rsidR="005766EE">
        <w:rPr>
          <w:szCs w:val="24"/>
        </w:rPr>
        <w:t>s</w:t>
      </w:r>
      <w:r w:rsidR="002D4D94">
        <w:rPr>
          <w:szCs w:val="24"/>
        </w:rPr>
        <w:t xml:space="preserve">; </w:t>
      </w:r>
      <w:r w:rsidR="00952F90">
        <w:rPr>
          <w:szCs w:val="24"/>
        </w:rPr>
        <w:t>anillos de vidrio y esferas de vidrio</w:t>
      </w:r>
      <w:r w:rsidR="002D4D94">
        <w:rPr>
          <w:szCs w:val="24"/>
        </w:rPr>
        <w:t xml:space="preserve">. </w:t>
      </w:r>
    </w:p>
    <w:p w:rsidR="00C407ED" w:rsidRDefault="00C407ED" w:rsidP="00E02D7D">
      <w:pPr>
        <w:spacing w:line="360" w:lineRule="auto"/>
        <w:jc w:val="both"/>
        <w:rPr>
          <w:szCs w:val="24"/>
        </w:rPr>
      </w:pPr>
      <w:r>
        <w:rPr>
          <w:szCs w:val="24"/>
        </w:rPr>
        <w:tab/>
        <w:t xml:space="preserve">Para cada una de las experiencias con campo DC, la mejor separación se obtuvo para dos medios </w:t>
      </w:r>
      <w:r w:rsidR="003F57B2">
        <w:rPr>
          <w:szCs w:val="24"/>
        </w:rPr>
        <w:t>coalescedores</w:t>
      </w:r>
      <w:r>
        <w:rPr>
          <w:szCs w:val="24"/>
        </w:rPr>
        <w:t xml:space="preserve"> en específico: </w:t>
      </w:r>
      <w:r w:rsidR="00B11200">
        <w:rPr>
          <w:szCs w:val="24"/>
        </w:rPr>
        <w:t>esferas de p</w:t>
      </w:r>
      <w:r>
        <w:rPr>
          <w:szCs w:val="24"/>
        </w:rPr>
        <w:t xml:space="preserve">olietileno y anillos de vidrio. Cada medio coalescedor posee una mojabilidad completamente distinta; </w:t>
      </w:r>
      <w:r w:rsidR="00B11200">
        <w:rPr>
          <w:szCs w:val="24"/>
        </w:rPr>
        <w:t>las esferas de</w:t>
      </w:r>
      <w:r>
        <w:rPr>
          <w:szCs w:val="24"/>
        </w:rPr>
        <w:t xml:space="preserve"> polietileno </w:t>
      </w:r>
      <w:r w:rsidR="00B11200">
        <w:rPr>
          <w:szCs w:val="24"/>
        </w:rPr>
        <w:t>son</w:t>
      </w:r>
      <w:r>
        <w:rPr>
          <w:szCs w:val="24"/>
        </w:rPr>
        <w:t xml:space="preserve"> hidrofóbic</w:t>
      </w:r>
      <w:r w:rsidR="00B11200">
        <w:rPr>
          <w:szCs w:val="24"/>
        </w:rPr>
        <w:t>as</w:t>
      </w:r>
      <w:r>
        <w:rPr>
          <w:szCs w:val="24"/>
        </w:rPr>
        <w:t xml:space="preserve"> y los anillos de vidrio hidrofílico</w:t>
      </w:r>
      <w:r w:rsidR="007643B5">
        <w:rPr>
          <w:szCs w:val="24"/>
        </w:rPr>
        <w:t>s</w:t>
      </w:r>
      <w:r>
        <w:rPr>
          <w:szCs w:val="24"/>
        </w:rPr>
        <w:t xml:space="preserve">, pero ambos medios afectan significativamente la separación. </w:t>
      </w:r>
    </w:p>
    <w:p w:rsidR="00000703" w:rsidRDefault="00D62AC2" w:rsidP="00E02D7D">
      <w:pPr>
        <w:spacing w:line="360" w:lineRule="auto"/>
        <w:jc w:val="both"/>
        <w:rPr>
          <w:szCs w:val="24"/>
        </w:rPr>
      </w:pPr>
      <w:r>
        <w:rPr>
          <w:szCs w:val="24"/>
        </w:rPr>
        <w:tab/>
        <w:t>La mojabilidad del medio coalescedor</w:t>
      </w:r>
      <w:r w:rsidR="00DA3B26">
        <w:rPr>
          <w:szCs w:val="24"/>
        </w:rPr>
        <w:t xml:space="preserve"> afecta significativamente la separación. L</w:t>
      </w:r>
      <w:r w:rsidR="00C407ED">
        <w:rPr>
          <w:szCs w:val="24"/>
        </w:rPr>
        <w:t xml:space="preserve">os agentes emulsionantes naturales (asfaltenos y resinas principalmente) satisfacen su condición de mínima energía alojándose en la </w:t>
      </w:r>
      <w:r w:rsidR="00DA3B26">
        <w:rPr>
          <w:szCs w:val="24"/>
        </w:rPr>
        <w:t>interfase</w:t>
      </w:r>
      <w:r w:rsidR="00C407ED">
        <w:rPr>
          <w:szCs w:val="24"/>
        </w:rPr>
        <w:t xml:space="preserve"> </w:t>
      </w:r>
      <w:r w:rsidR="0070328A">
        <w:rPr>
          <w:szCs w:val="24"/>
        </w:rPr>
        <w:t xml:space="preserve">(agua-crudo) </w:t>
      </w:r>
      <w:r w:rsidR="00C407ED">
        <w:rPr>
          <w:szCs w:val="24"/>
        </w:rPr>
        <w:t xml:space="preserve">dado que en </w:t>
      </w:r>
      <w:r w:rsidR="00C407ED">
        <w:rPr>
          <w:szCs w:val="24"/>
        </w:rPr>
        <w:lastRenderedPageBreak/>
        <w:t xml:space="preserve">esta zona pueden estabilizar su parte polar (aquella que está en contacto u orientada a la fase acuosa) y su parte apolar (colas lipofílicas en contacto con la fase </w:t>
      </w:r>
      <w:r w:rsidR="0070328A">
        <w:rPr>
          <w:szCs w:val="24"/>
        </w:rPr>
        <w:t>oleosa</w:t>
      </w:r>
      <w:r w:rsidR="00C407ED">
        <w:rPr>
          <w:szCs w:val="24"/>
        </w:rPr>
        <w:t>).</w:t>
      </w:r>
      <w:r>
        <w:rPr>
          <w:szCs w:val="24"/>
        </w:rPr>
        <w:t xml:space="preserve"> Una vez que la emulsión es sometida al campo eléctrico, </w:t>
      </w:r>
      <w:r w:rsidR="0054611F">
        <w:rPr>
          <w:szCs w:val="24"/>
        </w:rPr>
        <w:t>una parte de estos agentes emulsionantes</w:t>
      </w:r>
      <w:r w:rsidR="00A31B32">
        <w:rPr>
          <w:szCs w:val="24"/>
        </w:rPr>
        <w:t xml:space="preserve"> dejan la interfase y se adsorben sobre la superficie del med</w:t>
      </w:r>
      <w:r w:rsidR="0017751F">
        <w:rPr>
          <w:szCs w:val="24"/>
        </w:rPr>
        <w:t>io satisfaciendo su condición de estabilidad o de mínima energía. La migración de estas gotas menos estables, producto del dipolo inducido por el campo eléctrico, permitirá que una vez colisionen ocurra la coalescencia. Sin embargo el potencial adsortivo del medio coalescedor no es infinito. Se observó que luego de 5,0 ml de muestra recolectada no fue posible recuperar agua. Esta desmejora puede deberse a que el medio se ha saturado completamente</w:t>
      </w:r>
      <w:r w:rsidR="00000703">
        <w:rPr>
          <w:szCs w:val="24"/>
        </w:rPr>
        <w:t xml:space="preserve">. </w:t>
      </w:r>
    </w:p>
    <w:p w:rsidR="0017751F" w:rsidRDefault="009910D1" w:rsidP="00E02D7D">
      <w:pPr>
        <w:spacing w:line="360" w:lineRule="auto"/>
        <w:jc w:val="both"/>
        <w:rPr>
          <w:szCs w:val="24"/>
        </w:rPr>
      </w:pPr>
      <w:r>
        <w:rPr>
          <w:szCs w:val="24"/>
        </w:rPr>
        <w:tab/>
      </w:r>
      <w:r w:rsidR="00000703">
        <w:rPr>
          <w:szCs w:val="24"/>
        </w:rPr>
        <w:t>Ahora bien la adsorción de surfactantes en la superficie del medio coalescedor dependerá de la mojabilidad del material, de su área superficial y de las características de la emulsión</w:t>
      </w:r>
      <w:r>
        <w:rPr>
          <w:szCs w:val="24"/>
        </w:rPr>
        <w:t>, específicamente de los agentes emulsionantes</w:t>
      </w:r>
      <w:r w:rsidR="00000703">
        <w:rPr>
          <w:szCs w:val="24"/>
        </w:rPr>
        <w:t>.</w:t>
      </w:r>
      <w:r w:rsidR="0017751F">
        <w:rPr>
          <w:szCs w:val="24"/>
        </w:rPr>
        <w:tab/>
      </w:r>
    </w:p>
    <w:p w:rsidR="00000703" w:rsidRDefault="00000703" w:rsidP="00E02D7D">
      <w:pPr>
        <w:spacing w:line="360" w:lineRule="auto"/>
        <w:jc w:val="both"/>
        <w:rPr>
          <w:szCs w:val="24"/>
        </w:rPr>
      </w:pPr>
      <w:r>
        <w:rPr>
          <w:szCs w:val="24"/>
        </w:rPr>
        <w:tab/>
        <w:t xml:space="preserve">El SARA de la fosa </w:t>
      </w:r>
      <w:r w:rsidR="00355A67">
        <w:rPr>
          <w:szCs w:val="24"/>
        </w:rPr>
        <w:t>Acema-100</w:t>
      </w:r>
      <w:r>
        <w:rPr>
          <w:szCs w:val="24"/>
        </w:rPr>
        <w:t>, determinó que la fracción resínica alcanza una composición del 23 % y 7 % de asfaltenos. Estas dos fracciones son</w:t>
      </w:r>
      <w:r w:rsidR="009D5529">
        <w:rPr>
          <w:szCs w:val="24"/>
        </w:rPr>
        <w:t xml:space="preserve"> principalmente,</w:t>
      </w:r>
      <w:r>
        <w:rPr>
          <w:szCs w:val="24"/>
        </w:rPr>
        <w:t xml:space="preserve"> las responsables de la alta estabilidad de la emulsión. Es posible que las resinas, al interaccionar con moléculas de asfaltenos, formen estructuras con un balance hidrofílico-lipofílico (índice HLB) intermedio tal que la adsorción de estas estructuras sobre un medio hidrofílico o hidrofóbico tenga u</w:t>
      </w:r>
      <w:r w:rsidR="009D5529">
        <w:rPr>
          <w:szCs w:val="24"/>
        </w:rPr>
        <w:t>n efecto desestabilizar similar y en consecuencia se obtenga, para esta fosa en particular, altos porcentajes de recuperación cuando se emplea un medio hidrofílico, anillos de vidrio, o hidrofóbico, esferas de polietileno.</w:t>
      </w:r>
      <w:r w:rsidR="009910D1">
        <w:rPr>
          <w:szCs w:val="24"/>
        </w:rPr>
        <w:t xml:space="preserve"> </w:t>
      </w:r>
    </w:p>
    <w:p w:rsidR="00883D2E" w:rsidRDefault="004C300E" w:rsidP="00E02D7D">
      <w:pPr>
        <w:spacing w:line="360" w:lineRule="auto"/>
        <w:jc w:val="both"/>
        <w:rPr>
          <w:szCs w:val="24"/>
        </w:rPr>
      </w:pPr>
      <w:r>
        <w:rPr>
          <w:szCs w:val="24"/>
        </w:rPr>
        <w:tab/>
        <w:t>Cuando se aplica un campo</w:t>
      </w:r>
      <w:r w:rsidR="00C407ED">
        <w:rPr>
          <w:szCs w:val="24"/>
        </w:rPr>
        <w:t xml:space="preserve"> de corriente directa, se induce un momento dipolar </w:t>
      </w:r>
      <w:r w:rsidR="00D57063">
        <w:rPr>
          <w:szCs w:val="24"/>
        </w:rPr>
        <w:t>y una eventual m</w:t>
      </w:r>
      <w:r w:rsidR="00C407ED">
        <w:rPr>
          <w:szCs w:val="24"/>
        </w:rPr>
        <w:t>igración de las gotas en</w:t>
      </w:r>
      <w:r w:rsidR="00D57063">
        <w:rPr>
          <w:szCs w:val="24"/>
        </w:rPr>
        <w:t xml:space="preserve"> la</w:t>
      </w:r>
      <w:r w:rsidR="00C407ED">
        <w:rPr>
          <w:szCs w:val="24"/>
        </w:rPr>
        <w:t xml:space="preserve"> dirección de mayor intensidad de campo. El medio coalescedor </w:t>
      </w:r>
      <w:r w:rsidR="00D62AC2">
        <w:rPr>
          <w:szCs w:val="24"/>
        </w:rPr>
        <w:t>produce una distorsión de las líneas de flujo de campo eléctrico</w:t>
      </w:r>
      <w:r w:rsidR="00EA13A9">
        <w:rPr>
          <w:szCs w:val="24"/>
        </w:rPr>
        <w:t xml:space="preserve"> principalmente debido</w:t>
      </w:r>
      <w:r>
        <w:rPr>
          <w:szCs w:val="24"/>
        </w:rPr>
        <w:t xml:space="preserve"> </w:t>
      </w:r>
      <w:r w:rsidR="00EA13A9">
        <w:rPr>
          <w:szCs w:val="24"/>
        </w:rPr>
        <w:t>a la</w:t>
      </w:r>
      <w:r>
        <w:rPr>
          <w:szCs w:val="24"/>
        </w:rPr>
        <w:t xml:space="preserve"> disposición aleatoria</w:t>
      </w:r>
      <w:r w:rsidR="00883D2E">
        <w:rPr>
          <w:szCs w:val="24"/>
        </w:rPr>
        <w:t xml:space="preserve"> (no estructurada)</w:t>
      </w:r>
      <w:r w:rsidR="00EA13A9">
        <w:rPr>
          <w:szCs w:val="24"/>
        </w:rPr>
        <w:t xml:space="preserve"> del medio en la celda y su característica dieléctrica (todos los medios coalescedores</w:t>
      </w:r>
      <w:r w:rsidR="00883D2E">
        <w:rPr>
          <w:szCs w:val="24"/>
        </w:rPr>
        <w:t xml:space="preserve"> </w:t>
      </w:r>
      <w:r w:rsidR="00EA13A9">
        <w:rPr>
          <w:szCs w:val="24"/>
        </w:rPr>
        <w:t>u</w:t>
      </w:r>
      <w:r w:rsidR="00883D2E">
        <w:rPr>
          <w:szCs w:val="24"/>
        </w:rPr>
        <w:t>tilizados son dieléctricos</w:t>
      </w:r>
      <w:r w:rsidR="00EA13A9">
        <w:rPr>
          <w:szCs w:val="24"/>
        </w:rPr>
        <w:t>)</w:t>
      </w:r>
      <w:r w:rsidR="00883D2E">
        <w:rPr>
          <w:szCs w:val="24"/>
        </w:rPr>
        <w:t xml:space="preserve">. Esto asegura la no uniformidad del campo eléctrico lo cual mejora el proceso de coalescencia. Un campo eléctrico no uniforme obliga a que las gotas </w:t>
      </w:r>
      <w:r w:rsidR="00883D2E">
        <w:rPr>
          <w:szCs w:val="24"/>
        </w:rPr>
        <w:lastRenderedPageBreak/>
        <w:t xml:space="preserve">sigan trayectorias irregulares a lo largo del sistema aumentando las colisiones inter-gotas aumentando la coalescencia. </w:t>
      </w:r>
    </w:p>
    <w:p w:rsidR="00C42EBF" w:rsidRDefault="00C42EBF" w:rsidP="00E02D7D">
      <w:pPr>
        <w:spacing w:line="360" w:lineRule="auto"/>
        <w:jc w:val="both"/>
        <w:rPr>
          <w:szCs w:val="24"/>
        </w:rPr>
      </w:pPr>
      <w:r>
        <w:rPr>
          <w:szCs w:val="24"/>
        </w:rPr>
        <w:tab/>
        <w:t>Otra consideración que debe realizarse está referida a la intensidad del campo eléctrico. Para anillos de vidrio, cuya fracción vacía es superior a la de esferas de polietileno, es posible que la alta recuperación pueda estar afectada también por una mejor distribución del campo eléctrico en la celda. Entiéndase esto como que la restricción al campo eléctrico es menor en anillos de vidrio que en esferas de polietileno.</w:t>
      </w:r>
    </w:p>
    <w:p w:rsidR="00883D2E" w:rsidRDefault="004C300E" w:rsidP="00E02D7D">
      <w:pPr>
        <w:spacing w:line="360" w:lineRule="auto"/>
        <w:jc w:val="both"/>
        <w:rPr>
          <w:szCs w:val="24"/>
        </w:rPr>
      </w:pPr>
      <w:r>
        <w:rPr>
          <w:szCs w:val="24"/>
        </w:rPr>
        <w:tab/>
      </w:r>
      <w:r w:rsidR="00883D2E">
        <w:rPr>
          <w:szCs w:val="24"/>
        </w:rPr>
        <w:t>El contenido de agua total en la emulsión</w:t>
      </w:r>
      <w:r>
        <w:rPr>
          <w:szCs w:val="24"/>
        </w:rPr>
        <w:t xml:space="preserve"> juega también un papel fundamental en la separación. </w:t>
      </w:r>
      <w:r w:rsidR="00E17770">
        <w:rPr>
          <w:szCs w:val="24"/>
        </w:rPr>
        <w:t xml:space="preserve">Una mayor cantidad de agua </w:t>
      </w:r>
      <w:r w:rsidR="00A96BF3">
        <w:rPr>
          <w:szCs w:val="24"/>
        </w:rPr>
        <w:t xml:space="preserve"> </w:t>
      </w:r>
      <w:r w:rsidR="00E17770">
        <w:rPr>
          <w:szCs w:val="24"/>
        </w:rPr>
        <w:t>sugiere que las gotas están más cerca una de otras</w:t>
      </w:r>
      <w:r w:rsidR="00883D2E">
        <w:rPr>
          <w:szCs w:val="24"/>
        </w:rPr>
        <w:t>, lo cual aumenta el número de colisiones a consecuencia de la migración de las gotas lo que se traduce en una recuperación más eficiente</w:t>
      </w:r>
      <w:r w:rsidR="00E17770">
        <w:rPr>
          <w:szCs w:val="24"/>
        </w:rPr>
        <w:t>.</w:t>
      </w:r>
      <w:r w:rsidR="0037197D">
        <w:rPr>
          <w:szCs w:val="24"/>
        </w:rPr>
        <w:t xml:space="preserve"> </w:t>
      </w:r>
      <w:r w:rsidR="00883D2E">
        <w:rPr>
          <w:szCs w:val="24"/>
        </w:rPr>
        <w:t xml:space="preserve">Tal </w:t>
      </w:r>
      <w:r w:rsidR="00C42EBF">
        <w:rPr>
          <w:szCs w:val="24"/>
        </w:rPr>
        <w:t>fue el</w:t>
      </w:r>
      <w:r w:rsidR="00883D2E">
        <w:rPr>
          <w:szCs w:val="24"/>
        </w:rPr>
        <w:t xml:space="preserve"> caso de la fosa </w:t>
      </w:r>
      <w:r w:rsidR="00355A67">
        <w:rPr>
          <w:szCs w:val="24"/>
        </w:rPr>
        <w:t>Acema-100</w:t>
      </w:r>
      <w:r w:rsidR="00C42EBF">
        <w:rPr>
          <w:szCs w:val="24"/>
        </w:rPr>
        <w:t>,</w:t>
      </w:r>
      <w:r w:rsidR="00883D2E">
        <w:rPr>
          <w:szCs w:val="24"/>
        </w:rPr>
        <w:t xml:space="preserve"> la cual presenta un contenido de agua considerablemente alto, alrededor del 37 %. </w:t>
      </w:r>
    </w:p>
    <w:p w:rsidR="003F57B2" w:rsidRDefault="00883D2E" w:rsidP="0005538D">
      <w:pPr>
        <w:spacing w:after="240" w:line="360" w:lineRule="auto"/>
        <w:jc w:val="both"/>
        <w:rPr>
          <w:szCs w:val="24"/>
        </w:rPr>
      </w:pPr>
      <w:r>
        <w:rPr>
          <w:szCs w:val="24"/>
        </w:rPr>
        <w:tab/>
      </w:r>
      <w:r w:rsidR="004D7E6D">
        <w:rPr>
          <w:szCs w:val="24"/>
        </w:rPr>
        <w:t>La migración</w:t>
      </w:r>
      <w:r w:rsidR="009910D1">
        <w:rPr>
          <w:szCs w:val="24"/>
        </w:rPr>
        <w:t xml:space="preserve"> de las gotas</w:t>
      </w:r>
      <w:r w:rsidR="004D7E6D">
        <w:rPr>
          <w:szCs w:val="24"/>
        </w:rPr>
        <w:t xml:space="preserve"> </w:t>
      </w:r>
      <w:r w:rsidR="00C42EBF">
        <w:rPr>
          <w:szCs w:val="24"/>
        </w:rPr>
        <w:t>puede verse significativamente afectada</w:t>
      </w:r>
      <w:r>
        <w:rPr>
          <w:szCs w:val="24"/>
        </w:rPr>
        <w:t xml:space="preserve"> </w:t>
      </w:r>
      <w:r w:rsidR="009910D1">
        <w:rPr>
          <w:szCs w:val="24"/>
        </w:rPr>
        <w:t>por</w:t>
      </w:r>
      <w:r w:rsidR="004D7E6D">
        <w:rPr>
          <w:szCs w:val="24"/>
        </w:rPr>
        <w:t xml:space="preserve"> </w:t>
      </w:r>
      <w:r>
        <w:rPr>
          <w:szCs w:val="24"/>
        </w:rPr>
        <w:t>la conductividad</w:t>
      </w:r>
      <w:r w:rsidR="004D7E6D">
        <w:rPr>
          <w:szCs w:val="24"/>
        </w:rPr>
        <w:t xml:space="preserve"> </w:t>
      </w:r>
      <w:r w:rsidR="003F57B2">
        <w:rPr>
          <w:szCs w:val="24"/>
        </w:rPr>
        <w:t xml:space="preserve">del </w:t>
      </w:r>
      <w:r w:rsidR="004D7E6D">
        <w:rPr>
          <w:szCs w:val="24"/>
        </w:rPr>
        <w:t>agua</w:t>
      </w:r>
      <w:r w:rsidR="003F57B2">
        <w:rPr>
          <w:szCs w:val="24"/>
        </w:rPr>
        <w:t xml:space="preserve"> </w:t>
      </w:r>
      <w:r w:rsidR="00E7139A">
        <w:rPr>
          <w:szCs w:val="24"/>
        </w:rPr>
        <w:t>del agua emulsionada</w:t>
      </w:r>
      <w:r w:rsidR="004D7E6D">
        <w:rPr>
          <w:szCs w:val="24"/>
        </w:rPr>
        <w:t xml:space="preserve">. </w:t>
      </w:r>
      <w:r w:rsidR="009910D1">
        <w:rPr>
          <w:szCs w:val="24"/>
        </w:rPr>
        <w:t>I</w:t>
      </w:r>
      <w:r w:rsidR="004D7E6D">
        <w:rPr>
          <w:szCs w:val="24"/>
        </w:rPr>
        <w:t xml:space="preserve">ones disueltos </w:t>
      </w:r>
      <w:r w:rsidR="005B002F">
        <w:rPr>
          <w:szCs w:val="24"/>
        </w:rPr>
        <w:t xml:space="preserve">presentes en el agua </w:t>
      </w:r>
      <w:r w:rsidR="004D7E6D">
        <w:rPr>
          <w:szCs w:val="24"/>
        </w:rPr>
        <w:t xml:space="preserve">pueden inducir la formación de grandes </w:t>
      </w:r>
      <w:r w:rsidR="003F57B2">
        <w:rPr>
          <w:szCs w:val="24"/>
        </w:rPr>
        <w:t>momentos dipolares en las gotas</w:t>
      </w:r>
      <w:r w:rsidR="00E7139A">
        <w:rPr>
          <w:szCs w:val="24"/>
        </w:rPr>
        <w:t>, lo cual incrementa la velocidad con la cual las gotas migraran a lo largo del sistema.</w:t>
      </w:r>
      <w:r w:rsidR="003F57B2">
        <w:rPr>
          <w:szCs w:val="24"/>
        </w:rPr>
        <w:t xml:space="preserve"> En la tabla a continuación se presenta la conduc</w:t>
      </w:r>
      <w:r w:rsidR="00201E63">
        <w:rPr>
          <w:szCs w:val="24"/>
        </w:rPr>
        <w:t>t</w:t>
      </w:r>
      <w:r w:rsidR="003F57B2">
        <w:rPr>
          <w:szCs w:val="24"/>
        </w:rPr>
        <w:t xml:space="preserve">ividad </w:t>
      </w:r>
      <w:r w:rsidR="00201E63">
        <w:rPr>
          <w:szCs w:val="24"/>
        </w:rPr>
        <w:t>de las tres fosas de producción:</w:t>
      </w:r>
    </w:p>
    <w:p w:rsidR="00201E63" w:rsidRDefault="0005538D" w:rsidP="0005538D">
      <w:pPr>
        <w:pStyle w:val="Epgrafe"/>
        <w:rPr>
          <w:bCs w:val="0"/>
        </w:rPr>
      </w:pPr>
      <w:bookmarkStart w:id="151" w:name="_Toc325636321"/>
      <w:r>
        <w:t xml:space="preserve">Tabla N° </w:t>
      </w:r>
      <w:fldSimple w:instr=" SEQ Tabla_N° \* ARABIC ">
        <w:r w:rsidR="004A5F6F">
          <w:rPr>
            <w:noProof/>
          </w:rPr>
          <w:t>7</w:t>
        </w:r>
      </w:fldSimple>
      <w:r>
        <w:rPr>
          <w:bCs w:val="0"/>
        </w:rPr>
        <w:t>:</w:t>
      </w:r>
      <w:r w:rsidR="00201E63" w:rsidRPr="00057DA9">
        <w:rPr>
          <w:bCs w:val="0"/>
        </w:rPr>
        <w:t xml:space="preserve"> Conductividad de la fase acuosa </w:t>
      </w:r>
      <w:r w:rsidR="00286E24">
        <w:rPr>
          <w:bCs w:val="0"/>
        </w:rPr>
        <w:t>de</w:t>
      </w:r>
      <w:r w:rsidR="00201E63" w:rsidRPr="00057DA9">
        <w:rPr>
          <w:bCs w:val="0"/>
        </w:rPr>
        <w:t xml:space="preserve"> </w:t>
      </w:r>
      <w:r w:rsidR="00201E63">
        <w:rPr>
          <w:bCs w:val="0"/>
        </w:rPr>
        <w:t>las fosas de producción en estudio</w:t>
      </w:r>
      <w:r w:rsidR="00201E63" w:rsidRPr="00057DA9">
        <w:rPr>
          <w:bCs w:val="0"/>
        </w:rPr>
        <w:t>.</w:t>
      </w:r>
      <w:bookmarkEnd w:id="151"/>
    </w:p>
    <w:tbl>
      <w:tblPr>
        <w:tblW w:w="5882" w:type="dxa"/>
        <w:jc w:val="center"/>
        <w:tblInd w:w="98" w:type="dxa"/>
        <w:tblLook w:val="04A0"/>
      </w:tblPr>
      <w:tblGrid>
        <w:gridCol w:w="2061"/>
        <w:gridCol w:w="1401"/>
        <w:gridCol w:w="1328"/>
        <w:gridCol w:w="1092"/>
      </w:tblGrid>
      <w:tr w:rsidR="00286E24" w:rsidRPr="00286E24" w:rsidTr="00286E24">
        <w:trPr>
          <w:trHeight w:val="330"/>
          <w:jc w:val="center"/>
        </w:trPr>
        <w:tc>
          <w:tcPr>
            <w:tcW w:w="20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86E24" w:rsidRPr="00286E24" w:rsidRDefault="00286E24" w:rsidP="00286E24">
            <w:pPr>
              <w:jc w:val="center"/>
              <w:rPr>
                <w:b/>
                <w:bCs/>
                <w:color w:val="000000"/>
                <w:sz w:val="20"/>
                <w:lang w:val="en-US" w:eastAsia="en-US"/>
              </w:rPr>
            </w:pPr>
            <w:r w:rsidRPr="00286E24">
              <w:rPr>
                <w:rFonts w:cs="Calibri"/>
                <w:b/>
                <w:bCs/>
                <w:color w:val="000000"/>
                <w:sz w:val="20"/>
                <w:lang w:val="es-VE" w:eastAsia="en-US"/>
              </w:rPr>
              <w:t>Fosa</w:t>
            </w:r>
          </w:p>
        </w:tc>
        <w:tc>
          <w:tcPr>
            <w:tcW w:w="1401" w:type="dxa"/>
            <w:tcBorders>
              <w:top w:val="single" w:sz="8" w:space="0" w:color="auto"/>
              <w:left w:val="nil"/>
              <w:bottom w:val="single" w:sz="8" w:space="0" w:color="auto"/>
              <w:right w:val="single" w:sz="8" w:space="0" w:color="auto"/>
            </w:tcBorders>
            <w:shd w:val="clear" w:color="auto" w:fill="auto"/>
            <w:vAlign w:val="center"/>
            <w:hideMark/>
          </w:tcPr>
          <w:p w:rsidR="00286E24" w:rsidRPr="00286E24" w:rsidRDefault="00286E24" w:rsidP="00286E24">
            <w:pPr>
              <w:jc w:val="center"/>
              <w:rPr>
                <w:b/>
                <w:bCs/>
                <w:color w:val="000000"/>
                <w:sz w:val="20"/>
                <w:lang w:val="en-US" w:eastAsia="en-US"/>
              </w:rPr>
            </w:pPr>
            <w:r w:rsidRPr="00286E24">
              <w:rPr>
                <w:rFonts w:cs="Calibri"/>
                <w:b/>
                <w:bCs/>
                <w:color w:val="000000"/>
                <w:sz w:val="20"/>
                <w:lang w:val="es-VE" w:eastAsia="en-US"/>
              </w:rPr>
              <w:t>Acema-100</w:t>
            </w:r>
          </w:p>
        </w:tc>
        <w:tc>
          <w:tcPr>
            <w:tcW w:w="1328" w:type="dxa"/>
            <w:tcBorders>
              <w:top w:val="single" w:sz="8" w:space="0" w:color="auto"/>
              <w:left w:val="nil"/>
              <w:bottom w:val="single" w:sz="8" w:space="0" w:color="auto"/>
              <w:right w:val="single" w:sz="8" w:space="0" w:color="auto"/>
            </w:tcBorders>
            <w:shd w:val="clear" w:color="auto" w:fill="auto"/>
            <w:vAlign w:val="center"/>
            <w:hideMark/>
          </w:tcPr>
          <w:p w:rsidR="00286E24" w:rsidRPr="00286E24" w:rsidRDefault="00286E24" w:rsidP="00286E24">
            <w:pPr>
              <w:jc w:val="center"/>
              <w:rPr>
                <w:b/>
                <w:bCs/>
                <w:color w:val="000000"/>
                <w:sz w:val="20"/>
                <w:lang w:val="en-US" w:eastAsia="en-US"/>
              </w:rPr>
            </w:pPr>
            <w:r w:rsidRPr="00286E24">
              <w:rPr>
                <w:rFonts w:cs="Calibri"/>
                <w:b/>
                <w:bCs/>
                <w:color w:val="000000"/>
                <w:sz w:val="20"/>
                <w:lang w:val="es-VE" w:eastAsia="en-US"/>
              </w:rPr>
              <w:t>Merey-31</w:t>
            </w:r>
          </w:p>
        </w:tc>
        <w:tc>
          <w:tcPr>
            <w:tcW w:w="1092" w:type="dxa"/>
            <w:tcBorders>
              <w:top w:val="single" w:sz="8" w:space="0" w:color="auto"/>
              <w:left w:val="nil"/>
              <w:bottom w:val="single" w:sz="8" w:space="0" w:color="auto"/>
              <w:right w:val="single" w:sz="8" w:space="0" w:color="auto"/>
            </w:tcBorders>
            <w:shd w:val="clear" w:color="auto" w:fill="auto"/>
            <w:vAlign w:val="center"/>
            <w:hideMark/>
          </w:tcPr>
          <w:p w:rsidR="00286E24" w:rsidRPr="00286E24" w:rsidRDefault="00286E24" w:rsidP="00286E24">
            <w:pPr>
              <w:jc w:val="center"/>
              <w:rPr>
                <w:b/>
                <w:bCs/>
                <w:color w:val="000000"/>
                <w:sz w:val="20"/>
                <w:lang w:val="en-US" w:eastAsia="en-US"/>
              </w:rPr>
            </w:pPr>
            <w:r w:rsidRPr="00286E24">
              <w:rPr>
                <w:rFonts w:cs="Calibri"/>
                <w:b/>
                <w:bCs/>
                <w:color w:val="000000"/>
                <w:sz w:val="20"/>
                <w:lang w:val="es-VE" w:eastAsia="en-US"/>
              </w:rPr>
              <w:t>Guara-2</w:t>
            </w:r>
          </w:p>
        </w:tc>
      </w:tr>
      <w:tr w:rsidR="00286E24" w:rsidRPr="00286E24" w:rsidTr="00286E24">
        <w:trPr>
          <w:trHeight w:val="315"/>
          <w:jc w:val="center"/>
        </w:trPr>
        <w:tc>
          <w:tcPr>
            <w:tcW w:w="2061" w:type="dxa"/>
            <w:vMerge w:val="restart"/>
            <w:tcBorders>
              <w:top w:val="nil"/>
              <w:left w:val="single" w:sz="8" w:space="0" w:color="auto"/>
              <w:bottom w:val="single" w:sz="8" w:space="0" w:color="000000"/>
              <w:right w:val="single" w:sz="8" w:space="0" w:color="auto"/>
            </w:tcBorders>
            <w:shd w:val="clear" w:color="auto" w:fill="auto"/>
            <w:vAlign w:val="center"/>
            <w:hideMark/>
          </w:tcPr>
          <w:p w:rsidR="00286E24" w:rsidRPr="00286E24" w:rsidRDefault="00286E24" w:rsidP="00286E24">
            <w:pPr>
              <w:jc w:val="center"/>
              <w:rPr>
                <w:i/>
                <w:iCs/>
                <w:color w:val="000000"/>
                <w:sz w:val="20"/>
                <w:lang w:val="en-US" w:eastAsia="en-US"/>
              </w:rPr>
            </w:pPr>
            <w:r w:rsidRPr="00286E24">
              <w:rPr>
                <w:rFonts w:cs="Calibri"/>
                <w:i/>
                <w:iCs/>
                <w:color w:val="000000"/>
                <w:sz w:val="20"/>
                <w:lang w:eastAsia="en-US"/>
              </w:rPr>
              <w:t>Conductividad(mS/cm) (T=24,7 °C)</w:t>
            </w:r>
          </w:p>
        </w:tc>
        <w:tc>
          <w:tcPr>
            <w:tcW w:w="1401" w:type="dxa"/>
            <w:vMerge w:val="restart"/>
            <w:tcBorders>
              <w:top w:val="nil"/>
              <w:left w:val="single" w:sz="8" w:space="0" w:color="auto"/>
              <w:bottom w:val="single" w:sz="8" w:space="0" w:color="000000"/>
              <w:right w:val="single" w:sz="8" w:space="0" w:color="auto"/>
            </w:tcBorders>
            <w:shd w:val="clear" w:color="auto" w:fill="auto"/>
            <w:vAlign w:val="center"/>
            <w:hideMark/>
          </w:tcPr>
          <w:p w:rsidR="00286E24" w:rsidRPr="00286E24" w:rsidRDefault="00286E24" w:rsidP="00286E24">
            <w:pPr>
              <w:jc w:val="center"/>
              <w:rPr>
                <w:color w:val="000000"/>
                <w:sz w:val="20"/>
                <w:lang w:val="en-US" w:eastAsia="en-US"/>
              </w:rPr>
            </w:pPr>
            <w:r w:rsidRPr="00286E24">
              <w:rPr>
                <w:rFonts w:cs="Calibri"/>
                <w:color w:val="000000"/>
                <w:sz w:val="20"/>
                <w:lang w:val="es-VE" w:eastAsia="en-US"/>
              </w:rPr>
              <w:t>0,56</w:t>
            </w:r>
          </w:p>
        </w:tc>
        <w:tc>
          <w:tcPr>
            <w:tcW w:w="1328" w:type="dxa"/>
            <w:vMerge w:val="restart"/>
            <w:tcBorders>
              <w:top w:val="nil"/>
              <w:left w:val="single" w:sz="8" w:space="0" w:color="auto"/>
              <w:bottom w:val="single" w:sz="8" w:space="0" w:color="000000"/>
              <w:right w:val="single" w:sz="8" w:space="0" w:color="auto"/>
            </w:tcBorders>
            <w:shd w:val="clear" w:color="auto" w:fill="auto"/>
            <w:vAlign w:val="center"/>
            <w:hideMark/>
          </w:tcPr>
          <w:p w:rsidR="00286E24" w:rsidRPr="00286E24" w:rsidRDefault="00286E24" w:rsidP="00286E24">
            <w:pPr>
              <w:jc w:val="center"/>
              <w:rPr>
                <w:color w:val="000000"/>
                <w:sz w:val="20"/>
                <w:lang w:val="en-US" w:eastAsia="en-US"/>
              </w:rPr>
            </w:pPr>
            <w:r w:rsidRPr="00286E24">
              <w:rPr>
                <w:rFonts w:cs="Calibri"/>
                <w:color w:val="000000"/>
                <w:sz w:val="20"/>
                <w:lang w:val="es-VE" w:eastAsia="en-US"/>
              </w:rPr>
              <w:t>6,99</w:t>
            </w:r>
          </w:p>
        </w:tc>
        <w:tc>
          <w:tcPr>
            <w:tcW w:w="1092" w:type="dxa"/>
            <w:vMerge w:val="restart"/>
            <w:tcBorders>
              <w:top w:val="nil"/>
              <w:left w:val="single" w:sz="8" w:space="0" w:color="auto"/>
              <w:bottom w:val="single" w:sz="8" w:space="0" w:color="000000"/>
              <w:right w:val="single" w:sz="8" w:space="0" w:color="auto"/>
            </w:tcBorders>
            <w:shd w:val="clear" w:color="auto" w:fill="auto"/>
            <w:vAlign w:val="center"/>
            <w:hideMark/>
          </w:tcPr>
          <w:p w:rsidR="00286E24" w:rsidRPr="00286E24" w:rsidRDefault="00286E24" w:rsidP="00286E24">
            <w:pPr>
              <w:jc w:val="center"/>
              <w:rPr>
                <w:color w:val="000000"/>
                <w:sz w:val="20"/>
                <w:lang w:val="en-US" w:eastAsia="en-US"/>
              </w:rPr>
            </w:pPr>
            <w:r w:rsidRPr="00286E24">
              <w:rPr>
                <w:rFonts w:cs="Calibri"/>
                <w:color w:val="000000"/>
                <w:sz w:val="20"/>
                <w:lang w:val="es-VE" w:eastAsia="en-US"/>
              </w:rPr>
              <w:t>17,43</w:t>
            </w:r>
          </w:p>
        </w:tc>
      </w:tr>
      <w:tr w:rsidR="00286E24" w:rsidRPr="00286E24" w:rsidTr="00286E24">
        <w:trPr>
          <w:trHeight w:val="315"/>
          <w:jc w:val="center"/>
        </w:trPr>
        <w:tc>
          <w:tcPr>
            <w:tcW w:w="2061" w:type="dxa"/>
            <w:vMerge/>
            <w:tcBorders>
              <w:top w:val="nil"/>
              <w:left w:val="single" w:sz="8" w:space="0" w:color="auto"/>
              <w:bottom w:val="single" w:sz="8" w:space="0" w:color="000000"/>
              <w:right w:val="single" w:sz="8" w:space="0" w:color="auto"/>
            </w:tcBorders>
            <w:vAlign w:val="center"/>
            <w:hideMark/>
          </w:tcPr>
          <w:p w:rsidR="00286E24" w:rsidRPr="00286E24" w:rsidRDefault="00286E24" w:rsidP="00286E24">
            <w:pPr>
              <w:rPr>
                <w:i/>
                <w:iCs/>
                <w:color w:val="000000"/>
                <w:sz w:val="20"/>
                <w:lang w:val="en-US" w:eastAsia="en-US"/>
              </w:rPr>
            </w:pPr>
          </w:p>
        </w:tc>
        <w:tc>
          <w:tcPr>
            <w:tcW w:w="1401" w:type="dxa"/>
            <w:vMerge/>
            <w:tcBorders>
              <w:top w:val="nil"/>
              <w:left w:val="single" w:sz="8" w:space="0" w:color="auto"/>
              <w:bottom w:val="single" w:sz="8" w:space="0" w:color="000000"/>
              <w:right w:val="single" w:sz="8" w:space="0" w:color="auto"/>
            </w:tcBorders>
            <w:vAlign w:val="center"/>
            <w:hideMark/>
          </w:tcPr>
          <w:p w:rsidR="00286E24" w:rsidRPr="00286E24" w:rsidRDefault="00286E24" w:rsidP="00286E24">
            <w:pPr>
              <w:rPr>
                <w:color w:val="000000"/>
                <w:sz w:val="20"/>
                <w:lang w:val="en-US" w:eastAsia="en-US"/>
              </w:rPr>
            </w:pPr>
          </w:p>
        </w:tc>
        <w:tc>
          <w:tcPr>
            <w:tcW w:w="1328" w:type="dxa"/>
            <w:vMerge/>
            <w:tcBorders>
              <w:top w:val="nil"/>
              <w:left w:val="single" w:sz="8" w:space="0" w:color="auto"/>
              <w:bottom w:val="single" w:sz="8" w:space="0" w:color="000000"/>
              <w:right w:val="single" w:sz="8" w:space="0" w:color="auto"/>
            </w:tcBorders>
            <w:vAlign w:val="center"/>
            <w:hideMark/>
          </w:tcPr>
          <w:p w:rsidR="00286E24" w:rsidRPr="00286E24" w:rsidRDefault="00286E24" w:rsidP="00286E24">
            <w:pPr>
              <w:rPr>
                <w:color w:val="000000"/>
                <w:sz w:val="20"/>
                <w:lang w:val="en-US" w:eastAsia="en-US"/>
              </w:rPr>
            </w:pPr>
          </w:p>
        </w:tc>
        <w:tc>
          <w:tcPr>
            <w:tcW w:w="1092" w:type="dxa"/>
            <w:vMerge/>
            <w:tcBorders>
              <w:top w:val="nil"/>
              <w:left w:val="single" w:sz="8" w:space="0" w:color="auto"/>
              <w:bottom w:val="single" w:sz="8" w:space="0" w:color="000000"/>
              <w:right w:val="single" w:sz="8" w:space="0" w:color="auto"/>
            </w:tcBorders>
            <w:vAlign w:val="center"/>
            <w:hideMark/>
          </w:tcPr>
          <w:p w:rsidR="00286E24" w:rsidRPr="00286E24" w:rsidRDefault="00286E24" w:rsidP="00286E24">
            <w:pPr>
              <w:rPr>
                <w:color w:val="000000"/>
                <w:sz w:val="20"/>
                <w:lang w:val="en-US" w:eastAsia="en-US"/>
              </w:rPr>
            </w:pPr>
          </w:p>
        </w:tc>
      </w:tr>
      <w:tr w:rsidR="00286E24" w:rsidRPr="00286E24" w:rsidTr="00286E24">
        <w:trPr>
          <w:trHeight w:val="330"/>
          <w:jc w:val="center"/>
        </w:trPr>
        <w:tc>
          <w:tcPr>
            <w:tcW w:w="2061" w:type="dxa"/>
            <w:vMerge/>
            <w:tcBorders>
              <w:top w:val="nil"/>
              <w:left w:val="single" w:sz="8" w:space="0" w:color="auto"/>
              <w:bottom w:val="single" w:sz="8" w:space="0" w:color="000000"/>
              <w:right w:val="single" w:sz="8" w:space="0" w:color="auto"/>
            </w:tcBorders>
            <w:vAlign w:val="center"/>
            <w:hideMark/>
          </w:tcPr>
          <w:p w:rsidR="00286E24" w:rsidRPr="00286E24" w:rsidRDefault="00286E24" w:rsidP="00286E24">
            <w:pPr>
              <w:rPr>
                <w:i/>
                <w:iCs/>
                <w:color w:val="000000"/>
                <w:sz w:val="20"/>
                <w:lang w:val="en-US" w:eastAsia="en-US"/>
              </w:rPr>
            </w:pPr>
          </w:p>
        </w:tc>
        <w:tc>
          <w:tcPr>
            <w:tcW w:w="1401" w:type="dxa"/>
            <w:vMerge/>
            <w:tcBorders>
              <w:top w:val="nil"/>
              <w:left w:val="single" w:sz="8" w:space="0" w:color="auto"/>
              <w:bottom w:val="single" w:sz="8" w:space="0" w:color="000000"/>
              <w:right w:val="single" w:sz="8" w:space="0" w:color="auto"/>
            </w:tcBorders>
            <w:vAlign w:val="center"/>
            <w:hideMark/>
          </w:tcPr>
          <w:p w:rsidR="00286E24" w:rsidRPr="00286E24" w:rsidRDefault="00286E24" w:rsidP="00286E24">
            <w:pPr>
              <w:rPr>
                <w:color w:val="000000"/>
                <w:sz w:val="20"/>
                <w:lang w:val="en-US" w:eastAsia="en-US"/>
              </w:rPr>
            </w:pPr>
          </w:p>
        </w:tc>
        <w:tc>
          <w:tcPr>
            <w:tcW w:w="1328" w:type="dxa"/>
            <w:vMerge/>
            <w:tcBorders>
              <w:top w:val="nil"/>
              <w:left w:val="single" w:sz="8" w:space="0" w:color="auto"/>
              <w:bottom w:val="single" w:sz="8" w:space="0" w:color="000000"/>
              <w:right w:val="single" w:sz="8" w:space="0" w:color="auto"/>
            </w:tcBorders>
            <w:vAlign w:val="center"/>
            <w:hideMark/>
          </w:tcPr>
          <w:p w:rsidR="00286E24" w:rsidRPr="00286E24" w:rsidRDefault="00286E24" w:rsidP="00286E24">
            <w:pPr>
              <w:rPr>
                <w:color w:val="000000"/>
                <w:sz w:val="20"/>
                <w:lang w:val="en-US" w:eastAsia="en-US"/>
              </w:rPr>
            </w:pPr>
          </w:p>
        </w:tc>
        <w:tc>
          <w:tcPr>
            <w:tcW w:w="1092" w:type="dxa"/>
            <w:vMerge/>
            <w:tcBorders>
              <w:top w:val="nil"/>
              <w:left w:val="single" w:sz="8" w:space="0" w:color="auto"/>
              <w:bottom w:val="single" w:sz="8" w:space="0" w:color="000000"/>
              <w:right w:val="single" w:sz="8" w:space="0" w:color="auto"/>
            </w:tcBorders>
            <w:vAlign w:val="center"/>
            <w:hideMark/>
          </w:tcPr>
          <w:p w:rsidR="00286E24" w:rsidRPr="00286E24" w:rsidRDefault="00286E24" w:rsidP="00286E24">
            <w:pPr>
              <w:rPr>
                <w:color w:val="000000"/>
                <w:sz w:val="20"/>
                <w:lang w:val="en-US" w:eastAsia="en-US"/>
              </w:rPr>
            </w:pPr>
          </w:p>
        </w:tc>
      </w:tr>
    </w:tbl>
    <w:p w:rsidR="00DE6416" w:rsidRDefault="00694D03" w:rsidP="00DE6416">
      <w:pPr>
        <w:spacing w:before="240" w:line="360" w:lineRule="auto"/>
        <w:jc w:val="both"/>
        <w:rPr>
          <w:szCs w:val="24"/>
        </w:rPr>
      </w:pPr>
      <w:r>
        <w:rPr>
          <w:szCs w:val="24"/>
        </w:rPr>
        <w:t xml:space="preserve"> </w:t>
      </w:r>
      <w:r w:rsidR="003F57B2">
        <w:rPr>
          <w:szCs w:val="24"/>
        </w:rPr>
        <w:tab/>
      </w:r>
      <w:r w:rsidR="00E7139A">
        <w:rPr>
          <w:szCs w:val="24"/>
        </w:rPr>
        <w:t xml:space="preserve">La determinación de la salinidad del agua se realizó midiendo la conductividad del agua recuperada en cada una de las experiencias. A pesar de que la conductividad del agua es relativamente baja en esta fosa, se obtuvo una </w:t>
      </w:r>
      <w:r w:rsidR="00C42EBF">
        <w:rPr>
          <w:szCs w:val="24"/>
        </w:rPr>
        <w:t xml:space="preserve">muy </w:t>
      </w:r>
      <w:r w:rsidR="00E7139A">
        <w:rPr>
          <w:szCs w:val="24"/>
        </w:rPr>
        <w:t>buena separació</w:t>
      </w:r>
      <w:r w:rsidR="007878E5">
        <w:rPr>
          <w:szCs w:val="24"/>
        </w:rPr>
        <w:t xml:space="preserve">n. </w:t>
      </w:r>
      <w:r w:rsidR="00C42EBF">
        <w:rPr>
          <w:szCs w:val="24"/>
        </w:rPr>
        <w:t>Sin embargo, e</w:t>
      </w:r>
      <w:r w:rsidR="007878E5">
        <w:rPr>
          <w:szCs w:val="24"/>
        </w:rPr>
        <w:t xml:space="preserve">sto sugiere que la conductividad, para el caso de la fosa </w:t>
      </w:r>
      <w:r w:rsidR="00355A67">
        <w:rPr>
          <w:szCs w:val="24"/>
        </w:rPr>
        <w:t>Acema-100</w:t>
      </w:r>
      <w:r w:rsidR="007878E5">
        <w:rPr>
          <w:szCs w:val="24"/>
        </w:rPr>
        <w:t>, no es la responsable directa</w:t>
      </w:r>
      <w:r w:rsidR="00DE6416">
        <w:rPr>
          <w:szCs w:val="24"/>
        </w:rPr>
        <w:t xml:space="preserve"> </w:t>
      </w:r>
      <w:r w:rsidR="007878E5">
        <w:rPr>
          <w:szCs w:val="24"/>
        </w:rPr>
        <w:t>de la alta recuperación lograda</w:t>
      </w:r>
      <w:r w:rsidR="00DE6416">
        <w:rPr>
          <w:szCs w:val="24"/>
        </w:rPr>
        <w:t xml:space="preserve"> (campo DC)</w:t>
      </w:r>
      <w:r w:rsidR="007878E5">
        <w:rPr>
          <w:szCs w:val="24"/>
        </w:rPr>
        <w:t>.</w:t>
      </w:r>
      <w:r w:rsidR="00DE6416">
        <w:rPr>
          <w:szCs w:val="24"/>
        </w:rPr>
        <w:t xml:space="preserve"> </w:t>
      </w:r>
    </w:p>
    <w:p w:rsidR="00DE6416" w:rsidRDefault="00DE6416" w:rsidP="00DE6416">
      <w:pPr>
        <w:spacing w:line="360" w:lineRule="auto"/>
        <w:jc w:val="both"/>
        <w:rPr>
          <w:szCs w:val="24"/>
        </w:rPr>
      </w:pPr>
      <w:r>
        <w:rPr>
          <w:szCs w:val="24"/>
        </w:rPr>
        <w:lastRenderedPageBreak/>
        <w:tab/>
        <w:t xml:space="preserve"> </w:t>
      </w:r>
      <w:r w:rsidR="00B67446">
        <w:rPr>
          <w:szCs w:val="24"/>
        </w:rPr>
        <w:t xml:space="preserve">En </w:t>
      </w:r>
      <w:r w:rsidR="005B002F">
        <w:rPr>
          <w:szCs w:val="24"/>
        </w:rPr>
        <w:t>los casos en los cuales se aplicó un campo e</w:t>
      </w:r>
      <w:r w:rsidR="00DE5AAB">
        <w:rPr>
          <w:szCs w:val="24"/>
        </w:rPr>
        <w:t xml:space="preserve">léctrico </w:t>
      </w:r>
      <w:r>
        <w:rPr>
          <w:szCs w:val="24"/>
        </w:rPr>
        <w:t>AC</w:t>
      </w:r>
      <w:r w:rsidR="00DE5AAB">
        <w:rPr>
          <w:szCs w:val="24"/>
        </w:rPr>
        <w:t xml:space="preserve">, </w:t>
      </w:r>
      <w:r>
        <w:rPr>
          <w:szCs w:val="24"/>
        </w:rPr>
        <w:t xml:space="preserve">no ocurre una migración de la gota de agua en la dirección de la mayor intensidad de campo tal y como ocurre con campo DC. Para el caso AC </w:t>
      </w:r>
      <w:r w:rsidR="00DE5AAB">
        <w:rPr>
          <w:szCs w:val="24"/>
        </w:rPr>
        <w:t xml:space="preserve">las gotas </w:t>
      </w:r>
      <w:r>
        <w:rPr>
          <w:szCs w:val="24"/>
        </w:rPr>
        <w:t>oscilan</w:t>
      </w:r>
      <w:r w:rsidR="009064CD">
        <w:rPr>
          <w:szCs w:val="24"/>
        </w:rPr>
        <w:t xml:space="preserve"> a </w:t>
      </w:r>
      <w:r>
        <w:rPr>
          <w:szCs w:val="24"/>
        </w:rPr>
        <w:t>la</w:t>
      </w:r>
      <w:r w:rsidR="009064CD">
        <w:rPr>
          <w:szCs w:val="24"/>
        </w:rPr>
        <w:t xml:space="preserve"> frecuencia </w:t>
      </w:r>
      <w:r>
        <w:rPr>
          <w:szCs w:val="24"/>
        </w:rPr>
        <w:t>de la red (60 Hz.). Esto disminuye significativamente las colisiones inter-gotas lo cual resulta en una separación deficiente lo cual sugiere que el tipo campo de campo eléctrico que mejor promueve la separación es el campo DC.</w:t>
      </w:r>
    </w:p>
    <w:p w:rsidR="00D9048C" w:rsidRDefault="004D7E6D" w:rsidP="009910D1">
      <w:pPr>
        <w:spacing w:after="240" w:line="360" w:lineRule="auto"/>
        <w:jc w:val="both"/>
        <w:rPr>
          <w:szCs w:val="24"/>
        </w:rPr>
      </w:pPr>
      <w:r>
        <w:rPr>
          <w:szCs w:val="24"/>
        </w:rPr>
        <w:tab/>
      </w:r>
      <w:r w:rsidR="00DE6416">
        <w:rPr>
          <w:szCs w:val="24"/>
        </w:rPr>
        <w:t>Por otra parte, e</w:t>
      </w:r>
      <w:r w:rsidR="00E17770">
        <w:rPr>
          <w:szCs w:val="24"/>
        </w:rPr>
        <w:t xml:space="preserve">s importante considerar </w:t>
      </w:r>
      <w:r w:rsidR="00B67446">
        <w:rPr>
          <w:szCs w:val="24"/>
        </w:rPr>
        <w:t>que las</w:t>
      </w:r>
      <w:r w:rsidR="009910D1">
        <w:rPr>
          <w:szCs w:val="24"/>
        </w:rPr>
        <w:t xml:space="preserve"> fosas de producción, por ser emulsiones agua-crudo</w:t>
      </w:r>
      <w:r w:rsidR="00D9048C">
        <w:rPr>
          <w:szCs w:val="24"/>
        </w:rPr>
        <w:t xml:space="preserve"> con una gran </w:t>
      </w:r>
      <w:r w:rsidR="009910D1">
        <w:rPr>
          <w:szCs w:val="24"/>
        </w:rPr>
        <w:t xml:space="preserve">cantidad de desechos como lodos de perforación, </w:t>
      </w:r>
      <w:r w:rsidR="00D9048C">
        <w:rPr>
          <w:szCs w:val="24"/>
        </w:rPr>
        <w:t>químicos utilizados en el proceso de deshidratación a boca de pozo</w:t>
      </w:r>
      <w:r w:rsidR="009910D1">
        <w:rPr>
          <w:szCs w:val="24"/>
        </w:rPr>
        <w:t xml:space="preserve"> (</w:t>
      </w:r>
      <w:r w:rsidR="00D9048C">
        <w:rPr>
          <w:szCs w:val="24"/>
        </w:rPr>
        <w:t>floculantes, demulsificantes, dispersantes, entre otros</w:t>
      </w:r>
      <w:r w:rsidR="009910D1">
        <w:rPr>
          <w:szCs w:val="24"/>
        </w:rPr>
        <w:t xml:space="preserve">), realizar un análisis detallado de cada uno de los factores que pudiesen promover o evitar la coalescencia puede resultar bastante complejo. </w:t>
      </w:r>
    </w:p>
    <w:p w:rsidR="004C300E" w:rsidRPr="00641940" w:rsidRDefault="00874CEA" w:rsidP="00641940">
      <w:pPr>
        <w:pStyle w:val="Ttulo4"/>
        <w:spacing w:line="360" w:lineRule="auto"/>
        <w:rPr>
          <w:rFonts w:ascii="Times New Roman" w:hAnsi="Times New Roman"/>
          <w:sz w:val="24"/>
          <w:szCs w:val="24"/>
        </w:rPr>
      </w:pPr>
      <w:r>
        <w:rPr>
          <w:rFonts w:ascii="Times New Roman" w:hAnsi="Times New Roman"/>
          <w:sz w:val="24"/>
          <w:szCs w:val="24"/>
        </w:rPr>
        <w:t xml:space="preserve">4.2.3 </w:t>
      </w:r>
      <w:r w:rsidR="0016749A" w:rsidRPr="00641940">
        <w:rPr>
          <w:rFonts w:ascii="Times New Roman" w:hAnsi="Times New Roman"/>
          <w:sz w:val="24"/>
          <w:szCs w:val="24"/>
        </w:rPr>
        <w:t xml:space="preserve">Fosa </w:t>
      </w:r>
      <w:r w:rsidR="007770E8" w:rsidRPr="00641940">
        <w:rPr>
          <w:rFonts w:ascii="Times New Roman" w:hAnsi="Times New Roman"/>
          <w:sz w:val="24"/>
          <w:szCs w:val="24"/>
        </w:rPr>
        <w:t>Merey-31</w:t>
      </w:r>
    </w:p>
    <w:p w:rsidR="008C5206" w:rsidRDefault="0017152B" w:rsidP="009910D1">
      <w:pPr>
        <w:spacing w:line="360" w:lineRule="auto"/>
        <w:jc w:val="both"/>
        <w:rPr>
          <w:szCs w:val="24"/>
        </w:rPr>
      </w:pPr>
      <w:r>
        <w:rPr>
          <w:szCs w:val="24"/>
        </w:rPr>
        <w:tab/>
      </w:r>
      <w:r w:rsidR="00651FC7">
        <w:rPr>
          <w:szCs w:val="24"/>
        </w:rPr>
        <w:t>Para el tratamiento de esta fosa, t</w:t>
      </w:r>
      <w:r w:rsidR="008C5206">
        <w:rPr>
          <w:szCs w:val="24"/>
        </w:rPr>
        <w:t xml:space="preserve">al y cómo se expuso anteriormente, las condiciones operacionales </w:t>
      </w:r>
      <w:r w:rsidR="00651FC7">
        <w:rPr>
          <w:szCs w:val="24"/>
        </w:rPr>
        <w:t xml:space="preserve">se </w:t>
      </w:r>
      <w:r w:rsidR="009910D1">
        <w:rPr>
          <w:szCs w:val="24"/>
        </w:rPr>
        <w:t>determinaron</w:t>
      </w:r>
      <w:r w:rsidR="008C5206">
        <w:rPr>
          <w:szCs w:val="24"/>
        </w:rPr>
        <w:t xml:space="preserve"> </w:t>
      </w:r>
      <w:r w:rsidR="00222FA0">
        <w:rPr>
          <w:szCs w:val="24"/>
        </w:rPr>
        <w:t xml:space="preserve">en </w:t>
      </w:r>
      <w:r w:rsidR="008C5206">
        <w:rPr>
          <w:szCs w:val="24"/>
        </w:rPr>
        <w:t xml:space="preserve">base a las condiciones </w:t>
      </w:r>
      <w:r w:rsidR="00AF5800">
        <w:rPr>
          <w:szCs w:val="24"/>
        </w:rPr>
        <w:t xml:space="preserve">que </w:t>
      </w:r>
      <w:r w:rsidR="008C5206">
        <w:rPr>
          <w:szCs w:val="24"/>
        </w:rPr>
        <w:t xml:space="preserve">permitieron alcanzar la máxima recuperación </w:t>
      </w:r>
      <w:r w:rsidR="009910D1">
        <w:rPr>
          <w:szCs w:val="24"/>
        </w:rPr>
        <w:t>para</w:t>
      </w:r>
      <w:r w:rsidR="008C5206">
        <w:rPr>
          <w:szCs w:val="24"/>
        </w:rPr>
        <w:t xml:space="preserve"> la fosa </w:t>
      </w:r>
      <w:r w:rsidR="007770E8">
        <w:rPr>
          <w:szCs w:val="24"/>
        </w:rPr>
        <w:t>Acema-100</w:t>
      </w:r>
      <w:r w:rsidR="008C5206">
        <w:rPr>
          <w:szCs w:val="24"/>
        </w:rPr>
        <w:t>. Estas fueron:</w:t>
      </w:r>
    </w:p>
    <w:p w:rsidR="009910D1" w:rsidRDefault="0017152B" w:rsidP="0017152B">
      <w:pPr>
        <w:spacing w:line="360" w:lineRule="auto"/>
        <w:jc w:val="both"/>
        <w:rPr>
          <w:szCs w:val="24"/>
        </w:rPr>
      </w:pPr>
      <w:r>
        <w:rPr>
          <w:szCs w:val="24"/>
        </w:rPr>
        <w:tab/>
      </w:r>
      <w:r w:rsidR="008C5206" w:rsidRPr="00641940">
        <w:rPr>
          <w:b/>
          <w:szCs w:val="24"/>
        </w:rPr>
        <w:t>- Campo eléctrico de corriente continua</w:t>
      </w:r>
      <w:r w:rsidR="00AF5800" w:rsidRPr="00641940">
        <w:rPr>
          <w:b/>
          <w:szCs w:val="24"/>
        </w:rPr>
        <w:t>:</w:t>
      </w:r>
      <w:r w:rsidR="00AF5800">
        <w:rPr>
          <w:szCs w:val="24"/>
        </w:rPr>
        <w:t xml:space="preserve"> </w:t>
      </w:r>
      <w:r w:rsidR="009910D1">
        <w:rPr>
          <w:szCs w:val="24"/>
        </w:rPr>
        <w:t xml:space="preserve">El voltaje aplicado se determinó </w:t>
      </w:r>
      <w:r w:rsidR="00602FDD">
        <w:rPr>
          <w:szCs w:val="24"/>
        </w:rPr>
        <w:tab/>
      </w:r>
      <w:r w:rsidR="009910D1">
        <w:rPr>
          <w:szCs w:val="24"/>
        </w:rPr>
        <w:t xml:space="preserve">como el voltaje a partir del cual se observa la presencia de un corto eléctrico </w:t>
      </w:r>
      <w:r w:rsidR="00602FDD">
        <w:rPr>
          <w:szCs w:val="24"/>
        </w:rPr>
        <w:tab/>
      </w:r>
      <w:r w:rsidR="009910D1">
        <w:rPr>
          <w:szCs w:val="24"/>
        </w:rPr>
        <w:t>en el sistema.</w:t>
      </w:r>
    </w:p>
    <w:p w:rsidR="00602FDD" w:rsidRDefault="00AF5800" w:rsidP="0017152B">
      <w:pPr>
        <w:spacing w:line="360" w:lineRule="auto"/>
        <w:jc w:val="both"/>
        <w:rPr>
          <w:szCs w:val="24"/>
        </w:rPr>
      </w:pPr>
      <w:r>
        <w:rPr>
          <w:szCs w:val="24"/>
        </w:rPr>
        <w:t xml:space="preserve"> </w:t>
      </w:r>
      <w:r w:rsidR="0017152B">
        <w:rPr>
          <w:szCs w:val="24"/>
        </w:rPr>
        <w:tab/>
      </w:r>
      <w:r w:rsidR="008C5206" w:rsidRPr="00641940">
        <w:rPr>
          <w:b/>
          <w:szCs w:val="24"/>
        </w:rPr>
        <w:t xml:space="preserve">- Medio coalescedor: </w:t>
      </w:r>
      <w:r w:rsidR="009910D1">
        <w:rPr>
          <w:szCs w:val="24"/>
        </w:rPr>
        <w:t>E</w:t>
      </w:r>
      <w:r w:rsidR="00C5061B">
        <w:rPr>
          <w:szCs w:val="24"/>
        </w:rPr>
        <w:t>sferas de p</w:t>
      </w:r>
      <w:r w:rsidR="008C5206">
        <w:rPr>
          <w:szCs w:val="24"/>
        </w:rPr>
        <w:t>olietileno</w:t>
      </w:r>
      <w:r w:rsidR="00C5061B">
        <w:rPr>
          <w:szCs w:val="24"/>
        </w:rPr>
        <w:t xml:space="preserve"> (medio hidrofóbico)</w:t>
      </w:r>
      <w:r w:rsidR="008C5206">
        <w:rPr>
          <w:szCs w:val="24"/>
        </w:rPr>
        <w:t xml:space="preserve"> y anillos de </w:t>
      </w:r>
      <w:r w:rsidR="00602FDD">
        <w:rPr>
          <w:szCs w:val="24"/>
        </w:rPr>
        <w:tab/>
      </w:r>
      <w:r w:rsidR="008C5206">
        <w:rPr>
          <w:szCs w:val="24"/>
        </w:rPr>
        <w:t>vidrio</w:t>
      </w:r>
      <w:r w:rsidR="00C5061B">
        <w:rPr>
          <w:szCs w:val="24"/>
        </w:rPr>
        <w:t xml:space="preserve"> (medio hidrofílico)</w:t>
      </w:r>
      <w:r w:rsidR="00602FDD">
        <w:rPr>
          <w:szCs w:val="24"/>
        </w:rPr>
        <w:t>.</w:t>
      </w:r>
    </w:p>
    <w:p w:rsidR="00602FDD" w:rsidRDefault="00602FDD" w:rsidP="0017152B">
      <w:pPr>
        <w:spacing w:line="360" w:lineRule="auto"/>
        <w:jc w:val="both"/>
        <w:rPr>
          <w:szCs w:val="24"/>
        </w:rPr>
      </w:pPr>
      <w:r>
        <w:rPr>
          <w:szCs w:val="24"/>
        </w:rPr>
        <w:tab/>
      </w:r>
      <w:r w:rsidRPr="00641940">
        <w:rPr>
          <w:b/>
          <w:szCs w:val="24"/>
        </w:rPr>
        <w:t>- Tiempo de residencia:</w:t>
      </w:r>
      <w:r>
        <w:rPr>
          <w:szCs w:val="24"/>
        </w:rPr>
        <w:t xml:space="preserve"> Dada la alta viscosidad de la fosa, fue necesario </w:t>
      </w:r>
      <w:r>
        <w:rPr>
          <w:szCs w:val="24"/>
        </w:rPr>
        <w:tab/>
        <w:t xml:space="preserve">calentar la emulsión a fin de que ésta fluyera a través del sistema, por lo tanto </w:t>
      </w:r>
      <w:r>
        <w:rPr>
          <w:szCs w:val="24"/>
        </w:rPr>
        <w:tab/>
        <w:t>no se realizaron variaciones de tiempo de</w:t>
      </w:r>
      <w:r w:rsidR="00C42EBF">
        <w:rPr>
          <w:szCs w:val="24"/>
        </w:rPr>
        <w:t xml:space="preserve"> residencia. La emulsión se cal</w:t>
      </w:r>
      <w:r>
        <w:rPr>
          <w:szCs w:val="24"/>
        </w:rPr>
        <w:t>e</w:t>
      </w:r>
      <w:r w:rsidR="00C42EBF">
        <w:rPr>
          <w:szCs w:val="24"/>
        </w:rPr>
        <w:t>n</w:t>
      </w:r>
      <w:r>
        <w:rPr>
          <w:szCs w:val="24"/>
        </w:rPr>
        <w:t>t</w:t>
      </w:r>
      <w:r w:rsidR="00C42EBF">
        <w:rPr>
          <w:szCs w:val="24"/>
        </w:rPr>
        <w:t>ó</w:t>
      </w:r>
      <w:r>
        <w:rPr>
          <w:szCs w:val="24"/>
        </w:rPr>
        <w:t xml:space="preserve"> </w:t>
      </w:r>
      <w:r>
        <w:rPr>
          <w:szCs w:val="24"/>
        </w:rPr>
        <w:tab/>
        <w:t xml:space="preserve">a una temperatura de 50 °C. </w:t>
      </w:r>
    </w:p>
    <w:p w:rsidR="00222FA0" w:rsidRDefault="007643B5" w:rsidP="0017152B">
      <w:pPr>
        <w:spacing w:line="360" w:lineRule="auto"/>
        <w:jc w:val="both"/>
        <w:rPr>
          <w:szCs w:val="24"/>
        </w:rPr>
      </w:pPr>
      <w:r>
        <w:rPr>
          <w:szCs w:val="24"/>
        </w:rPr>
        <w:tab/>
      </w:r>
      <w:r w:rsidR="009C7311">
        <w:rPr>
          <w:szCs w:val="24"/>
        </w:rPr>
        <w:t xml:space="preserve">Se recolectaron </w:t>
      </w:r>
      <w:r w:rsidR="00286E24">
        <w:rPr>
          <w:szCs w:val="24"/>
        </w:rPr>
        <w:t>40 ml de muestra para cada una de las experiencias</w:t>
      </w:r>
      <w:r w:rsidR="00897053">
        <w:rPr>
          <w:szCs w:val="24"/>
        </w:rPr>
        <w:t xml:space="preserve"> </w:t>
      </w:r>
      <w:r w:rsidR="009C7311">
        <w:rPr>
          <w:szCs w:val="24"/>
        </w:rPr>
        <w:t xml:space="preserve">a fin de </w:t>
      </w:r>
      <w:r w:rsidR="00897053">
        <w:rPr>
          <w:szCs w:val="24"/>
        </w:rPr>
        <w:t xml:space="preserve">evaluar la eficiencia del medio coalescedor como una función del tiempo. Esto </w:t>
      </w:r>
      <w:r w:rsidR="00286E24">
        <w:rPr>
          <w:szCs w:val="24"/>
        </w:rPr>
        <w:t>atendió</w:t>
      </w:r>
      <w:r w:rsidR="00897053">
        <w:rPr>
          <w:szCs w:val="24"/>
        </w:rPr>
        <w:t xml:space="preserve"> principalmente a </w:t>
      </w:r>
      <w:r w:rsidR="00286E24">
        <w:rPr>
          <w:szCs w:val="24"/>
        </w:rPr>
        <w:t xml:space="preserve">la pérdida de efectividad del medio coalescedor observada </w:t>
      </w:r>
      <w:r w:rsidR="00286E24">
        <w:rPr>
          <w:szCs w:val="24"/>
        </w:rPr>
        <w:lastRenderedPageBreak/>
        <w:t>cuando se recuperaba un volumen de muestra mayor a los 5,0 ml</w:t>
      </w:r>
      <w:r w:rsidR="002463F9">
        <w:rPr>
          <w:szCs w:val="24"/>
        </w:rPr>
        <w:t xml:space="preserve"> con la fosa </w:t>
      </w:r>
      <w:r w:rsidR="00355A67">
        <w:rPr>
          <w:szCs w:val="24"/>
        </w:rPr>
        <w:t>Acema-100</w:t>
      </w:r>
      <w:r w:rsidR="00286E24">
        <w:rPr>
          <w:szCs w:val="24"/>
        </w:rPr>
        <w:t>.</w:t>
      </w:r>
    </w:p>
    <w:p w:rsidR="00C6601C" w:rsidRDefault="00C6601C" w:rsidP="0017152B">
      <w:pPr>
        <w:spacing w:line="360" w:lineRule="auto"/>
        <w:jc w:val="both"/>
        <w:rPr>
          <w:szCs w:val="24"/>
        </w:rPr>
      </w:pPr>
      <w:r>
        <w:rPr>
          <w:szCs w:val="24"/>
        </w:rPr>
        <w:tab/>
        <w:t xml:space="preserve">Para la fosa </w:t>
      </w:r>
      <w:r w:rsidR="007770E8">
        <w:rPr>
          <w:szCs w:val="24"/>
        </w:rPr>
        <w:t>Merey-31</w:t>
      </w:r>
      <w:r w:rsidR="009E761A">
        <w:rPr>
          <w:szCs w:val="24"/>
        </w:rPr>
        <w:t>,</w:t>
      </w:r>
      <w:r>
        <w:rPr>
          <w:szCs w:val="24"/>
        </w:rPr>
        <w:t xml:space="preserve"> la evaluación de las e</w:t>
      </w:r>
      <w:r w:rsidR="007C105A">
        <w:rPr>
          <w:szCs w:val="24"/>
        </w:rPr>
        <w:t xml:space="preserve">xperiencias </w:t>
      </w:r>
      <w:r w:rsidR="00286E24">
        <w:rPr>
          <w:szCs w:val="24"/>
        </w:rPr>
        <w:t>se realizó</w:t>
      </w:r>
      <w:r>
        <w:rPr>
          <w:szCs w:val="24"/>
        </w:rPr>
        <w:t xml:space="preserve"> de una manera complemente distinta a la de la fosa </w:t>
      </w:r>
      <w:r w:rsidR="007770E8">
        <w:rPr>
          <w:szCs w:val="24"/>
        </w:rPr>
        <w:t>Acema-100</w:t>
      </w:r>
      <w:r>
        <w:rPr>
          <w:szCs w:val="24"/>
        </w:rPr>
        <w:t xml:space="preserve">. </w:t>
      </w:r>
      <w:r w:rsidR="009E761A">
        <w:rPr>
          <w:szCs w:val="24"/>
        </w:rPr>
        <w:t>Esto se fundamentó</w:t>
      </w:r>
      <w:r w:rsidR="007C4A61">
        <w:rPr>
          <w:szCs w:val="24"/>
        </w:rPr>
        <w:t xml:space="preserve"> en</w:t>
      </w:r>
      <w:r>
        <w:rPr>
          <w:szCs w:val="24"/>
        </w:rPr>
        <w:t xml:space="preserve"> </w:t>
      </w:r>
      <w:r w:rsidR="009E761A">
        <w:rPr>
          <w:szCs w:val="24"/>
        </w:rPr>
        <w:t xml:space="preserve">el hecho de que no se observó separación </w:t>
      </w:r>
      <w:r>
        <w:rPr>
          <w:szCs w:val="24"/>
        </w:rPr>
        <w:t xml:space="preserve">de agua en los tubos de recolección luego </w:t>
      </w:r>
      <w:r w:rsidR="007C4A61">
        <w:rPr>
          <w:szCs w:val="24"/>
        </w:rPr>
        <w:t>a aplicar</w:t>
      </w:r>
      <w:r>
        <w:rPr>
          <w:szCs w:val="24"/>
        </w:rPr>
        <w:t xml:space="preserve"> </w:t>
      </w:r>
      <w:r w:rsidR="007C4A61">
        <w:rPr>
          <w:szCs w:val="24"/>
        </w:rPr>
        <w:t>el campo eléctrico</w:t>
      </w:r>
      <w:r w:rsidR="007E776A">
        <w:rPr>
          <w:szCs w:val="24"/>
        </w:rPr>
        <w:t>,</w:t>
      </w:r>
      <w:r w:rsidR="007C4A61">
        <w:rPr>
          <w:szCs w:val="24"/>
        </w:rPr>
        <w:t xml:space="preserve"> e incluso luego </w:t>
      </w:r>
      <w:r w:rsidR="009E761A">
        <w:rPr>
          <w:szCs w:val="24"/>
        </w:rPr>
        <w:t xml:space="preserve">centrifugar las muestras recolectadas. </w:t>
      </w:r>
      <w:r>
        <w:rPr>
          <w:szCs w:val="24"/>
        </w:rPr>
        <w:t xml:space="preserve">Por lo </w:t>
      </w:r>
      <w:r w:rsidR="009E761A">
        <w:rPr>
          <w:szCs w:val="24"/>
        </w:rPr>
        <w:t>tanto, para el estudio de esta fosa</w:t>
      </w:r>
      <w:r w:rsidR="007C4A61">
        <w:rPr>
          <w:szCs w:val="24"/>
        </w:rPr>
        <w:t>, se</w:t>
      </w:r>
      <w:r>
        <w:rPr>
          <w:szCs w:val="24"/>
        </w:rPr>
        <w:t xml:space="preserve"> </w:t>
      </w:r>
      <w:r w:rsidR="007C4A61">
        <w:rPr>
          <w:szCs w:val="24"/>
        </w:rPr>
        <w:t xml:space="preserve">utilizó </w:t>
      </w:r>
      <w:r w:rsidR="007E776A">
        <w:rPr>
          <w:szCs w:val="24"/>
        </w:rPr>
        <w:t xml:space="preserve">la técnica de </w:t>
      </w:r>
      <w:r w:rsidR="007C4A61">
        <w:rPr>
          <w:szCs w:val="24"/>
        </w:rPr>
        <w:t>microscopía óptica.</w:t>
      </w:r>
    </w:p>
    <w:p w:rsidR="007C4A61" w:rsidRDefault="009E761A" w:rsidP="0017152B">
      <w:pPr>
        <w:spacing w:line="360" w:lineRule="auto"/>
        <w:jc w:val="both"/>
        <w:rPr>
          <w:szCs w:val="24"/>
        </w:rPr>
      </w:pPr>
      <w:r>
        <w:rPr>
          <w:szCs w:val="24"/>
        </w:rPr>
        <w:tab/>
        <w:t xml:space="preserve">La evaluación se centró en estudiar la evolución de los tamaños de gotas de las muestras </w:t>
      </w:r>
      <w:r w:rsidR="002463F9">
        <w:rPr>
          <w:szCs w:val="24"/>
        </w:rPr>
        <w:t>tratadas</w:t>
      </w:r>
      <w:r>
        <w:rPr>
          <w:szCs w:val="24"/>
        </w:rPr>
        <w:t xml:space="preserve">. </w:t>
      </w:r>
      <w:r w:rsidR="00D16D88">
        <w:rPr>
          <w:szCs w:val="24"/>
        </w:rPr>
        <w:t xml:space="preserve">Para esto fue necesario realizar un conteo con el objeto de estimar la cantidad de agua presente y la distribución de tamaño de gotas en la muestra. </w:t>
      </w:r>
      <w:r w:rsidR="007C4A61">
        <w:rPr>
          <w:szCs w:val="24"/>
        </w:rPr>
        <w:t xml:space="preserve"> Esto se realizó </w:t>
      </w:r>
      <w:r w:rsidR="00D16D88">
        <w:rPr>
          <w:szCs w:val="24"/>
        </w:rPr>
        <w:t xml:space="preserve">a través </w:t>
      </w:r>
      <w:r w:rsidR="007C4A61">
        <w:rPr>
          <w:szCs w:val="24"/>
        </w:rPr>
        <w:t>de</w:t>
      </w:r>
      <w:r w:rsidR="00D16D88">
        <w:rPr>
          <w:szCs w:val="24"/>
        </w:rPr>
        <w:t>l programa de</w:t>
      </w:r>
      <w:r w:rsidR="007C4A61">
        <w:rPr>
          <w:szCs w:val="24"/>
        </w:rPr>
        <w:t xml:space="preserve"> análisis de imágenes Image Pro Plus 6.0.</w:t>
      </w:r>
      <w:r w:rsidR="00AF6F18">
        <w:rPr>
          <w:szCs w:val="24"/>
        </w:rPr>
        <w:t xml:space="preserve"> (Media Cybernetics).</w:t>
      </w:r>
      <w:r w:rsidR="007C4A61">
        <w:rPr>
          <w:szCs w:val="24"/>
        </w:rPr>
        <w:t xml:space="preserve"> </w:t>
      </w:r>
      <w:r w:rsidR="00D16D88">
        <w:rPr>
          <w:rFonts w:eastAsiaTheme="minorHAnsi"/>
          <w:szCs w:val="24"/>
          <w:lang w:val="es-VE" w:eastAsia="en-US"/>
        </w:rPr>
        <w:t>Los cálculos se realizaron empleando la hoja de cálculo Excel elaborada por Fung en el año 2011.</w:t>
      </w:r>
    </w:p>
    <w:p w:rsidR="00D452D2" w:rsidRDefault="007643B5" w:rsidP="003911AE">
      <w:pPr>
        <w:spacing w:after="240" w:line="360" w:lineRule="auto"/>
        <w:jc w:val="both"/>
        <w:rPr>
          <w:szCs w:val="24"/>
        </w:rPr>
      </w:pPr>
      <w:r>
        <w:rPr>
          <w:szCs w:val="24"/>
        </w:rPr>
        <w:tab/>
      </w:r>
      <w:r w:rsidR="00FB3F73">
        <w:rPr>
          <w:szCs w:val="24"/>
        </w:rPr>
        <w:t>Para evaluar el grado de desestabil</w:t>
      </w:r>
      <w:r w:rsidR="0016429A">
        <w:rPr>
          <w:szCs w:val="24"/>
        </w:rPr>
        <w:t>ización de las gotas se construyeron las curvas de distribución de frecuencia</w:t>
      </w:r>
      <w:r w:rsidR="004148FE">
        <w:rPr>
          <w:szCs w:val="24"/>
        </w:rPr>
        <w:t xml:space="preserve"> de</w:t>
      </w:r>
      <w:r w:rsidR="0016429A">
        <w:rPr>
          <w:szCs w:val="24"/>
        </w:rPr>
        <w:t xml:space="preserve"> </w:t>
      </w:r>
      <w:r w:rsidR="004148FE">
        <w:rPr>
          <w:szCs w:val="24"/>
        </w:rPr>
        <w:t xml:space="preserve">tamaño de gota para cada una de las muestras </w:t>
      </w:r>
      <w:r w:rsidR="0016429A">
        <w:rPr>
          <w:szCs w:val="24"/>
        </w:rPr>
        <w:t>antes</w:t>
      </w:r>
      <w:r w:rsidR="00AF6F18">
        <w:rPr>
          <w:szCs w:val="24"/>
        </w:rPr>
        <w:t>,</w:t>
      </w:r>
      <w:r w:rsidR="0016429A">
        <w:rPr>
          <w:szCs w:val="24"/>
        </w:rPr>
        <w:t xml:space="preserve"> después de aplicar el campo eléctrico y luego de centrifugar. </w:t>
      </w:r>
      <w:r w:rsidR="00947637">
        <w:rPr>
          <w:szCs w:val="24"/>
        </w:rPr>
        <w:t>Los conteos fueron realizados empleando un aumento de 5X y uno de 20X</w:t>
      </w:r>
      <w:r w:rsidR="002463F9">
        <w:rPr>
          <w:szCs w:val="24"/>
        </w:rPr>
        <w:t>.</w:t>
      </w:r>
      <w:r w:rsidR="00AF6F18">
        <w:rPr>
          <w:szCs w:val="24"/>
        </w:rPr>
        <w:t xml:space="preserve"> L</w:t>
      </w:r>
      <w:r w:rsidR="0016429A">
        <w:rPr>
          <w:szCs w:val="24"/>
        </w:rPr>
        <w:t xml:space="preserve">a </w:t>
      </w:r>
      <w:r w:rsidR="003E7EDD">
        <w:rPr>
          <w:szCs w:val="24"/>
        </w:rPr>
        <w:t>f</w:t>
      </w:r>
      <w:r w:rsidR="00AF6F18">
        <w:rPr>
          <w:szCs w:val="24"/>
        </w:rPr>
        <w:t>ig</w:t>
      </w:r>
      <w:r w:rsidR="00072AB3">
        <w:rPr>
          <w:szCs w:val="24"/>
        </w:rPr>
        <w:t>ura</w:t>
      </w:r>
      <w:r w:rsidR="00AF6F18">
        <w:rPr>
          <w:szCs w:val="24"/>
        </w:rPr>
        <w:t xml:space="preserve"> Nº </w:t>
      </w:r>
      <w:r w:rsidR="0005538D">
        <w:rPr>
          <w:szCs w:val="24"/>
        </w:rPr>
        <w:t>4</w:t>
      </w:r>
      <w:r w:rsidR="003E7EDD">
        <w:rPr>
          <w:szCs w:val="24"/>
        </w:rPr>
        <w:t>0</w:t>
      </w:r>
      <w:r w:rsidR="007C4D78">
        <w:rPr>
          <w:szCs w:val="24"/>
        </w:rPr>
        <w:t xml:space="preserve"> </w:t>
      </w:r>
      <w:r w:rsidR="00AF6F18">
        <w:rPr>
          <w:szCs w:val="24"/>
        </w:rPr>
        <w:t>presenta</w:t>
      </w:r>
      <w:r w:rsidR="0016429A">
        <w:rPr>
          <w:szCs w:val="24"/>
        </w:rPr>
        <w:t xml:space="preserve"> la curva de distribución acumulada de frecuencia</w:t>
      </w:r>
      <w:r w:rsidR="002463F9">
        <w:rPr>
          <w:szCs w:val="24"/>
        </w:rPr>
        <w:t xml:space="preserve"> de tamaño de gota</w:t>
      </w:r>
      <w:r w:rsidR="0016429A">
        <w:rPr>
          <w:szCs w:val="24"/>
        </w:rPr>
        <w:t xml:space="preserve"> para la fosa original</w:t>
      </w:r>
      <w:r w:rsidR="00D452D2">
        <w:rPr>
          <w:szCs w:val="24"/>
        </w:rPr>
        <w:t xml:space="preserve"> </w:t>
      </w:r>
      <w:r w:rsidR="00AF6F18">
        <w:rPr>
          <w:szCs w:val="24"/>
        </w:rPr>
        <w:t xml:space="preserve">Merey-31 </w:t>
      </w:r>
      <w:r w:rsidR="00D452D2">
        <w:rPr>
          <w:szCs w:val="24"/>
        </w:rPr>
        <w:t>(sin tratamiento)</w:t>
      </w:r>
      <w:r w:rsidR="00AF6F18">
        <w:rPr>
          <w:szCs w:val="24"/>
        </w:rPr>
        <w:t>.</w:t>
      </w:r>
    </w:p>
    <w:p w:rsidR="00072AB3" w:rsidRDefault="00072AB3" w:rsidP="003911AE">
      <w:pPr>
        <w:spacing w:after="240" w:line="360" w:lineRule="auto"/>
        <w:jc w:val="both"/>
        <w:rPr>
          <w:szCs w:val="24"/>
        </w:rPr>
      </w:pPr>
    </w:p>
    <w:p w:rsidR="00072AB3" w:rsidRDefault="00072AB3" w:rsidP="003911AE">
      <w:pPr>
        <w:spacing w:after="240" w:line="360" w:lineRule="auto"/>
        <w:jc w:val="both"/>
        <w:rPr>
          <w:szCs w:val="24"/>
        </w:rPr>
      </w:pPr>
    </w:p>
    <w:p w:rsidR="00072AB3" w:rsidRDefault="00072AB3" w:rsidP="003911AE">
      <w:pPr>
        <w:spacing w:after="240" w:line="360" w:lineRule="auto"/>
        <w:jc w:val="both"/>
        <w:rPr>
          <w:szCs w:val="24"/>
        </w:rPr>
      </w:pPr>
    </w:p>
    <w:p w:rsidR="00072AB3" w:rsidRDefault="00072AB3" w:rsidP="003911AE">
      <w:pPr>
        <w:spacing w:after="240" w:line="360" w:lineRule="auto"/>
        <w:jc w:val="both"/>
        <w:rPr>
          <w:szCs w:val="24"/>
        </w:rPr>
      </w:pPr>
    </w:p>
    <w:p w:rsidR="00072AB3" w:rsidRDefault="00072AB3" w:rsidP="003911AE">
      <w:pPr>
        <w:spacing w:after="240" w:line="360" w:lineRule="auto"/>
        <w:jc w:val="both"/>
        <w:rPr>
          <w:szCs w:val="24"/>
        </w:rPr>
      </w:pPr>
    </w:p>
    <w:p w:rsidR="00072AB3" w:rsidRDefault="00072AB3" w:rsidP="003911AE">
      <w:pPr>
        <w:spacing w:after="240" w:line="360" w:lineRule="auto"/>
        <w:jc w:val="both"/>
        <w:rPr>
          <w:szCs w:val="24"/>
        </w:rPr>
      </w:pPr>
    </w:p>
    <w:p w:rsidR="00072AB3" w:rsidRDefault="00072AB3" w:rsidP="003911AE">
      <w:pPr>
        <w:spacing w:after="240" w:line="360" w:lineRule="auto"/>
        <w:jc w:val="both"/>
        <w:rPr>
          <w:szCs w:val="24"/>
        </w:rPr>
      </w:pPr>
    </w:p>
    <w:p w:rsidR="00D452D2" w:rsidRDefault="00A73CD2" w:rsidP="003911AE">
      <w:pPr>
        <w:spacing w:after="240"/>
        <w:jc w:val="center"/>
        <w:rPr>
          <w:szCs w:val="24"/>
        </w:rPr>
      </w:pPr>
      <w:r>
        <w:rPr>
          <w:noProof/>
          <w:szCs w:val="24"/>
          <w:lang w:val="en-US" w:eastAsia="en-US"/>
        </w:rPr>
        <w:lastRenderedPageBreak/>
        <w:pict>
          <v:shape id="_x0000_s1628" type="#_x0000_t32" style="position:absolute;left:0;text-align:left;margin-left:232.6pt;margin-top:11.35pt;width:0;height:137.9pt;z-index:251869696" o:connectortype="straight"/>
        </w:pict>
      </w:r>
      <w:r>
        <w:rPr>
          <w:noProof/>
          <w:szCs w:val="24"/>
          <w:lang w:val="en-US" w:eastAsia="en-US"/>
        </w:rPr>
        <w:pict>
          <v:shape id="_x0000_s1627" type="#_x0000_t32" style="position:absolute;left:0;text-align:left;margin-left:146.3pt;margin-top:11.35pt;width:0;height:137.9pt;z-index:251868672" o:connectortype="straight"/>
        </w:pict>
      </w:r>
      <w:r w:rsidR="003911AE" w:rsidRPr="003911AE">
        <w:rPr>
          <w:noProof/>
          <w:szCs w:val="24"/>
          <w:lang w:val="en-US" w:eastAsia="en-US"/>
        </w:rPr>
        <w:drawing>
          <wp:inline distT="0" distB="0" distL="0" distR="0">
            <wp:extent cx="4946904" cy="2477386"/>
            <wp:effectExtent l="0" t="0" r="0" b="0"/>
            <wp:docPr id="60"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47637" w:rsidRPr="00DC5F23" w:rsidRDefault="00072AB3" w:rsidP="003911AE">
      <w:pPr>
        <w:spacing w:before="240"/>
        <w:jc w:val="center"/>
        <w:rPr>
          <w:sz w:val="20"/>
        </w:rPr>
      </w:pPr>
      <w:r>
        <w:rPr>
          <w:sz w:val="20"/>
        </w:rPr>
        <w:t>(a)</w:t>
      </w:r>
    </w:p>
    <w:p w:rsidR="008D61E6" w:rsidRDefault="00A73CD2" w:rsidP="003911AE">
      <w:pPr>
        <w:spacing w:before="240"/>
        <w:jc w:val="center"/>
        <w:rPr>
          <w:szCs w:val="24"/>
        </w:rPr>
      </w:pPr>
      <w:r>
        <w:rPr>
          <w:noProof/>
          <w:szCs w:val="24"/>
          <w:lang w:val="en-US" w:eastAsia="en-US"/>
        </w:rPr>
        <w:pict>
          <v:shape id="_x0000_s1630" type="#_x0000_t32" style="position:absolute;left:0;text-align:left;margin-left:232.6pt;margin-top:25.05pt;width:.05pt;height:134.6pt;z-index:251871744" o:connectortype="straight"/>
        </w:pict>
      </w:r>
      <w:r>
        <w:rPr>
          <w:noProof/>
          <w:szCs w:val="24"/>
          <w:lang w:val="en-US" w:eastAsia="en-US"/>
        </w:rPr>
        <w:pict>
          <v:shape id="_x0000_s1629" type="#_x0000_t32" style="position:absolute;left:0;text-align:left;margin-left:143.65pt;margin-top:25.05pt;width:0;height:137.9pt;z-index:251870720" o:connectortype="straight"/>
        </w:pict>
      </w:r>
      <w:r w:rsidR="00344CCC" w:rsidRPr="00344CCC">
        <w:rPr>
          <w:noProof/>
          <w:szCs w:val="24"/>
          <w:lang w:val="en-US" w:eastAsia="en-US"/>
        </w:rPr>
        <w:drawing>
          <wp:inline distT="0" distB="0" distL="0" distR="0">
            <wp:extent cx="4948518" cy="2473138"/>
            <wp:effectExtent l="0" t="0" r="0" b="0"/>
            <wp:docPr id="59"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20534" w:rsidRDefault="00220534" w:rsidP="003911AE">
      <w:pPr>
        <w:spacing w:before="240" w:after="240"/>
        <w:jc w:val="center"/>
        <w:rPr>
          <w:sz w:val="20"/>
        </w:rPr>
      </w:pPr>
      <w:r>
        <w:rPr>
          <w:sz w:val="20"/>
        </w:rPr>
        <w:t>(b)</w:t>
      </w:r>
    </w:p>
    <w:p w:rsidR="00947637" w:rsidRPr="00DC5F23" w:rsidRDefault="00A275D5" w:rsidP="00A275D5">
      <w:pPr>
        <w:pStyle w:val="Epgrafe"/>
        <w:spacing w:line="360" w:lineRule="auto"/>
      </w:pPr>
      <w:bookmarkStart w:id="152" w:name="_Toc327481452"/>
      <w:r>
        <w:t xml:space="preserve">Figura N° </w:t>
      </w:r>
      <w:fldSimple w:instr=" SEQ Figura_N° \* ARABIC ">
        <w:r w:rsidR="004A5F6F">
          <w:rPr>
            <w:noProof/>
          </w:rPr>
          <w:t>40</w:t>
        </w:r>
      </w:fldSimple>
      <w:r w:rsidR="00947637" w:rsidRPr="00DC5F23">
        <w:t>: Distribución de tamaño de gota</w:t>
      </w:r>
      <w:r w:rsidR="003911AE">
        <w:t>s</w:t>
      </w:r>
      <w:r w:rsidR="00947637" w:rsidRPr="00DC5F23">
        <w:t xml:space="preserve">. </w:t>
      </w:r>
      <w:r w:rsidR="007770E8" w:rsidRPr="00DC5F23">
        <w:t>Merey-31</w:t>
      </w:r>
      <w:r w:rsidR="00947637" w:rsidRPr="00DC5F23">
        <w:t xml:space="preserve"> sin trata</w:t>
      </w:r>
      <w:r w:rsidR="007C4D78">
        <w:t>miento</w:t>
      </w:r>
      <w:r w:rsidR="00947637" w:rsidRPr="00DC5F23">
        <w:t>.</w:t>
      </w:r>
      <w:r w:rsidR="00220534">
        <w:t xml:space="preserve"> (a) Aumento 5 X. (b)</w:t>
      </w:r>
      <w:r w:rsidR="00947637" w:rsidRPr="00DC5F23">
        <w:t xml:space="preserve"> Aumento </w:t>
      </w:r>
      <w:r w:rsidR="00DF6607" w:rsidRPr="00DC5F23">
        <w:t>20</w:t>
      </w:r>
      <w:r w:rsidR="00220534">
        <w:t xml:space="preserve"> </w:t>
      </w:r>
      <w:r w:rsidR="00947637" w:rsidRPr="00DC5F23">
        <w:t>X.</w:t>
      </w:r>
      <w:bookmarkEnd w:id="152"/>
    </w:p>
    <w:p w:rsidR="00EC0180" w:rsidRDefault="00DF6607" w:rsidP="003911AE">
      <w:pPr>
        <w:spacing w:before="240" w:line="360" w:lineRule="auto"/>
        <w:ind w:firstLine="720"/>
        <w:jc w:val="both"/>
        <w:rPr>
          <w:szCs w:val="24"/>
        </w:rPr>
      </w:pPr>
      <w:r>
        <w:rPr>
          <w:szCs w:val="24"/>
        </w:rPr>
        <w:t xml:space="preserve">La tendencia de </w:t>
      </w:r>
      <w:r w:rsidR="002463F9">
        <w:rPr>
          <w:szCs w:val="24"/>
        </w:rPr>
        <w:t>la</w:t>
      </w:r>
      <w:r>
        <w:rPr>
          <w:szCs w:val="24"/>
        </w:rPr>
        <w:t xml:space="preserve"> distribución es similar para cada una de las gráficas. La diferencia radica en que para un aumento de 20X</w:t>
      </w:r>
      <w:r w:rsidR="007643B5">
        <w:rPr>
          <w:szCs w:val="24"/>
        </w:rPr>
        <w:t>,</w:t>
      </w:r>
      <w:r>
        <w:rPr>
          <w:szCs w:val="24"/>
        </w:rPr>
        <w:t xml:space="preserve"> el máximo diámetro de gota observado no supera los 100 </w:t>
      </w:r>
      <w:r w:rsidRPr="00DF6607">
        <w:rPr>
          <w:szCs w:val="24"/>
        </w:rPr>
        <w:t>µm</w:t>
      </w:r>
      <w:r>
        <w:rPr>
          <w:szCs w:val="24"/>
        </w:rPr>
        <w:t xml:space="preserve">. </w:t>
      </w:r>
      <w:r w:rsidR="007643B5">
        <w:rPr>
          <w:szCs w:val="24"/>
        </w:rPr>
        <w:t>Por el contrario, p</w:t>
      </w:r>
      <w:r>
        <w:rPr>
          <w:szCs w:val="24"/>
        </w:rPr>
        <w:t>ara un aumento de 5X, la línea de d</w:t>
      </w:r>
      <w:r w:rsidR="000C1067">
        <w:rPr>
          <w:szCs w:val="24"/>
        </w:rPr>
        <w:t xml:space="preserve">istribución </w:t>
      </w:r>
      <w:r w:rsidR="00B0481C">
        <w:rPr>
          <w:szCs w:val="24"/>
        </w:rPr>
        <w:t xml:space="preserve">supera la barrera de los 100 </w:t>
      </w:r>
      <w:r w:rsidR="00B0481C" w:rsidRPr="00DF6607">
        <w:rPr>
          <w:szCs w:val="24"/>
        </w:rPr>
        <w:t>µm</w:t>
      </w:r>
      <w:r w:rsidR="00B0481C">
        <w:rPr>
          <w:szCs w:val="24"/>
        </w:rPr>
        <w:t>, es decir</w:t>
      </w:r>
      <w:r w:rsidR="003433F7">
        <w:rPr>
          <w:szCs w:val="24"/>
        </w:rPr>
        <w:t>,</w:t>
      </w:r>
      <w:r w:rsidR="00B0481C">
        <w:rPr>
          <w:szCs w:val="24"/>
        </w:rPr>
        <w:t xml:space="preserve"> </w:t>
      </w:r>
      <w:r w:rsidR="003433F7">
        <w:rPr>
          <w:szCs w:val="24"/>
        </w:rPr>
        <w:t xml:space="preserve">para un aumento de 20 X se visualizan gotas más pequeñas y para un aumento de </w:t>
      </w:r>
      <w:r w:rsidR="00A70CA6">
        <w:rPr>
          <w:szCs w:val="24"/>
        </w:rPr>
        <w:t>5</w:t>
      </w:r>
      <w:r w:rsidR="003433F7">
        <w:rPr>
          <w:szCs w:val="24"/>
        </w:rPr>
        <w:t xml:space="preserve"> X</w:t>
      </w:r>
      <w:r w:rsidR="00A70CA6">
        <w:rPr>
          <w:szCs w:val="24"/>
        </w:rPr>
        <w:t>,</w:t>
      </w:r>
      <w:r w:rsidR="003433F7">
        <w:rPr>
          <w:szCs w:val="24"/>
        </w:rPr>
        <w:t xml:space="preserve"> gotas más grandes.</w:t>
      </w:r>
      <w:r w:rsidR="00EC0180">
        <w:rPr>
          <w:szCs w:val="24"/>
        </w:rPr>
        <w:t xml:space="preserve"> </w:t>
      </w:r>
    </w:p>
    <w:p w:rsidR="00F00015" w:rsidRDefault="00784D57" w:rsidP="0017152B">
      <w:pPr>
        <w:spacing w:line="360" w:lineRule="auto"/>
        <w:jc w:val="both"/>
        <w:rPr>
          <w:szCs w:val="24"/>
        </w:rPr>
      </w:pPr>
      <w:r>
        <w:rPr>
          <w:szCs w:val="24"/>
        </w:rPr>
        <w:lastRenderedPageBreak/>
        <w:tab/>
        <w:t>Ah</w:t>
      </w:r>
      <w:r w:rsidR="00466B53">
        <w:rPr>
          <w:szCs w:val="24"/>
        </w:rPr>
        <w:t>ora bien,</w:t>
      </w:r>
      <w:r w:rsidR="00184A6E">
        <w:rPr>
          <w:szCs w:val="24"/>
        </w:rPr>
        <w:t xml:space="preserve"> p</w:t>
      </w:r>
      <w:r w:rsidR="00E42377">
        <w:rPr>
          <w:szCs w:val="24"/>
        </w:rPr>
        <w:t xml:space="preserve">ara evitar construir </w:t>
      </w:r>
      <w:r w:rsidR="00184A6E">
        <w:rPr>
          <w:szCs w:val="24"/>
        </w:rPr>
        <w:t xml:space="preserve">las distribuciones de las </w:t>
      </w:r>
      <w:r w:rsidR="0038745C">
        <w:rPr>
          <w:szCs w:val="24"/>
        </w:rPr>
        <w:t>32</w:t>
      </w:r>
      <w:r w:rsidR="000F7DD9">
        <w:rPr>
          <w:szCs w:val="24"/>
        </w:rPr>
        <w:t xml:space="preserve"> muestras</w:t>
      </w:r>
      <w:r w:rsidR="00E42377">
        <w:rPr>
          <w:szCs w:val="24"/>
        </w:rPr>
        <w:t xml:space="preserve"> </w:t>
      </w:r>
      <w:r w:rsidR="00184A6E">
        <w:rPr>
          <w:szCs w:val="24"/>
        </w:rPr>
        <w:t xml:space="preserve">analizadas </w:t>
      </w:r>
      <w:r w:rsidR="00E42377">
        <w:rPr>
          <w:szCs w:val="24"/>
        </w:rPr>
        <w:t>(</w:t>
      </w:r>
      <w:r w:rsidR="00E606E5">
        <w:rPr>
          <w:szCs w:val="24"/>
        </w:rPr>
        <w:t>8 tubos de recolección por cada medio coalescedor</w:t>
      </w:r>
      <w:r w:rsidR="0038745C">
        <w:rPr>
          <w:szCs w:val="24"/>
        </w:rPr>
        <w:t xml:space="preserve"> a 5X y</w:t>
      </w:r>
      <w:r w:rsidR="00414696">
        <w:rPr>
          <w:szCs w:val="24"/>
        </w:rPr>
        <w:t xml:space="preserve"> </w:t>
      </w:r>
      <w:r w:rsidR="0038745C">
        <w:rPr>
          <w:szCs w:val="24"/>
        </w:rPr>
        <w:t>20X</w:t>
      </w:r>
      <w:r w:rsidR="00E42377">
        <w:rPr>
          <w:szCs w:val="24"/>
        </w:rPr>
        <w:t>)</w:t>
      </w:r>
      <w:r w:rsidR="00096186">
        <w:rPr>
          <w:szCs w:val="24"/>
        </w:rPr>
        <w:t>, se representaron</w:t>
      </w:r>
      <w:r w:rsidR="000F7DD9">
        <w:rPr>
          <w:szCs w:val="24"/>
        </w:rPr>
        <w:t xml:space="preserve"> la</w:t>
      </w:r>
      <w:r w:rsidR="00096186">
        <w:rPr>
          <w:szCs w:val="24"/>
        </w:rPr>
        <w:t>s distribuciones</w:t>
      </w:r>
      <w:r w:rsidR="000F7DD9">
        <w:rPr>
          <w:szCs w:val="24"/>
        </w:rPr>
        <w:t xml:space="preserve"> de diámetros de gotas para una fracción acumulada </w:t>
      </w:r>
      <w:r w:rsidR="00A70CA6">
        <w:rPr>
          <w:szCs w:val="24"/>
        </w:rPr>
        <w:t xml:space="preserve">de agua </w:t>
      </w:r>
      <w:r w:rsidR="000F7DD9">
        <w:rPr>
          <w:szCs w:val="24"/>
        </w:rPr>
        <w:t>de</w:t>
      </w:r>
      <w:r w:rsidR="00184A6E">
        <w:rPr>
          <w:szCs w:val="24"/>
        </w:rPr>
        <w:t>l</w:t>
      </w:r>
      <w:r w:rsidR="000F7DD9">
        <w:rPr>
          <w:szCs w:val="24"/>
        </w:rPr>
        <w:t xml:space="preserve"> 10, 50 y 90</w:t>
      </w:r>
      <w:r w:rsidR="00A70CA6">
        <w:rPr>
          <w:szCs w:val="24"/>
        </w:rPr>
        <w:t xml:space="preserve"> en función del tiempo</w:t>
      </w:r>
      <w:r w:rsidR="00096186">
        <w:rPr>
          <w:szCs w:val="24"/>
        </w:rPr>
        <w:t xml:space="preserve">. </w:t>
      </w:r>
      <w:r w:rsidR="00A70CA6">
        <w:rPr>
          <w:szCs w:val="24"/>
        </w:rPr>
        <w:t>La selección de los diámetros se</w:t>
      </w:r>
      <w:r w:rsidR="00096186">
        <w:rPr>
          <w:szCs w:val="24"/>
        </w:rPr>
        <w:t xml:space="preserve"> realizó </w:t>
      </w:r>
      <w:r w:rsidR="00A70CA6">
        <w:rPr>
          <w:szCs w:val="24"/>
        </w:rPr>
        <w:t>únicamente con el</w:t>
      </w:r>
      <w:r w:rsidR="00096186">
        <w:rPr>
          <w:szCs w:val="24"/>
        </w:rPr>
        <w:t xml:space="preserve"> fin de estudiar </w:t>
      </w:r>
      <w:r w:rsidR="00A70CA6">
        <w:rPr>
          <w:szCs w:val="24"/>
        </w:rPr>
        <w:t xml:space="preserve">la evolución del </w:t>
      </w:r>
      <w:r w:rsidR="00096186">
        <w:rPr>
          <w:szCs w:val="24"/>
        </w:rPr>
        <w:t xml:space="preserve">crecimiento de gotas </w:t>
      </w:r>
      <w:r w:rsidR="00A70CA6">
        <w:rPr>
          <w:szCs w:val="24"/>
        </w:rPr>
        <w:t>‘‘</w:t>
      </w:r>
      <w:r w:rsidR="00096186">
        <w:rPr>
          <w:szCs w:val="24"/>
        </w:rPr>
        <w:t>pequeñas, medianas y grandes</w:t>
      </w:r>
      <w:r w:rsidR="00A70CA6">
        <w:rPr>
          <w:szCs w:val="24"/>
        </w:rPr>
        <w:t>’’</w:t>
      </w:r>
      <w:r w:rsidR="00096186">
        <w:rPr>
          <w:szCs w:val="24"/>
        </w:rPr>
        <w:t>.</w:t>
      </w:r>
      <w:r w:rsidR="00A70CA6">
        <w:rPr>
          <w:szCs w:val="24"/>
        </w:rPr>
        <w:t xml:space="preserve"> </w:t>
      </w: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D24998" w:rsidRDefault="00D24998" w:rsidP="0017152B">
      <w:pPr>
        <w:spacing w:line="360" w:lineRule="auto"/>
        <w:jc w:val="both"/>
        <w:rPr>
          <w:szCs w:val="24"/>
        </w:rPr>
      </w:pPr>
    </w:p>
    <w:p w:rsidR="00F00015" w:rsidRDefault="00D24998" w:rsidP="00DC5F23">
      <w:pPr>
        <w:jc w:val="center"/>
        <w:rPr>
          <w:szCs w:val="24"/>
        </w:rPr>
      </w:pPr>
      <w:r w:rsidRPr="00D24998">
        <w:rPr>
          <w:noProof/>
          <w:szCs w:val="24"/>
          <w:lang w:val="en-US" w:eastAsia="en-US"/>
        </w:rPr>
        <w:lastRenderedPageBreak/>
        <w:drawing>
          <wp:inline distT="0" distB="0" distL="0" distR="0">
            <wp:extent cx="5560828" cy="3044952"/>
            <wp:effectExtent l="0" t="0" r="0" b="0"/>
            <wp:docPr id="4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00015" w:rsidRPr="0017152B" w:rsidRDefault="00D24998" w:rsidP="00096225">
      <w:pPr>
        <w:jc w:val="center"/>
        <w:rPr>
          <w:sz w:val="20"/>
        </w:rPr>
      </w:pPr>
      <w:r>
        <w:rPr>
          <w:sz w:val="20"/>
        </w:rPr>
        <w:t xml:space="preserve">       </w:t>
      </w:r>
      <w:r w:rsidR="001B2CF7">
        <w:rPr>
          <w:sz w:val="20"/>
        </w:rPr>
        <w:t>(a)</w:t>
      </w:r>
    </w:p>
    <w:p w:rsidR="00F00015" w:rsidRDefault="00D24998" w:rsidP="00096225">
      <w:pPr>
        <w:jc w:val="center"/>
        <w:rPr>
          <w:szCs w:val="24"/>
        </w:rPr>
      </w:pPr>
      <w:r w:rsidRPr="00D24998">
        <w:rPr>
          <w:noProof/>
          <w:szCs w:val="24"/>
          <w:lang w:val="en-US" w:eastAsia="en-US"/>
        </w:rPr>
        <w:drawing>
          <wp:inline distT="0" distB="0" distL="0" distR="0">
            <wp:extent cx="5559552" cy="3040912"/>
            <wp:effectExtent l="0" t="0" r="0" b="0"/>
            <wp:docPr id="4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96225" w:rsidRPr="0017152B" w:rsidRDefault="00D24998" w:rsidP="00096225">
      <w:pPr>
        <w:jc w:val="center"/>
        <w:rPr>
          <w:sz w:val="20"/>
        </w:rPr>
      </w:pPr>
      <w:r>
        <w:rPr>
          <w:sz w:val="20"/>
        </w:rPr>
        <w:t xml:space="preserve">       </w:t>
      </w:r>
      <w:r w:rsidR="001B2CF7">
        <w:rPr>
          <w:sz w:val="20"/>
        </w:rPr>
        <w:t>(b)</w:t>
      </w:r>
    </w:p>
    <w:p w:rsidR="00F00015" w:rsidRDefault="00F00015" w:rsidP="00A7209C">
      <w:pPr>
        <w:spacing w:line="360" w:lineRule="auto"/>
        <w:jc w:val="both"/>
        <w:rPr>
          <w:szCs w:val="24"/>
        </w:rPr>
      </w:pPr>
    </w:p>
    <w:p w:rsidR="00096225" w:rsidRDefault="00CA2885" w:rsidP="00096225">
      <w:pPr>
        <w:jc w:val="center"/>
        <w:rPr>
          <w:szCs w:val="24"/>
        </w:rPr>
      </w:pPr>
      <w:r w:rsidRPr="00CA2885">
        <w:rPr>
          <w:noProof/>
          <w:szCs w:val="24"/>
          <w:lang w:val="en-US" w:eastAsia="en-US"/>
        </w:rPr>
        <w:lastRenderedPageBreak/>
        <w:drawing>
          <wp:inline distT="0" distB="0" distL="0" distR="0">
            <wp:extent cx="5559552" cy="3040912"/>
            <wp:effectExtent l="0" t="0" r="0" b="0"/>
            <wp:docPr id="81"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96225" w:rsidRPr="0017152B" w:rsidRDefault="00D24998" w:rsidP="00096225">
      <w:pPr>
        <w:jc w:val="center"/>
        <w:rPr>
          <w:sz w:val="20"/>
        </w:rPr>
      </w:pPr>
      <w:r>
        <w:rPr>
          <w:sz w:val="20"/>
        </w:rPr>
        <w:t xml:space="preserve">       </w:t>
      </w:r>
      <w:r w:rsidR="001B2CF7">
        <w:rPr>
          <w:sz w:val="20"/>
        </w:rPr>
        <w:t>(c)</w:t>
      </w:r>
    </w:p>
    <w:p w:rsidR="00096225" w:rsidRDefault="00096225" w:rsidP="00CE4420">
      <w:pPr>
        <w:jc w:val="both"/>
        <w:rPr>
          <w:szCs w:val="24"/>
        </w:rPr>
      </w:pPr>
    </w:p>
    <w:p w:rsidR="00096225" w:rsidRDefault="00CA2885" w:rsidP="00096225">
      <w:pPr>
        <w:jc w:val="center"/>
        <w:rPr>
          <w:szCs w:val="24"/>
        </w:rPr>
      </w:pPr>
      <w:r w:rsidRPr="00CA2885">
        <w:rPr>
          <w:noProof/>
          <w:szCs w:val="24"/>
          <w:lang w:val="en-US" w:eastAsia="en-US"/>
        </w:rPr>
        <w:drawing>
          <wp:inline distT="0" distB="0" distL="0" distR="0">
            <wp:extent cx="5559552" cy="3040912"/>
            <wp:effectExtent l="0" t="0" r="0" b="0"/>
            <wp:docPr id="8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643B5" w:rsidRDefault="00D24998" w:rsidP="00096225">
      <w:pPr>
        <w:jc w:val="center"/>
        <w:rPr>
          <w:sz w:val="20"/>
        </w:rPr>
      </w:pPr>
      <w:r>
        <w:rPr>
          <w:sz w:val="20"/>
        </w:rPr>
        <w:t xml:space="preserve">         </w:t>
      </w:r>
      <w:r w:rsidR="001B2CF7">
        <w:rPr>
          <w:sz w:val="20"/>
        </w:rPr>
        <w:t>(d)</w:t>
      </w:r>
    </w:p>
    <w:p w:rsidR="001B2CF7" w:rsidRDefault="001B2CF7" w:rsidP="00096225">
      <w:pPr>
        <w:jc w:val="center"/>
        <w:rPr>
          <w:sz w:val="20"/>
        </w:rPr>
      </w:pPr>
    </w:p>
    <w:p w:rsidR="00096225" w:rsidRPr="0017152B" w:rsidRDefault="00A275D5" w:rsidP="00A275D5">
      <w:pPr>
        <w:pStyle w:val="Epgrafe"/>
        <w:spacing w:line="360" w:lineRule="auto"/>
      </w:pPr>
      <w:bookmarkStart w:id="153" w:name="_Toc327481453"/>
      <w:r>
        <w:t xml:space="preserve">Figura N° </w:t>
      </w:r>
      <w:fldSimple w:instr=" SEQ Figura_N° \* ARABIC ">
        <w:r w:rsidR="004A5F6F">
          <w:rPr>
            <w:noProof/>
          </w:rPr>
          <w:t>41</w:t>
        </w:r>
      </w:fldSimple>
      <w:r w:rsidR="00096225" w:rsidRPr="0017152B">
        <w:t xml:space="preserve">: Distribución de diámetro de gotas para una fracción acumulada del 10, 50 y 90 %. </w:t>
      </w:r>
      <w:r w:rsidR="007770E8">
        <w:t>Merey-31</w:t>
      </w:r>
      <w:r w:rsidR="00096225" w:rsidRPr="0017152B">
        <w:t xml:space="preserve">. </w:t>
      </w:r>
      <w:r w:rsidR="001B2CF7">
        <w:t xml:space="preserve">(a) Anillos de vidrio, 5 X. (b) Anillos de vidrio, 20 X. (c) </w:t>
      </w:r>
      <w:r w:rsidR="0008780F">
        <w:t>Esferas de p</w:t>
      </w:r>
      <w:r w:rsidR="00096225" w:rsidRPr="0017152B">
        <w:t>olietileno</w:t>
      </w:r>
      <w:r w:rsidR="001B2CF7">
        <w:t>, 5 X</w:t>
      </w:r>
      <w:r w:rsidR="00096225" w:rsidRPr="0017152B">
        <w:t xml:space="preserve">. </w:t>
      </w:r>
      <w:r w:rsidR="001B2CF7">
        <w:t>(d) Esferas de polietileno, 20 X.</w:t>
      </w:r>
      <w:bookmarkEnd w:id="153"/>
      <w:r w:rsidR="00D24998">
        <w:t xml:space="preserve"> </w:t>
      </w:r>
    </w:p>
    <w:p w:rsidR="00096186" w:rsidRDefault="008870AF" w:rsidP="0008780F">
      <w:pPr>
        <w:spacing w:line="360" w:lineRule="auto"/>
        <w:jc w:val="both"/>
        <w:rPr>
          <w:szCs w:val="24"/>
        </w:rPr>
      </w:pPr>
      <w:r>
        <w:rPr>
          <w:szCs w:val="24"/>
        </w:rPr>
        <w:lastRenderedPageBreak/>
        <w:tab/>
      </w:r>
      <w:r w:rsidR="004F56BC">
        <w:rPr>
          <w:szCs w:val="24"/>
        </w:rPr>
        <w:t>En l</w:t>
      </w:r>
      <w:r w:rsidR="00A410B6">
        <w:rPr>
          <w:szCs w:val="24"/>
        </w:rPr>
        <w:t xml:space="preserve">a </w:t>
      </w:r>
      <w:r w:rsidR="003E7EDD">
        <w:rPr>
          <w:szCs w:val="24"/>
        </w:rPr>
        <w:t>f</w:t>
      </w:r>
      <w:r w:rsidR="00220534">
        <w:rPr>
          <w:szCs w:val="24"/>
        </w:rPr>
        <w:t>igura N°</w:t>
      </w:r>
      <w:r w:rsidR="00956E55">
        <w:rPr>
          <w:szCs w:val="24"/>
        </w:rPr>
        <w:t xml:space="preserve"> 41</w:t>
      </w:r>
      <w:r w:rsidR="00A410B6">
        <w:rPr>
          <w:szCs w:val="24"/>
        </w:rPr>
        <w:t xml:space="preserve">, </w:t>
      </w:r>
      <w:r w:rsidR="004F56BC">
        <w:rPr>
          <w:szCs w:val="24"/>
        </w:rPr>
        <w:t>se observa claramente</w:t>
      </w:r>
      <w:r w:rsidR="002A0E8F">
        <w:rPr>
          <w:szCs w:val="24"/>
        </w:rPr>
        <w:t xml:space="preserve"> que la distribución de tamaño de gotas en la emulsión se ve afectada significativamente por el campo eléctrico. Los valores referenciales de tamaños de gota </w:t>
      </w:r>
      <w:r w:rsidR="00D24998">
        <w:rPr>
          <w:szCs w:val="24"/>
        </w:rPr>
        <w:t xml:space="preserve">y tiempo </w:t>
      </w:r>
      <w:r w:rsidR="002A0E8F">
        <w:rPr>
          <w:szCs w:val="24"/>
        </w:rPr>
        <w:t xml:space="preserve">para la muestra original están asociados a los valores para </w:t>
      </w:r>
      <w:r w:rsidR="0021117A">
        <w:rPr>
          <w:szCs w:val="24"/>
        </w:rPr>
        <w:t>un volumen de recolección de muestra de 0,0 ml</w:t>
      </w:r>
      <w:r w:rsidR="002A0E8F">
        <w:rPr>
          <w:szCs w:val="24"/>
        </w:rPr>
        <w:t xml:space="preserve">. </w:t>
      </w:r>
    </w:p>
    <w:p w:rsidR="0021117A" w:rsidRDefault="00096186" w:rsidP="00096186">
      <w:pPr>
        <w:spacing w:line="360" w:lineRule="auto"/>
        <w:jc w:val="both"/>
        <w:rPr>
          <w:szCs w:val="24"/>
        </w:rPr>
      </w:pPr>
      <w:r>
        <w:rPr>
          <w:szCs w:val="24"/>
        </w:rPr>
        <w:tab/>
      </w:r>
      <w:r w:rsidR="00C52968">
        <w:rPr>
          <w:szCs w:val="24"/>
        </w:rPr>
        <w:t>En</w:t>
      </w:r>
      <w:r w:rsidR="00F23D5A" w:rsidRPr="00F21237">
        <w:rPr>
          <w:szCs w:val="24"/>
        </w:rPr>
        <w:t xml:space="preserve"> las distribuciones </w:t>
      </w:r>
      <w:r w:rsidR="00C52968">
        <w:rPr>
          <w:szCs w:val="24"/>
        </w:rPr>
        <w:t xml:space="preserve">realizadas </w:t>
      </w:r>
      <w:r w:rsidR="00F23D5A" w:rsidRPr="00F21237">
        <w:rPr>
          <w:szCs w:val="24"/>
        </w:rPr>
        <w:t>a 20</w:t>
      </w:r>
      <w:r w:rsidR="0021117A">
        <w:rPr>
          <w:szCs w:val="24"/>
        </w:rPr>
        <w:t xml:space="preserve"> </w:t>
      </w:r>
      <w:r w:rsidR="00F23D5A" w:rsidRPr="00F21237">
        <w:rPr>
          <w:szCs w:val="24"/>
        </w:rPr>
        <w:t>X se aprecia una notable diferencia respecto al tamaño de gota promedio alcanzado para cada medio coalescedor. La distribución de diámetro de gotas para una fracción acumulada</w:t>
      </w:r>
      <w:r w:rsidR="00225636" w:rsidRPr="00F21237">
        <w:rPr>
          <w:szCs w:val="24"/>
        </w:rPr>
        <w:t xml:space="preserve"> del</w:t>
      </w:r>
      <w:r w:rsidR="00C52968">
        <w:rPr>
          <w:szCs w:val="24"/>
        </w:rPr>
        <w:t xml:space="preserve"> 50 y 90</w:t>
      </w:r>
      <w:r w:rsidR="00D24998">
        <w:rPr>
          <w:szCs w:val="24"/>
        </w:rPr>
        <w:t xml:space="preserve"> </w:t>
      </w:r>
      <w:r w:rsidR="00F23D5A" w:rsidRPr="00F21237">
        <w:rPr>
          <w:szCs w:val="24"/>
        </w:rPr>
        <w:t xml:space="preserve">% </w:t>
      </w:r>
      <w:r w:rsidR="0021117A">
        <w:rPr>
          <w:szCs w:val="24"/>
        </w:rPr>
        <w:t>alcanza</w:t>
      </w:r>
      <w:r w:rsidR="00225636" w:rsidRPr="00F21237">
        <w:rPr>
          <w:szCs w:val="24"/>
        </w:rPr>
        <w:t xml:space="preserve"> diámetros de gotas superiores </w:t>
      </w:r>
      <w:r w:rsidR="0021117A">
        <w:rPr>
          <w:szCs w:val="24"/>
        </w:rPr>
        <w:t>a los 20</w:t>
      </w:r>
      <w:r w:rsidR="0021117A" w:rsidRPr="00F21237">
        <w:rPr>
          <w:szCs w:val="24"/>
        </w:rPr>
        <w:t>0</w:t>
      </w:r>
      <w:r w:rsidR="0021117A">
        <w:rPr>
          <w:szCs w:val="24"/>
        </w:rPr>
        <w:t xml:space="preserve"> </w:t>
      </w:r>
      <w:r w:rsidR="0021117A" w:rsidRPr="00F21237">
        <w:rPr>
          <w:szCs w:val="24"/>
        </w:rPr>
        <w:t xml:space="preserve">µm </w:t>
      </w:r>
      <w:r w:rsidR="0021117A">
        <w:rPr>
          <w:szCs w:val="24"/>
        </w:rPr>
        <w:t xml:space="preserve">mientras que para esferas de polietileno </w:t>
      </w:r>
      <w:r w:rsidR="00344CCC">
        <w:rPr>
          <w:szCs w:val="24"/>
        </w:rPr>
        <w:t>superan</w:t>
      </w:r>
      <w:r w:rsidR="00225636" w:rsidRPr="00F21237">
        <w:rPr>
          <w:szCs w:val="24"/>
        </w:rPr>
        <w:t xml:space="preserve"> los </w:t>
      </w:r>
      <w:r w:rsidR="0021117A">
        <w:rPr>
          <w:szCs w:val="24"/>
        </w:rPr>
        <w:t>250 µm.</w:t>
      </w:r>
    </w:p>
    <w:p w:rsidR="00096186" w:rsidRDefault="00096186" w:rsidP="008870AF">
      <w:pPr>
        <w:spacing w:line="360" w:lineRule="auto"/>
        <w:jc w:val="both"/>
        <w:rPr>
          <w:szCs w:val="24"/>
        </w:rPr>
      </w:pPr>
      <w:r>
        <w:rPr>
          <w:szCs w:val="24"/>
        </w:rPr>
        <w:tab/>
      </w:r>
      <w:r w:rsidR="00344CCC">
        <w:rPr>
          <w:szCs w:val="24"/>
        </w:rPr>
        <w:t>Es notable</w:t>
      </w:r>
      <w:r>
        <w:rPr>
          <w:szCs w:val="24"/>
        </w:rPr>
        <w:t xml:space="preserve"> también</w:t>
      </w:r>
      <w:r w:rsidR="0021117A">
        <w:rPr>
          <w:szCs w:val="24"/>
        </w:rPr>
        <w:t xml:space="preserve"> que la efectividad del medio coalescedor</w:t>
      </w:r>
      <w:r w:rsidR="00344CCC">
        <w:rPr>
          <w:szCs w:val="24"/>
        </w:rPr>
        <w:t>,</w:t>
      </w:r>
      <w:r w:rsidR="0021117A">
        <w:rPr>
          <w:szCs w:val="24"/>
        </w:rPr>
        <w:t xml:space="preserve"> en términos de tamaño de gotas, </w:t>
      </w:r>
      <w:r w:rsidR="00344CCC">
        <w:rPr>
          <w:szCs w:val="24"/>
        </w:rPr>
        <w:t>disminuya</w:t>
      </w:r>
      <w:r w:rsidR="0021117A">
        <w:rPr>
          <w:szCs w:val="24"/>
        </w:rPr>
        <w:t xml:space="preserve"> conforme aumenta la cantidad de </w:t>
      </w:r>
      <w:r>
        <w:rPr>
          <w:szCs w:val="24"/>
        </w:rPr>
        <w:t>muestra</w:t>
      </w:r>
      <w:r w:rsidR="0021117A">
        <w:rPr>
          <w:szCs w:val="24"/>
        </w:rPr>
        <w:t xml:space="preserve"> tratada. </w:t>
      </w:r>
      <w:r>
        <w:rPr>
          <w:szCs w:val="24"/>
        </w:rPr>
        <w:t>La</w:t>
      </w:r>
      <w:r w:rsidR="0021117A">
        <w:rPr>
          <w:szCs w:val="24"/>
        </w:rPr>
        <w:t xml:space="preserve"> mayor desestabilización con esferas de polietileno se logra al inicio de la experiencia. Lo contrario sucede con anillos de vidrio; la mayor desestabilización se logra cuando se han recolectado unos 15,0 ml de muestra</w:t>
      </w:r>
      <w:r w:rsidR="00432E63">
        <w:rPr>
          <w:szCs w:val="24"/>
        </w:rPr>
        <w:t>. Sin embargo para cada de las experiencias, los tamaños de gota decrecen nuevamente</w:t>
      </w:r>
      <w:r>
        <w:rPr>
          <w:szCs w:val="24"/>
        </w:rPr>
        <w:t xml:space="preserve"> incluso por debajo de los tamaños de gotas de la muestra sin tratar</w:t>
      </w:r>
      <w:r w:rsidR="00432E63">
        <w:rPr>
          <w:szCs w:val="24"/>
        </w:rPr>
        <w:t xml:space="preserve">. </w:t>
      </w:r>
      <w:r w:rsidR="00344CCC">
        <w:rPr>
          <w:szCs w:val="24"/>
        </w:rPr>
        <w:t xml:space="preserve">Únicamente, para las distribuciones trazadas </w:t>
      </w:r>
      <w:r w:rsidR="00956E55">
        <w:rPr>
          <w:szCs w:val="24"/>
        </w:rPr>
        <w:t xml:space="preserve"> cuando se emplean anillos de vidrio y a </w:t>
      </w:r>
      <w:r w:rsidR="00344CCC">
        <w:rPr>
          <w:szCs w:val="24"/>
        </w:rPr>
        <w:t xml:space="preserve">20 X, se duplica el tamaño de gota al final de la experiencia. Sin embargo, si se consideran los máximos tamaños de gotas alcanzados, el cambio final de tamaño es prácticamente despreciable. </w:t>
      </w:r>
    </w:p>
    <w:p w:rsidR="00225636" w:rsidRDefault="00344CCC" w:rsidP="008870AF">
      <w:pPr>
        <w:spacing w:line="360" w:lineRule="auto"/>
        <w:jc w:val="both"/>
        <w:rPr>
          <w:szCs w:val="24"/>
        </w:rPr>
      </w:pPr>
      <w:r>
        <w:rPr>
          <w:szCs w:val="24"/>
        </w:rPr>
        <w:tab/>
      </w:r>
      <w:r w:rsidR="00BA74FC">
        <w:rPr>
          <w:szCs w:val="24"/>
        </w:rPr>
        <w:t>Se realizó la misma evaluación tomando ahora</w:t>
      </w:r>
      <w:r w:rsidR="00E31CED">
        <w:rPr>
          <w:szCs w:val="24"/>
        </w:rPr>
        <w:t xml:space="preserve"> en consideración la cantidad de agua en la muestra. Se calculó el factor de desestabilización </w:t>
      </w:r>
      <w:r w:rsidR="00C52968">
        <w:rPr>
          <w:szCs w:val="24"/>
        </w:rPr>
        <w:t>(Fung, 2011)</w:t>
      </w:r>
      <w:r w:rsidR="00E31CED">
        <w:rPr>
          <w:szCs w:val="24"/>
        </w:rPr>
        <w:t xml:space="preserve"> para cada una de las experiencias</w:t>
      </w:r>
      <w:r w:rsidR="00EA6383">
        <w:rPr>
          <w:szCs w:val="24"/>
        </w:rPr>
        <w:t xml:space="preserve">. </w:t>
      </w:r>
      <w:r w:rsidR="00E31CED">
        <w:rPr>
          <w:szCs w:val="24"/>
        </w:rPr>
        <w:t>El cálculo del factor de desestabilización se realiz</w:t>
      </w:r>
      <w:r w:rsidR="00BF6EBD">
        <w:rPr>
          <w:szCs w:val="24"/>
        </w:rPr>
        <w:t>ó</w:t>
      </w:r>
      <w:r w:rsidR="00E31CED">
        <w:rPr>
          <w:szCs w:val="24"/>
        </w:rPr>
        <w:t xml:space="preserve"> </w:t>
      </w:r>
      <w:r w:rsidR="00BF6EBD">
        <w:rPr>
          <w:szCs w:val="24"/>
        </w:rPr>
        <w:t>de la siguiente forma</w:t>
      </w:r>
      <w:r w:rsidR="00E31CED">
        <w:rPr>
          <w:szCs w:val="24"/>
        </w:rPr>
        <w:t>:</w:t>
      </w:r>
    </w:p>
    <w:p w:rsidR="00B605E6" w:rsidRDefault="00C52968" w:rsidP="00E31CED">
      <w:pPr>
        <w:spacing w:before="240" w:after="240"/>
        <w:jc w:val="center"/>
        <w:rPr>
          <w:szCs w:val="24"/>
        </w:rPr>
      </w:pPr>
      <m:oMath>
        <m:r>
          <w:rPr>
            <w:rFonts w:ascii="Cambria Math" w:hAnsi="Cambria Math"/>
            <w:sz w:val="32"/>
            <w:szCs w:val="32"/>
          </w:rPr>
          <m:t>FD</m:t>
        </m:r>
        <m:r>
          <w:rPr>
            <w:rFonts w:ascii="Cambria Math"/>
            <w:sz w:val="32"/>
            <w:szCs w:val="32"/>
          </w:rPr>
          <m:t>=</m:t>
        </m:r>
        <m:f>
          <m:fPr>
            <m:ctrlPr>
              <w:rPr>
                <w:rFonts w:ascii="Cambria Math" w:hAnsi="Cambria Math"/>
                <w:i/>
                <w:sz w:val="32"/>
                <w:szCs w:val="32"/>
              </w:rPr>
            </m:ctrlPr>
          </m:fPr>
          <m:num>
            <m:r>
              <w:rPr>
                <w:rFonts w:hAnsi="Cambria Math"/>
                <w:sz w:val="32"/>
                <w:szCs w:val="32"/>
              </w:rPr>
              <m:t>∅</m:t>
            </m:r>
            <m:r>
              <w:rPr>
                <w:rFonts w:ascii="Cambria Math" w:hAnsi="Cambria Math"/>
                <w:sz w:val="32"/>
                <w:szCs w:val="32"/>
              </w:rPr>
              <m:t>w</m:t>
            </m:r>
            <m:r>
              <w:rPr>
                <w:rFonts w:ascii="Cambria Math"/>
                <w:sz w:val="32"/>
                <w:szCs w:val="32"/>
              </w:rPr>
              <m:t>(</m:t>
            </m:r>
            <m:r>
              <w:rPr>
                <w:rFonts w:ascii="Cambria Math" w:hAnsi="Cambria Math"/>
                <w:sz w:val="32"/>
                <w:szCs w:val="32"/>
              </w:rPr>
              <m:t>X</m:t>
            </m:r>
            <m:r>
              <w:rPr>
                <w:rFonts w:ascii="Cambria Math"/>
                <w:sz w:val="32"/>
                <w:szCs w:val="32"/>
              </w:rPr>
              <m:t>)</m:t>
            </m:r>
          </m:num>
          <m:den>
            <m:sSup>
              <m:sSupPr>
                <m:ctrlPr>
                  <w:rPr>
                    <w:rFonts w:ascii="Cambria Math" w:hAnsi="Cambria Math"/>
                    <w:i/>
                    <w:sz w:val="32"/>
                    <w:szCs w:val="32"/>
                  </w:rPr>
                </m:ctrlPr>
              </m:sSupPr>
              <m:e>
                <m:r>
                  <w:rPr>
                    <w:rFonts w:hAnsi="Cambria Math"/>
                    <w:sz w:val="32"/>
                    <w:szCs w:val="32"/>
                  </w:rPr>
                  <m:t>∅</m:t>
                </m:r>
              </m:e>
              <m:sup>
                <m:r>
                  <w:rPr>
                    <w:rFonts w:ascii="Cambria Math"/>
                    <w:sz w:val="32"/>
                    <w:szCs w:val="32"/>
                  </w:rPr>
                  <m:t>0</m:t>
                </m:r>
              </m:sup>
            </m:sSup>
            <m:r>
              <w:rPr>
                <w:rFonts w:ascii="Cambria Math" w:hAnsi="Cambria Math"/>
                <w:sz w:val="32"/>
                <w:szCs w:val="32"/>
              </w:rPr>
              <m:t>w</m:t>
            </m:r>
            <m:r>
              <w:rPr>
                <w:rFonts w:ascii="Cambria Math"/>
                <w:sz w:val="32"/>
                <w:szCs w:val="32"/>
              </w:rPr>
              <m:t>(</m:t>
            </m:r>
            <m:r>
              <w:rPr>
                <w:rFonts w:ascii="Cambria Math" w:hAnsi="Cambria Math"/>
                <w:sz w:val="32"/>
                <w:szCs w:val="32"/>
              </w:rPr>
              <m:t>X</m:t>
            </m:r>
            <m:r>
              <w:rPr>
                <w:rFonts w:ascii="Cambria Math"/>
                <w:sz w:val="32"/>
                <w:szCs w:val="32"/>
              </w:rPr>
              <m:t>)</m:t>
            </m:r>
          </m:den>
        </m:f>
        <m:r>
          <w:rPr>
            <w:rFonts w:ascii="Cambria Math"/>
            <w:sz w:val="32"/>
            <w:szCs w:val="32"/>
          </w:rPr>
          <m:t xml:space="preserve"> </m:t>
        </m:r>
      </m:oMath>
      <w:r w:rsidR="00D730D4" w:rsidRPr="00D730D4">
        <w:rPr>
          <w:sz w:val="20"/>
        </w:rPr>
        <w:t>(Ecuación 4</w:t>
      </w:r>
      <w:r w:rsidR="00C85DBC" w:rsidRPr="00D730D4">
        <w:rPr>
          <w:sz w:val="20"/>
        </w:rPr>
        <w:t>)</w:t>
      </w:r>
    </w:p>
    <w:p w:rsidR="005A5BE5" w:rsidRDefault="00C921EE" w:rsidP="008870AF">
      <w:pPr>
        <w:spacing w:line="360" w:lineRule="auto"/>
        <w:jc w:val="both"/>
        <w:rPr>
          <w:szCs w:val="24"/>
        </w:rPr>
      </w:pPr>
      <w:r>
        <w:rPr>
          <w:szCs w:val="24"/>
        </w:rPr>
        <w:t>donde,</w:t>
      </w:r>
    </w:p>
    <w:p w:rsidR="005A5BE5" w:rsidRPr="00C52968" w:rsidRDefault="00BF6EBD" w:rsidP="008870AF">
      <w:pPr>
        <w:spacing w:line="360" w:lineRule="auto"/>
        <w:jc w:val="both"/>
        <w:rPr>
          <w:szCs w:val="24"/>
        </w:rPr>
      </w:pPr>
      <w:r>
        <w:rPr>
          <w:b/>
          <w:szCs w:val="24"/>
        </w:rPr>
        <w:tab/>
      </w:r>
      <w:r w:rsidR="00C52968" w:rsidRPr="003E537B">
        <w:rPr>
          <w:b/>
          <w:szCs w:val="24"/>
        </w:rPr>
        <w:t>FD</w:t>
      </w:r>
      <w:r w:rsidR="005A5BE5" w:rsidRPr="003E537B">
        <w:rPr>
          <w:b/>
          <w:szCs w:val="24"/>
        </w:rPr>
        <w:t>:</w:t>
      </w:r>
      <w:r w:rsidR="005A5BE5" w:rsidRPr="00C52968">
        <w:rPr>
          <w:szCs w:val="24"/>
        </w:rPr>
        <w:t xml:space="preserve"> Factor de desestabilización (adimensional).</w:t>
      </w:r>
    </w:p>
    <w:p w:rsidR="005A5BE5" w:rsidRDefault="00BF6EBD" w:rsidP="008870AF">
      <w:pPr>
        <w:spacing w:line="360" w:lineRule="auto"/>
        <w:jc w:val="both"/>
        <w:rPr>
          <w:szCs w:val="24"/>
        </w:rPr>
      </w:pPr>
      <w:r>
        <w:rPr>
          <w:b/>
          <w:szCs w:val="24"/>
        </w:rPr>
        <w:tab/>
      </w:r>
      <m:oMath>
        <m:r>
          <m:rPr>
            <m:sty m:val="b"/>
          </m:rPr>
          <w:rPr>
            <w:rFonts w:ascii="Cambria Math" w:hAnsi="Cambria Math"/>
            <w:szCs w:val="24"/>
          </w:rPr>
          <m:t>∅w</m:t>
        </m:r>
        <m:r>
          <m:rPr>
            <m:sty m:val="b"/>
          </m:rPr>
          <w:rPr>
            <w:rFonts w:ascii="Cambria Math"/>
            <w:szCs w:val="24"/>
          </w:rPr>
          <m:t>(</m:t>
        </m:r>
        <m:r>
          <m:rPr>
            <m:sty m:val="b"/>
          </m:rPr>
          <w:rPr>
            <w:rFonts w:ascii="Cambria Math" w:hAnsi="Cambria Math"/>
            <w:szCs w:val="24"/>
          </w:rPr>
          <m:t>X</m:t>
        </m:r>
        <m:r>
          <m:rPr>
            <m:sty m:val="b"/>
          </m:rPr>
          <w:rPr>
            <w:rFonts w:ascii="Cambria Math"/>
            <w:szCs w:val="24"/>
          </w:rPr>
          <m:t>)</m:t>
        </m:r>
      </m:oMath>
      <w:r w:rsidR="005A5BE5" w:rsidRPr="003E537B">
        <w:rPr>
          <w:b/>
          <w:szCs w:val="24"/>
        </w:rPr>
        <w:t>:</w:t>
      </w:r>
      <w:r w:rsidR="005A5BE5" w:rsidRPr="00C52968">
        <w:rPr>
          <w:szCs w:val="24"/>
        </w:rPr>
        <w:t xml:space="preserve"> Porcentaje de agua en gotas con diámetros mayores que X</w:t>
      </w:r>
      <w:r>
        <w:rPr>
          <w:szCs w:val="24"/>
        </w:rPr>
        <w:t xml:space="preserve"> </w:t>
      </w:r>
      <w:r w:rsidR="005A5BE5" w:rsidRPr="00C52968">
        <w:rPr>
          <w:szCs w:val="24"/>
        </w:rPr>
        <w:t>µm</w:t>
      </w:r>
      <w:r w:rsidR="005A5BE5" w:rsidRPr="00C52968">
        <w:rPr>
          <w:szCs w:val="24"/>
          <w:vertAlign w:val="subscript"/>
        </w:rPr>
        <w:t xml:space="preserve"> </w:t>
      </w:r>
      <w:r w:rsidR="005A5BE5" w:rsidRPr="00C52968">
        <w:rPr>
          <w:szCs w:val="24"/>
        </w:rPr>
        <w:t xml:space="preserve"> </w:t>
      </w:r>
      <w:r>
        <w:rPr>
          <w:szCs w:val="24"/>
        </w:rPr>
        <w:tab/>
      </w:r>
      <w:r>
        <w:rPr>
          <w:szCs w:val="24"/>
        </w:rPr>
        <w:tab/>
      </w:r>
      <w:r>
        <w:rPr>
          <w:szCs w:val="24"/>
        </w:rPr>
        <w:tab/>
      </w:r>
      <w:r w:rsidR="005A5BE5" w:rsidRPr="00C52968">
        <w:rPr>
          <w:szCs w:val="24"/>
        </w:rPr>
        <w:t>después de aplicar campo eléctrico (%).</w:t>
      </w:r>
    </w:p>
    <w:p w:rsidR="005A5BE5" w:rsidRPr="00C52968" w:rsidRDefault="00A73CD2" w:rsidP="00BF6EBD">
      <w:pPr>
        <w:spacing w:line="360" w:lineRule="auto"/>
        <w:ind w:left="720"/>
        <w:jc w:val="both"/>
        <w:rPr>
          <w:szCs w:val="24"/>
        </w:rPr>
      </w:pPr>
      <m:oMath>
        <m:sSup>
          <m:sSupPr>
            <m:ctrlPr>
              <w:rPr>
                <w:rFonts w:ascii="Cambria Math" w:hAnsi="Cambria Math"/>
                <w:b/>
                <w:szCs w:val="24"/>
              </w:rPr>
            </m:ctrlPr>
          </m:sSupPr>
          <m:e>
            <m:r>
              <m:rPr>
                <m:sty m:val="b"/>
              </m:rPr>
              <w:rPr>
                <w:rFonts w:ascii="Cambria Math" w:hAnsi="Cambria Math"/>
                <w:szCs w:val="24"/>
              </w:rPr>
              <m:t>∅</m:t>
            </m:r>
          </m:e>
          <m:sup>
            <m:r>
              <m:rPr>
                <m:sty m:val="b"/>
              </m:rPr>
              <w:rPr>
                <w:rFonts w:ascii="Cambria Math"/>
                <w:szCs w:val="24"/>
              </w:rPr>
              <m:t>0</m:t>
            </m:r>
          </m:sup>
        </m:sSup>
        <m:r>
          <m:rPr>
            <m:sty m:val="b"/>
          </m:rPr>
          <w:rPr>
            <w:rFonts w:ascii="Cambria Math" w:hAnsi="Cambria Math"/>
            <w:szCs w:val="24"/>
          </w:rPr>
          <m:t>w</m:t>
        </m:r>
        <m:d>
          <m:dPr>
            <m:ctrlPr>
              <w:rPr>
                <w:rFonts w:ascii="Cambria Math" w:hAnsi="Cambria Math"/>
                <w:b/>
                <w:szCs w:val="24"/>
              </w:rPr>
            </m:ctrlPr>
          </m:dPr>
          <m:e>
            <m:r>
              <m:rPr>
                <m:sty m:val="b"/>
              </m:rPr>
              <w:rPr>
                <w:rFonts w:ascii="Cambria Math" w:hAnsi="Cambria Math"/>
                <w:szCs w:val="24"/>
              </w:rPr>
              <m:t>X</m:t>
            </m:r>
          </m:e>
        </m:d>
        <m:r>
          <m:rPr>
            <m:sty m:val="b"/>
          </m:rPr>
          <w:rPr>
            <w:rFonts w:ascii="Cambria Math"/>
            <w:szCs w:val="24"/>
          </w:rPr>
          <m:t>:</m:t>
        </m:r>
        <m:r>
          <w:rPr>
            <w:rFonts w:ascii="Cambria Math"/>
            <w:szCs w:val="24"/>
          </w:rPr>
          <m:t xml:space="preserve"> </m:t>
        </m:r>
      </m:oMath>
      <w:r w:rsidR="00BF6EBD">
        <w:rPr>
          <w:szCs w:val="24"/>
        </w:rPr>
        <w:t xml:space="preserve">Porcentaje </w:t>
      </w:r>
      <w:r w:rsidR="0074307A" w:rsidRPr="00C52968">
        <w:rPr>
          <w:szCs w:val="24"/>
        </w:rPr>
        <w:t>d</w:t>
      </w:r>
      <w:r w:rsidR="005A5BE5" w:rsidRPr="00C52968">
        <w:rPr>
          <w:szCs w:val="24"/>
        </w:rPr>
        <w:t>e agua en gotas con diámetros mayores que X</w:t>
      </w:r>
      <w:r w:rsidR="00BF6EBD">
        <w:rPr>
          <w:szCs w:val="24"/>
        </w:rPr>
        <w:t xml:space="preserve"> </w:t>
      </w:r>
      <w:r w:rsidR="005A5BE5" w:rsidRPr="00C52968">
        <w:rPr>
          <w:szCs w:val="24"/>
        </w:rPr>
        <w:t>µm</w:t>
      </w:r>
      <w:r w:rsidR="005A5BE5" w:rsidRPr="00C52968">
        <w:rPr>
          <w:szCs w:val="24"/>
          <w:vertAlign w:val="subscript"/>
        </w:rPr>
        <w:t xml:space="preserve"> </w:t>
      </w:r>
      <w:r w:rsidR="0074307A" w:rsidRPr="00C52968">
        <w:rPr>
          <w:szCs w:val="24"/>
        </w:rPr>
        <w:t xml:space="preserve"> </w:t>
      </w:r>
      <w:r w:rsidR="00C52968">
        <w:rPr>
          <w:szCs w:val="24"/>
        </w:rPr>
        <w:t>antes</w:t>
      </w:r>
      <w:r w:rsidR="005A5BE5" w:rsidRPr="00C52968">
        <w:rPr>
          <w:szCs w:val="24"/>
        </w:rPr>
        <w:t xml:space="preserve"> de aplicar campo eléctrico (%).</w:t>
      </w:r>
    </w:p>
    <w:p w:rsidR="005A5BE5" w:rsidRPr="00C52968" w:rsidRDefault="00BF6EBD" w:rsidP="00BF6EBD">
      <w:pPr>
        <w:spacing w:line="360" w:lineRule="auto"/>
        <w:ind w:left="720"/>
        <w:jc w:val="both"/>
        <w:rPr>
          <w:szCs w:val="24"/>
        </w:rPr>
      </w:pPr>
      <m:oMath>
        <m:r>
          <m:rPr>
            <m:sty m:val="b"/>
          </m:rPr>
          <w:rPr>
            <w:rFonts w:ascii="Cambria Math" w:hAnsi="Cambria Math"/>
            <w:szCs w:val="24"/>
          </w:rPr>
          <m:t>X</m:t>
        </m:r>
      </m:oMath>
      <w:r w:rsidR="005A5BE5" w:rsidRPr="003E537B">
        <w:rPr>
          <w:b/>
          <w:szCs w:val="24"/>
        </w:rPr>
        <w:t>:</w:t>
      </w:r>
      <w:r w:rsidR="005A5BE5" w:rsidRPr="00C52968">
        <w:rPr>
          <w:szCs w:val="24"/>
        </w:rPr>
        <w:t xml:space="preserve"> Diámetro equivalente (µm).</w:t>
      </w:r>
    </w:p>
    <w:p w:rsidR="00ED4C27" w:rsidRDefault="008870AF" w:rsidP="008870AF">
      <w:pPr>
        <w:spacing w:line="360" w:lineRule="auto"/>
        <w:jc w:val="both"/>
        <w:rPr>
          <w:szCs w:val="24"/>
        </w:rPr>
      </w:pPr>
      <w:r>
        <w:rPr>
          <w:szCs w:val="24"/>
        </w:rPr>
        <w:tab/>
      </w:r>
      <w:r w:rsidR="0074307A">
        <w:rPr>
          <w:szCs w:val="24"/>
        </w:rPr>
        <w:t>Este parámetro permit</w:t>
      </w:r>
      <w:r w:rsidR="00BF6EBD">
        <w:rPr>
          <w:szCs w:val="24"/>
        </w:rPr>
        <w:t>ió</w:t>
      </w:r>
      <w:r w:rsidR="0074307A">
        <w:rPr>
          <w:szCs w:val="24"/>
        </w:rPr>
        <w:t xml:space="preserve"> comparar en qué proporción aumentó la cantidad de agua presente en la muestra</w:t>
      </w:r>
      <w:r w:rsidR="00BD0FE0">
        <w:rPr>
          <w:szCs w:val="24"/>
        </w:rPr>
        <w:t xml:space="preserve"> para un diámetro de gota determinado</w:t>
      </w:r>
      <w:r w:rsidR="0074307A">
        <w:rPr>
          <w:szCs w:val="24"/>
        </w:rPr>
        <w:t xml:space="preserve">. Por ejemplo si se obtuviese un </w:t>
      </w:r>
      <m:oMath>
        <m:r>
          <w:rPr>
            <w:rFonts w:ascii="Cambria Math" w:hAnsi="Cambria Math"/>
            <w:szCs w:val="24"/>
          </w:rPr>
          <m:t>FD</m:t>
        </m:r>
      </m:oMath>
      <w:r w:rsidR="0074307A">
        <w:rPr>
          <w:szCs w:val="24"/>
        </w:rPr>
        <w:t xml:space="preserve"> de 2, la cantidad de agua </w:t>
      </w:r>
      <w:r w:rsidR="00BD0FE0">
        <w:rPr>
          <w:szCs w:val="24"/>
        </w:rPr>
        <w:t xml:space="preserve">en gotas mayores a </w:t>
      </w:r>
      <w:r w:rsidR="00BF6EBD">
        <w:rPr>
          <w:szCs w:val="24"/>
        </w:rPr>
        <w:t>un diámetro específico</w:t>
      </w:r>
      <w:r w:rsidR="00BD0FE0">
        <w:rPr>
          <w:szCs w:val="24"/>
        </w:rPr>
        <w:t xml:space="preserve"> </w:t>
      </w:r>
      <w:r w:rsidR="0074307A">
        <w:rPr>
          <w:szCs w:val="24"/>
        </w:rPr>
        <w:t xml:space="preserve">es dos veces mayor </w:t>
      </w:r>
      <w:r w:rsidR="00BD0FE0">
        <w:rPr>
          <w:szCs w:val="24"/>
        </w:rPr>
        <w:t>que en la muestra original.</w:t>
      </w:r>
    </w:p>
    <w:p w:rsidR="00E368DB" w:rsidRDefault="008870AF" w:rsidP="008870AF">
      <w:pPr>
        <w:spacing w:line="360" w:lineRule="auto"/>
        <w:jc w:val="both"/>
        <w:rPr>
          <w:szCs w:val="24"/>
        </w:rPr>
      </w:pPr>
      <w:r>
        <w:rPr>
          <w:szCs w:val="24"/>
        </w:rPr>
        <w:tab/>
      </w:r>
      <w:r w:rsidR="00BD0FE0">
        <w:rPr>
          <w:szCs w:val="24"/>
        </w:rPr>
        <w:t xml:space="preserve">Los valores porcentuales de </w:t>
      </w:r>
      <m:oMath>
        <m:r>
          <w:rPr>
            <w:rFonts w:ascii="Cambria Math" w:hAnsi="Cambria Math"/>
            <w:szCs w:val="24"/>
          </w:rPr>
          <m:t>∅w</m:t>
        </m:r>
        <m:d>
          <m:dPr>
            <m:ctrlPr>
              <w:rPr>
                <w:rFonts w:ascii="Cambria Math" w:hAnsi="Cambria Math"/>
                <w:i/>
                <w:szCs w:val="24"/>
              </w:rPr>
            </m:ctrlPr>
          </m:dPr>
          <m:e>
            <m:r>
              <w:rPr>
                <w:rFonts w:ascii="Cambria Math" w:hAnsi="Cambria Math"/>
                <w:szCs w:val="24"/>
              </w:rPr>
              <m:t>X</m:t>
            </m:r>
          </m:e>
        </m:d>
      </m:oMath>
      <w:r w:rsidR="00BD0FE0">
        <w:rPr>
          <w:szCs w:val="24"/>
        </w:rPr>
        <w:t xml:space="preserve"> y </w:t>
      </w:r>
      <m:oMath>
        <m:sSup>
          <m:sSupPr>
            <m:ctrlPr>
              <w:rPr>
                <w:rFonts w:ascii="Cambria Math" w:hAnsi="Cambria Math"/>
                <w:i/>
                <w:szCs w:val="24"/>
              </w:rPr>
            </m:ctrlPr>
          </m:sSupPr>
          <m:e>
            <m:r>
              <w:rPr>
                <w:rFonts w:ascii="Cambria Math" w:hAnsi="Cambria Math"/>
                <w:szCs w:val="24"/>
              </w:rPr>
              <m:t>∅</m:t>
            </m:r>
          </m:e>
          <m:sup>
            <m:r>
              <w:rPr>
                <w:rFonts w:ascii="Cambria Math" w:hAnsi="Cambria Math"/>
                <w:szCs w:val="24"/>
              </w:rPr>
              <m:t>0</m:t>
            </m:r>
          </m:sup>
        </m:sSup>
        <m:r>
          <w:rPr>
            <w:rFonts w:ascii="Cambria Math" w:hAnsi="Cambria Math"/>
            <w:szCs w:val="24"/>
          </w:rPr>
          <m:t>w</m:t>
        </m:r>
        <m:d>
          <m:dPr>
            <m:ctrlPr>
              <w:rPr>
                <w:rFonts w:ascii="Cambria Math" w:hAnsi="Cambria Math"/>
                <w:i/>
                <w:szCs w:val="24"/>
              </w:rPr>
            </m:ctrlPr>
          </m:dPr>
          <m:e>
            <m:r>
              <w:rPr>
                <w:rFonts w:ascii="Cambria Math" w:hAnsi="Cambria Math"/>
                <w:szCs w:val="24"/>
              </w:rPr>
              <m:t>X</m:t>
            </m:r>
          </m:e>
        </m:d>
      </m:oMath>
      <w:r w:rsidR="00BD0FE0">
        <w:rPr>
          <w:szCs w:val="24"/>
        </w:rPr>
        <w:t xml:space="preserve"> se calcularon </w:t>
      </w:r>
      <w:r w:rsidR="002567C4">
        <w:rPr>
          <w:szCs w:val="24"/>
        </w:rPr>
        <w:t xml:space="preserve">a </w:t>
      </w:r>
      <w:r w:rsidR="00BD0FE0">
        <w:rPr>
          <w:szCs w:val="24"/>
        </w:rPr>
        <w:t>un diámetro de gota de 25</w:t>
      </w:r>
      <w:r w:rsidR="00BD0FE0" w:rsidRPr="00DF6607">
        <w:rPr>
          <w:szCs w:val="24"/>
        </w:rPr>
        <w:t>µm</w:t>
      </w:r>
      <w:r w:rsidR="002567C4">
        <w:rPr>
          <w:szCs w:val="24"/>
        </w:rPr>
        <w:t xml:space="preserve"> y 50</w:t>
      </w:r>
      <w:r w:rsidR="002567C4" w:rsidRPr="00DF6607">
        <w:rPr>
          <w:szCs w:val="24"/>
        </w:rPr>
        <w:t>µm</w:t>
      </w:r>
      <w:r w:rsidR="002567C4">
        <w:rPr>
          <w:szCs w:val="24"/>
        </w:rPr>
        <w:t>,</w:t>
      </w:r>
      <w:r w:rsidR="00BD0FE0">
        <w:rPr>
          <w:szCs w:val="24"/>
        </w:rPr>
        <w:t xml:space="preserve"> para un</w:t>
      </w:r>
      <w:r w:rsidR="002567C4">
        <w:rPr>
          <w:szCs w:val="24"/>
        </w:rPr>
        <w:t xml:space="preserve"> aumento de 20</w:t>
      </w:r>
      <w:r w:rsidR="00D730D4">
        <w:rPr>
          <w:szCs w:val="24"/>
        </w:rPr>
        <w:t xml:space="preserve"> </w:t>
      </w:r>
      <w:r w:rsidR="002567C4">
        <w:rPr>
          <w:szCs w:val="24"/>
        </w:rPr>
        <w:t>X y 5</w:t>
      </w:r>
      <w:r w:rsidR="00D730D4">
        <w:rPr>
          <w:szCs w:val="24"/>
        </w:rPr>
        <w:t xml:space="preserve"> </w:t>
      </w:r>
      <w:r w:rsidR="002567C4">
        <w:rPr>
          <w:szCs w:val="24"/>
        </w:rPr>
        <w:t xml:space="preserve">X respectivamente. </w:t>
      </w:r>
    </w:p>
    <w:p w:rsidR="00E368DB" w:rsidRDefault="00E368DB" w:rsidP="00CE4420">
      <w:pPr>
        <w:jc w:val="both"/>
        <w:rPr>
          <w:szCs w:val="24"/>
        </w:rPr>
      </w:pPr>
    </w:p>
    <w:p w:rsidR="00E368DB" w:rsidRDefault="000B537B" w:rsidP="00745DCB">
      <w:pPr>
        <w:jc w:val="center"/>
        <w:rPr>
          <w:szCs w:val="24"/>
        </w:rPr>
      </w:pPr>
      <w:r w:rsidRPr="000B537B">
        <w:rPr>
          <w:noProof/>
          <w:szCs w:val="24"/>
          <w:lang w:val="en-US" w:eastAsia="en-US"/>
        </w:rPr>
        <w:drawing>
          <wp:inline distT="0" distB="0" distL="0" distR="0">
            <wp:extent cx="5559552" cy="3040912"/>
            <wp:effectExtent l="0" t="0" r="0" b="0"/>
            <wp:docPr id="17"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45DCB" w:rsidRDefault="00D730D4" w:rsidP="00D730D4">
      <w:pPr>
        <w:spacing w:line="360" w:lineRule="auto"/>
        <w:jc w:val="center"/>
        <w:rPr>
          <w:szCs w:val="24"/>
        </w:rPr>
      </w:pPr>
      <w:r>
        <w:rPr>
          <w:szCs w:val="24"/>
        </w:rPr>
        <w:t>(a)</w:t>
      </w:r>
    </w:p>
    <w:p w:rsidR="00E368DB" w:rsidRDefault="000B537B" w:rsidP="00D730D4">
      <w:pPr>
        <w:jc w:val="center"/>
        <w:rPr>
          <w:szCs w:val="24"/>
        </w:rPr>
      </w:pPr>
      <w:r w:rsidRPr="000B537B">
        <w:rPr>
          <w:noProof/>
          <w:szCs w:val="24"/>
          <w:lang w:val="en-US" w:eastAsia="en-US"/>
        </w:rPr>
        <w:lastRenderedPageBreak/>
        <w:drawing>
          <wp:inline distT="0" distB="0" distL="0" distR="0">
            <wp:extent cx="5559552" cy="3040912"/>
            <wp:effectExtent l="0" t="0" r="0" b="0"/>
            <wp:docPr id="18"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730D4" w:rsidRDefault="00A275D5" w:rsidP="00A275D5">
      <w:pPr>
        <w:pStyle w:val="Epgrafe"/>
        <w:spacing w:before="240"/>
      </w:pPr>
      <w:bookmarkStart w:id="154" w:name="_Toc327481454"/>
      <w:r>
        <w:t xml:space="preserve">Figura N° </w:t>
      </w:r>
      <w:fldSimple w:instr=" SEQ Figura_N° \* ARABIC ">
        <w:r w:rsidR="004A5F6F">
          <w:rPr>
            <w:noProof/>
          </w:rPr>
          <w:t>42</w:t>
        </w:r>
      </w:fldSimple>
      <w:r>
        <w:t>:</w:t>
      </w:r>
      <w:r w:rsidR="00745DCB" w:rsidRPr="00745DCB">
        <w:t xml:space="preserve"> Factor de desestabilización</w:t>
      </w:r>
      <w:r w:rsidR="00C35E65">
        <w:t xml:space="preserve"> (FD)</w:t>
      </w:r>
      <w:r w:rsidR="00745DCB" w:rsidRPr="00745DCB">
        <w:t xml:space="preserve">. Fosa </w:t>
      </w:r>
      <w:r w:rsidR="007770E8">
        <w:t>Merey-31</w:t>
      </w:r>
      <w:r w:rsidR="00745DCB" w:rsidRPr="00745DCB">
        <w:t>.</w:t>
      </w:r>
      <w:r w:rsidR="00A142A0">
        <w:t xml:space="preserve"> Campo DC.</w:t>
      </w:r>
      <w:bookmarkEnd w:id="154"/>
      <w:r w:rsidR="00745DCB" w:rsidRPr="00745DCB">
        <w:t xml:space="preserve"> </w:t>
      </w:r>
    </w:p>
    <w:p w:rsidR="00745DCB" w:rsidRPr="00C921EE" w:rsidRDefault="00D730D4" w:rsidP="00C35E65">
      <w:pPr>
        <w:spacing w:line="360" w:lineRule="auto"/>
        <w:jc w:val="center"/>
        <w:rPr>
          <w:sz w:val="20"/>
        </w:rPr>
      </w:pPr>
      <w:r>
        <w:rPr>
          <w:sz w:val="20"/>
        </w:rPr>
        <w:t>(a)</w:t>
      </w:r>
      <w:r w:rsidR="00745DCB" w:rsidRPr="00745DCB">
        <w:rPr>
          <w:sz w:val="20"/>
        </w:rPr>
        <w:t xml:space="preserve">Aumento </w:t>
      </w:r>
      <w:r>
        <w:rPr>
          <w:sz w:val="20"/>
        </w:rPr>
        <w:t xml:space="preserve">5 </w:t>
      </w:r>
      <w:r w:rsidR="00745DCB" w:rsidRPr="00745DCB">
        <w:rPr>
          <w:sz w:val="20"/>
        </w:rPr>
        <w:t>X.</w:t>
      </w:r>
      <w:r w:rsidR="000024AF">
        <w:rPr>
          <w:sz w:val="20"/>
        </w:rPr>
        <w:t xml:space="preserve"> </w:t>
      </w:r>
      <w:r>
        <w:rPr>
          <w:sz w:val="20"/>
        </w:rPr>
        <w:t xml:space="preserve">Referencia: 50 </w:t>
      </w:r>
      <w:r w:rsidR="000024AF" w:rsidRPr="00C921EE">
        <w:rPr>
          <w:sz w:val="20"/>
        </w:rPr>
        <w:t>µm.</w:t>
      </w:r>
      <w:r>
        <w:rPr>
          <w:sz w:val="20"/>
        </w:rPr>
        <w:t xml:space="preserve"> (b) Aumento 20 X. Referencia: 25 </w:t>
      </w:r>
      <w:r w:rsidRPr="00C921EE">
        <w:rPr>
          <w:sz w:val="20"/>
        </w:rPr>
        <w:t>µm</w:t>
      </w:r>
      <w:r>
        <w:rPr>
          <w:sz w:val="20"/>
        </w:rPr>
        <w:t>.</w:t>
      </w:r>
    </w:p>
    <w:p w:rsidR="006E508D" w:rsidRDefault="008870AF" w:rsidP="007F5F9C">
      <w:pPr>
        <w:spacing w:before="240" w:line="360" w:lineRule="auto"/>
        <w:jc w:val="both"/>
        <w:rPr>
          <w:szCs w:val="24"/>
        </w:rPr>
      </w:pPr>
      <w:r>
        <w:rPr>
          <w:szCs w:val="24"/>
        </w:rPr>
        <w:tab/>
      </w:r>
      <w:r w:rsidR="00BB3816">
        <w:rPr>
          <w:szCs w:val="24"/>
        </w:rPr>
        <w:t>En la</w:t>
      </w:r>
      <w:r w:rsidR="00E03E33">
        <w:rPr>
          <w:szCs w:val="24"/>
        </w:rPr>
        <w:t xml:space="preserve"> </w:t>
      </w:r>
      <w:r w:rsidR="00BB3816">
        <w:rPr>
          <w:szCs w:val="24"/>
        </w:rPr>
        <w:t>f</w:t>
      </w:r>
      <w:r w:rsidR="00C35E65">
        <w:rPr>
          <w:szCs w:val="24"/>
        </w:rPr>
        <w:t>ig</w:t>
      </w:r>
      <w:r w:rsidR="001E6C05">
        <w:rPr>
          <w:szCs w:val="24"/>
        </w:rPr>
        <w:t>ura</w:t>
      </w:r>
      <w:r w:rsidR="00C35E65">
        <w:rPr>
          <w:szCs w:val="24"/>
        </w:rPr>
        <w:t xml:space="preserve"> Nº</w:t>
      </w:r>
      <w:r w:rsidR="00BB3816">
        <w:rPr>
          <w:szCs w:val="24"/>
        </w:rPr>
        <w:t xml:space="preserve"> 43</w:t>
      </w:r>
      <w:r w:rsidR="001E6C05">
        <w:rPr>
          <w:szCs w:val="24"/>
        </w:rPr>
        <w:t>,</w:t>
      </w:r>
      <w:r w:rsidR="00C35E65">
        <w:rPr>
          <w:szCs w:val="24"/>
        </w:rPr>
        <w:t xml:space="preserve"> se pre</w:t>
      </w:r>
      <w:r w:rsidR="00E03E33">
        <w:rPr>
          <w:szCs w:val="24"/>
        </w:rPr>
        <w:t xml:space="preserve">senta </w:t>
      </w:r>
      <w:r w:rsidR="000024AF">
        <w:rPr>
          <w:szCs w:val="24"/>
        </w:rPr>
        <w:t>el factor de desestabilización</w:t>
      </w:r>
      <w:r w:rsidR="00C35E65">
        <w:rPr>
          <w:szCs w:val="24"/>
        </w:rPr>
        <w:t xml:space="preserve"> (FD)</w:t>
      </w:r>
      <w:r w:rsidR="00E03E33">
        <w:rPr>
          <w:szCs w:val="24"/>
        </w:rPr>
        <w:t xml:space="preserve"> de las emulsiones para cada medio coalescedor. </w:t>
      </w:r>
      <w:r w:rsidR="001E6C05">
        <w:rPr>
          <w:szCs w:val="24"/>
        </w:rPr>
        <w:t>A 5 X</w:t>
      </w:r>
      <w:r w:rsidR="00E03E33">
        <w:rPr>
          <w:szCs w:val="24"/>
        </w:rPr>
        <w:t xml:space="preserve"> se observa que la cantidad de agua </w:t>
      </w:r>
      <w:r w:rsidR="007C6B92">
        <w:rPr>
          <w:szCs w:val="24"/>
        </w:rPr>
        <w:t>presente</w:t>
      </w:r>
      <w:r w:rsidR="00CA19F6">
        <w:rPr>
          <w:szCs w:val="24"/>
        </w:rPr>
        <w:t xml:space="preserve"> en las</w:t>
      </w:r>
      <w:r w:rsidR="00E03E33">
        <w:rPr>
          <w:szCs w:val="24"/>
        </w:rPr>
        <w:t xml:space="preserve"> muestra</w:t>
      </w:r>
      <w:r w:rsidR="00CA19F6">
        <w:rPr>
          <w:szCs w:val="24"/>
        </w:rPr>
        <w:t>s</w:t>
      </w:r>
      <w:r w:rsidR="007C6B92">
        <w:rPr>
          <w:szCs w:val="24"/>
        </w:rPr>
        <w:t>,</w:t>
      </w:r>
      <w:r w:rsidR="00E03E33">
        <w:rPr>
          <w:szCs w:val="24"/>
        </w:rPr>
        <w:t xml:space="preserve"> en gotas con diámetros superiores a los 50</w:t>
      </w:r>
      <w:r w:rsidR="00E03E33" w:rsidRPr="00DF6607">
        <w:rPr>
          <w:szCs w:val="24"/>
        </w:rPr>
        <w:t>µm</w:t>
      </w:r>
      <w:r w:rsidR="007C6B92">
        <w:rPr>
          <w:szCs w:val="24"/>
        </w:rPr>
        <w:t>,</w:t>
      </w:r>
      <w:r w:rsidR="00E03E33">
        <w:rPr>
          <w:szCs w:val="24"/>
        </w:rPr>
        <w:t xml:space="preserve"> es mucho mayor para los anillos de </w:t>
      </w:r>
      <w:r w:rsidR="000024AF">
        <w:rPr>
          <w:szCs w:val="24"/>
        </w:rPr>
        <w:t xml:space="preserve">vidrio que para </w:t>
      </w:r>
      <w:r w:rsidR="007C6B92">
        <w:rPr>
          <w:szCs w:val="24"/>
        </w:rPr>
        <w:t>las esferas de</w:t>
      </w:r>
      <w:r w:rsidR="000024AF">
        <w:rPr>
          <w:szCs w:val="24"/>
        </w:rPr>
        <w:t xml:space="preserve"> polietileno.</w:t>
      </w:r>
      <w:r w:rsidR="001E6C05">
        <w:rPr>
          <w:szCs w:val="24"/>
        </w:rPr>
        <w:t xml:space="preserve"> Para anillos de vidrio, la cantidad máxima alcanzada de agua en las muestras es 6 veces mayor mientras que para esferas de polietileno es 3 veces mayor. </w:t>
      </w:r>
      <w:r w:rsidR="000024AF">
        <w:rPr>
          <w:szCs w:val="24"/>
        </w:rPr>
        <w:t xml:space="preserve"> Contrariamente, </w:t>
      </w:r>
      <w:r w:rsidR="005309EA">
        <w:rPr>
          <w:szCs w:val="24"/>
        </w:rPr>
        <w:t xml:space="preserve">para </w:t>
      </w:r>
      <w:r w:rsidR="001E6C05">
        <w:rPr>
          <w:szCs w:val="24"/>
        </w:rPr>
        <w:t>un aumento de</w:t>
      </w:r>
      <w:r w:rsidR="005309EA">
        <w:rPr>
          <w:szCs w:val="24"/>
        </w:rPr>
        <w:t xml:space="preserve"> </w:t>
      </w:r>
      <w:r w:rsidR="001E6C05">
        <w:rPr>
          <w:szCs w:val="24"/>
        </w:rPr>
        <w:t xml:space="preserve">20 X, en </w:t>
      </w:r>
      <w:r w:rsidR="00CA19F6">
        <w:rPr>
          <w:szCs w:val="24"/>
        </w:rPr>
        <w:t xml:space="preserve">las muestras obtenidas empleando </w:t>
      </w:r>
      <w:r w:rsidR="007C6B92">
        <w:rPr>
          <w:szCs w:val="24"/>
        </w:rPr>
        <w:t xml:space="preserve">esferas de </w:t>
      </w:r>
      <w:r w:rsidR="00CA19F6">
        <w:rPr>
          <w:szCs w:val="24"/>
        </w:rPr>
        <w:t>polietileno como medio coalesce</w:t>
      </w:r>
      <w:r w:rsidR="00EA6B72">
        <w:rPr>
          <w:szCs w:val="24"/>
        </w:rPr>
        <w:t>dor</w:t>
      </w:r>
      <w:r w:rsidR="00CA19F6">
        <w:rPr>
          <w:szCs w:val="24"/>
        </w:rPr>
        <w:t xml:space="preserve"> </w:t>
      </w:r>
      <w:r w:rsidR="001E6C05">
        <w:rPr>
          <w:szCs w:val="24"/>
        </w:rPr>
        <w:t xml:space="preserve">se observó una mayor cantidad de agua en comparación a anillos de vidrio. </w:t>
      </w:r>
      <w:r w:rsidR="00CA19F6">
        <w:rPr>
          <w:szCs w:val="24"/>
        </w:rPr>
        <w:t xml:space="preserve"> </w:t>
      </w:r>
      <w:r w:rsidR="001E6C05">
        <w:rPr>
          <w:szCs w:val="24"/>
        </w:rPr>
        <w:t>El comportamiento del factor de desestabilización es similar al comportamiento observado en las distribuciones trazadas anteriormente. La máxima desestabilización con esferas de polietileno se produce al comienzo de la experiencia mientras que para anillos de vidrio la mayor desestabilización ocurre luego de que se ha recolectado unos 25,0 ml de muestra aproximadamente. Posteriormente la cantidad de agua disminuye considerablemente hasta alcanzar prácticamente la misma cantidad que en la muestra original.</w:t>
      </w:r>
    </w:p>
    <w:p w:rsidR="00F114FC" w:rsidRDefault="00A97663" w:rsidP="000C1AF4">
      <w:pPr>
        <w:spacing w:line="360" w:lineRule="auto"/>
        <w:jc w:val="both"/>
        <w:rPr>
          <w:szCs w:val="24"/>
        </w:rPr>
      </w:pPr>
      <w:r>
        <w:rPr>
          <w:szCs w:val="24"/>
        </w:rPr>
        <w:lastRenderedPageBreak/>
        <w:tab/>
      </w:r>
      <w:r w:rsidR="000C1AF4">
        <w:rPr>
          <w:szCs w:val="24"/>
        </w:rPr>
        <w:t>Todo esto indica que se está presentando en la celda de tratamiento u</w:t>
      </w:r>
      <w:r w:rsidR="0039483B">
        <w:rPr>
          <w:szCs w:val="24"/>
        </w:rPr>
        <w:t>na perturbación</w:t>
      </w:r>
      <w:r w:rsidR="000C1AF4">
        <w:rPr>
          <w:szCs w:val="24"/>
        </w:rPr>
        <w:t xml:space="preserve"> en el medio coalescedor tal que el efecto desestabilizante del medio disminuye significativamente.</w:t>
      </w:r>
      <w:r w:rsidR="0039483B">
        <w:rPr>
          <w:szCs w:val="24"/>
        </w:rPr>
        <w:t xml:space="preserve"> Esta perturbación </w:t>
      </w:r>
      <w:r w:rsidR="000C1AF4">
        <w:rPr>
          <w:szCs w:val="24"/>
        </w:rPr>
        <w:t>está</w:t>
      </w:r>
      <w:r w:rsidR="0039483B">
        <w:rPr>
          <w:szCs w:val="24"/>
        </w:rPr>
        <w:t xml:space="preserve"> relacionada a un fenómeno de </w:t>
      </w:r>
      <w:r w:rsidR="000C1AF4">
        <w:rPr>
          <w:szCs w:val="24"/>
        </w:rPr>
        <w:t>saturación</w:t>
      </w:r>
      <w:r w:rsidR="0039483B">
        <w:rPr>
          <w:szCs w:val="24"/>
        </w:rPr>
        <w:t xml:space="preserve"> del medio</w:t>
      </w:r>
      <w:r w:rsidR="00844D59">
        <w:rPr>
          <w:szCs w:val="24"/>
        </w:rPr>
        <w:t xml:space="preserve"> coalescedor</w:t>
      </w:r>
      <w:r w:rsidR="0039483B">
        <w:rPr>
          <w:szCs w:val="24"/>
        </w:rPr>
        <w:t xml:space="preserve">. </w:t>
      </w:r>
      <w:r w:rsidR="00844D59">
        <w:rPr>
          <w:szCs w:val="24"/>
        </w:rPr>
        <w:t>Tal y como se explicó anteriormente, las moléculas de asfaltenos y resinas que estabilizan la gota, migran a la superficie del material para satisfacer una condición de mínima energía lo que resulta en una disminución de la tensión interfacial entre la gota y la fase continua</w:t>
      </w:r>
      <w:r w:rsidR="000C1AF4">
        <w:rPr>
          <w:szCs w:val="24"/>
        </w:rPr>
        <w:t>, promoviéndose así la coalescencia de las gotas lo cual se evidencia en un aumento de la cantidad de agua en las muestras.</w:t>
      </w:r>
      <w:r w:rsidR="00844D59">
        <w:rPr>
          <w:szCs w:val="24"/>
        </w:rPr>
        <w:t xml:space="preserve"> </w:t>
      </w:r>
      <w:r w:rsidR="005B508A">
        <w:rPr>
          <w:szCs w:val="24"/>
        </w:rPr>
        <w:t>Sin embargo</w:t>
      </w:r>
      <w:r w:rsidR="007C6B92">
        <w:rPr>
          <w:szCs w:val="24"/>
        </w:rPr>
        <w:t>,</w:t>
      </w:r>
      <w:r w:rsidR="005B508A">
        <w:rPr>
          <w:szCs w:val="24"/>
        </w:rPr>
        <w:t xml:space="preserve"> e</w:t>
      </w:r>
      <w:r w:rsidR="00844D59">
        <w:rPr>
          <w:szCs w:val="24"/>
        </w:rPr>
        <w:t>sta migración pu</w:t>
      </w:r>
      <w:r w:rsidR="00FA14EB">
        <w:rPr>
          <w:szCs w:val="24"/>
        </w:rPr>
        <w:t>e</w:t>
      </w:r>
      <w:r w:rsidR="00844D59">
        <w:rPr>
          <w:szCs w:val="24"/>
        </w:rPr>
        <w:t>d</w:t>
      </w:r>
      <w:r w:rsidR="00FA14EB">
        <w:rPr>
          <w:szCs w:val="24"/>
        </w:rPr>
        <w:t>e</w:t>
      </w:r>
      <w:r w:rsidR="00844D59">
        <w:rPr>
          <w:szCs w:val="24"/>
        </w:rPr>
        <w:t xml:space="preserve"> verse afectada una vez</w:t>
      </w:r>
      <w:r w:rsidR="000C1AF4">
        <w:rPr>
          <w:szCs w:val="24"/>
        </w:rPr>
        <w:t xml:space="preserve"> que</w:t>
      </w:r>
      <w:r w:rsidR="00844D59">
        <w:rPr>
          <w:szCs w:val="24"/>
        </w:rPr>
        <w:t xml:space="preserve"> el material se </w:t>
      </w:r>
      <w:r w:rsidR="00FA14EB">
        <w:rPr>
          <w:szCs w:val="24"/>
        </w:rPr>
        <w:t xml:space="preserve">ha </w:t>
      </w:r>
      <w:r w:rsidR="00844D59">
        <w:rPr>
          <w:szCs w:val="24"/>
        </w:rPr>
        <w:t>satur</w:t>
      </w:r>
      <w:r w:rsidR="00FA14EB">
        <w:rPr>
          <w:szCs w:val="24"/>
        </w:rPr>
        <w:t>ado</w:t>
      </w:r>
      <w:r w:rsidR="00844D59">
        <w:rPr>
          <w:szCs w:val="24"/>
        </w:rPr>
        <w:t xml:space="preserve"> completamente</w:t>
      </w:r>
      <w:r w:rsidR="005B508A">
        <w:rPr>
          <w:szCs w:val="24"/>
        </w:rPr>
        <w:t xml:space="preserve">, lo cual </w:t>
      </w:r>
      <w:r w:rsidR="000C1AF4">
        <w:rPr>
          <w:szCs w:val="24"/>
        </w:rPr>
        <w:t>afecta</w:t>
      </w:r>
      <w:r w:rsidR="005B508A">
        <w:rPr>
          <w:szCs w:val="24"/>
        </w:rPr>
        <w:t xml:space="preserve"> </w:t>
      </w:r>
      <w:r w:rsidR="00470545">
        <w:rPr>
          <w:szCs w:val="24"/>
        </w:rPr>
        <w:t xml:space="preserve">la acción desestabilizante del medio coalescedor. </w:t>
      </w:r>
    </w:p>
    <w:p w:rsidR="0032507F" w:rsidRDefault="00A97663" w:rsidP="003E77D5">
      <w:pPr>
        <w:spacing w:line="360" w:lineRule="auto"/>
        <w:jc w:val="both"/>
        <w:rPr>
          <w:szCs w:val="24"/>
        </w:rPr>
      </w:pPr>
      <w:r>
        <w:rPr>
          <w:szCs w:val="24"/>
        </w:rPr>
        <w:tab/>
      </w:r>
      <w:r w:rsidR="000C1AF4">
        <w:rPr>
          <w:szCs w:val="24"/>
        </w:rPr>
        <w:t xml:space="preserve">La acción desestabilizante del medio coalescedor está asociada a un fenómeno de adsorción y escurrimiento de agua a través de la superficie del material. </w:t>
      </w:r>
      <w:r w:rsidR="004358BA">
        <w:rPr>
          <w:szCs w:val="24"/>
        </w:rPr>
        <w:t xml:space="preserve">El </w:t>
      </w:r>
      <w:r w:rsidR="000C1AF4">
        <w:rPr>
          <w:szCs w:val="24"/>
        </w:rPr>
        <w:t>escurrimiento de las gotas</w:t>
      </w:r>
      <w:r w:rsidR="004358BA">
        <w:rPr>
          <w:szCs w:val="24"/>
        </w:rPr>
        <w:t xml:space="preserve"> a lo largo de la superficie del material colector, </w:t>
      </w:r>
      <w:r w:rsidR="000C1AF4">
        <w:rPr>
          <w:szCs w:val="24"/>
        </w:rPr>
        <w:t>favorece</w:t>
      </w:r>
      <w:r w:rsidR="004358BA">
        <w:rPr>
          <w:szCs w:val="24"/>
        </w:rPr>
        <w:t xml:space="preserve"> la colisión </w:t>
      </w:r>
      <w:r w:rsidR="000C1AF4">
        <w:rPr>
          <w:szCs w:val="24"/>
        </w:rPr>
        <w:t xml:space="preserve">entre ellas y la posterior coalescencia. </w:t>
      </w:r>
      <w:r w:rsidR="00A36165">
        <w:rPr>
          <w:szCs w:val="24"/>
        </w:rPr>
        <w:t>Para el caso de</w:t>
      </w:r>
      <w:r w:rsidR="00785C7D">
        <w:rPr>
          <w:szCs w:val="24"/>
        </w:rPr>
        <w:t xml:space="preserve"> </w:t>
      </w:r>
      <w:r w:rsidR="00A36165">
        <w:rPr>
          <w:szCs w:val="24"/>
        </w:rPr>
        <w:t>l</w:t>
      </w:r>
      <w:r w:rsidR="00785C7D">
        <w:rPr>
          <w:szCs w:val="24"/>
        </w:rPr>
        <w:t>as esferas de</w:t>
      </w:r>
      <w:r w:rsidR="00A36165">
        <w:rPr>
          <w:szCs w:val="24"/>
        </w:rPr>
        <w:t xml:space="preserve"> polietileno, el hecho de que la mayor desestabilización se ob</w:t>
      </w:r>
      <w:r w:rsidR="0032507F">
        <w:rPr>
          <w:szCs w:val="24"/>
        </w:rPr>
        <w:t>serve</w:t>
      </w:r>
      <w:r w:rsidR="00A36165">
        <w:rPr>
          <w:szCs w:val="24"/>
        </w:rPr>
        <w:t xml:space="preserve"> </w:t>
      </w:r>
      <w:r w:rsidR="000C1AF4">
        <w:rPr>
          <w:szCs w:val="24"/>
        </w:rPr>
        <w:t>al inicio de la experiencia y para anillos de vidrio, luego de transcurrido cierto tiempo, puede estar relacionado precisamente a este fenómeno de escurrimiento</w:t>
      </w:r>
      <w:r w:rsidR="0032507F">
        <w:rPr>
          <w:szCs w:val="24"/>
        </w:rPr>
        <w:t>.</w:t>
      </w:r>
    </w:p>
    <w:p w:rsidR="0032507F" w:rsidRDefault="0032507F" w:rsidP="003E77D5">
      <w:pPr>
        <w:spacing w:line="360" w:lineRule="auto"/>
        <w:jc w:val="both"/>
        <w:rPr>
          <w:szCs w:val="24"/>
        </w:rPr>
      </w:pPr>
      <w:r>
        <w:rPr>
          <w:szCs w:val="24"/>
        </w:rPr>
        <w:tab/>
      </w:r>
      <w:r w:rsidR="00A36165">
        <w:rPr>
          <w:szCs w:val="24"/>
        </w:rPr>
        <w:t xml:space="preserve">La presencia de un medio hidrofóbico sugiere la adsorción de moléculas de surfactante de mojabilidad afín al medio en cuestión. Pero una vez se ha alcanzado el punto saturación, la mojabilidad del medio puede verse alterada. Para esto debe tenerse en cuenta que una molécula de surfactante posee por lo general una o más cabezas polares y una o más colas lipofílicas dependiendo de la estructura </w:t>
      </w:r>
      <w:r w:rsidR="00D918CD">
        <w:rPr>
          <w:szCs w:val="24"/>
        </w:rPr>
        <w:t>molecular del surfactante.</w:t>
      </w:r>
      <w:r w:rsidR="003E537B">
        <w:rPr>
          <w:szCs w:val="24"/>
        </w:rPr>
        <w:t xml:space="preserve"> </w:t>
      </w:r>
      <w:r w:rsidR="00D918CD">
        <w:rPr>
          <w:szCs w:val="24"/>
        </w:rPr>
        <w:t xml:space="preserve"> El surfactante se adsorberá entonces sobre el medio hidrofóbico </w:t>
      </w:r>
      <w:r w:rsidR="005A2A63">
        <w:rPr>
          <w:szCs w:val="24"/>
        </w:rPr>
        <w:t>orientando la cola lipofílica hacia la superficie del material</w:t>
      </w:r>
      <w:r w:rsidR="003E537B">
        <w:rPr>
          <w:szCs w:val="24"/>
        </w:rPr>
        <w:t xml:space="preserve">. </w:t>
      </w:r>
      <w:r w:rsidR="00D918CD">
        <w:rPr>
          <w:szCs w:val="24"/>
        </w:rPr>
        <w:t>Una vez alcanzado el punto de s</w:t>
      </w:r>
      <w:r w:rsidR="005A2A63">
        <w:rPr>
          <w:szCs w:val="24"/>
        </w:rPr>
        <w:t xml:space="preserve">aturación, </w:t>
      </w:r>
      <w:r w:rsidR="00D468F9">
        <w:rPr>
          <w:szCs w:val="24"/>
        </w:rPr>
        <w:t xml:space="preserve">la superficie exterior de la </w:t>
      </w:r>
      <w:r>
        <w:rPr>
          <w:szCs w:val="24"/>
        </w:rPr>
        <w:t>capa</w:t>
      </w:r>
      <w:r w:rsidR="00D468F9">
        <w:rPr>
          <w:szCs w:val="24"/>
        </w:rPr>
        <w:t xml:space="preserve"> de surfactante </w:t>
      </w:r>
      <w:r>
        <w:rPr>
          <w:szCs w:val="24"/>
        </w:rPr>
        <w:t xml:space="preserve">adsorbida </w:t>
      </w:r>
      <w:r w:rsidR="00D468F9">
        <w:rPr>
          <w:szCs w:val="24"/>
        </w:rPr>
        <w:t xml:space="preserve">estará </w:t>
      </w:r>
      <w:r>
        <w:rPr>
          <w:szCs w:val="24"/>
        </w:rPr>
        <w:t>conformada por las cabezas polares de las moléculas de surfactante adsorbidas sobre la superficie del material.</w:t>
      </w:r>
      <w:r w:rsidR="00D468F9">
        <w:rPr>
          <w:szCs w:val="24"/>
        </w:rPr>
        <w:t xml:space="preserve"> Esta capa de surfactante </w:t>
      </w:r>
      <w:r>
        <w:rPr>
          <w:szCs w:val="24"/>
        </w:rPr>
        <w:t xml:space="preserve">altera </w:t>
      </w:r>
      <w:r w:rsidR="00D468F9">
        <w:rPr>
          <w:szCs w:val="24"/>
        </w:rPr>
        <w:t>la mojabilidad del material</w:t>
      </w:r>
      <w:r w:rsidR="004358BA">
        <w:rPr>
          <w:szCs w:val="24"/>
        </w:rPr>
        <w:t xml:space="preserve"> confiriéndole ahora una mojabilidad</w:t>
      </w:r>
      <w:r w:rsidR="00D468F9">
        <w:rPr>
          <w:szCs w:val="24"/>
        </w:rPr>
        <w:t xml:space="preserve"> hidrofílic</w:t>
      </w:r>
      <w:r w:rsidR="004358BA">
        <w:rPr>
          <w:szCs w:val="24"/>
        </w:rPr>
        <w:t>a</w:t>
      </w:r>
      <w:r w:rsidR="00D468F9">
        <w:rPr>
          <w:szCs w:val="24"/>
        </w:rPr>
        <w:t>. Este cambio de mojabi</w:t>
      </w:r>
      <w:r w:rsidR="007F226C">
        <w:rPr>
          <w:szCs w:val="24"/>
        </w:rPr>
        <w:t>lidad pudiese afectar el escurrimiento de las gotas de agua a través del medio.</w:t>
      </w:r>
      <w:r w:rsidR="004358BA">
        <w:rPr>
          <w:szCs w:val="24"/>
        </w:rPr>
        <w:t xml:space="preserve"> </w:t>
      </w:r>
      <w:r w:rsidR="00555CE1">
        <w:rPr>
          <w:szCs w:val="24"/>
        </w:rPr>
        <w:t xml:space="preserve">En la figura a </w:t>
      </w:r>
      <w:r w:rsidR="00555CE1">
        <w:rPr>
          <w:szCs w:val="24"/>
        </w:rPr>
        <w:lastRenderedPageBreak/>
        <w:t>continuación se esquematiza gráficamente el proceso de adsorción de los surfactantes para esferas de polietileno y anillos de vidrio:</w:t>
      </w:r>
    </w:p>
    <w:p w:rsidR="00555CE1" w:rsidRDefault="00A73CD2" w:rsidP="003E77D5">
      <w:pPr>
        <w:spacing w:line="360" w:lineRule="auto"/>
        <w:jc w:val="both"/>
        <w:rPr>
          <w:szCs w:val="24"/>
        </w:rPr>
      </w:pPr>
      <w:r>
        <w:rPr>
          <w:noProof/>
          <w:szCs w:val="24"/>
          <w:lang w:val="en-US" w:eastAsia="en-US"/>
        </w:rPr>
        <w:pict>
          <v:shape id="_x0000_s1679" type="#_x0000_t32" style="position:absolute;left:0;text-align:left;margin-left:211.35pt;margin-top:113.4pt;width:9.75pt;height:18.7pt;z-index:251898368" o:connectortype="straight">
            <v:stroke endarrow="block"/>
          </v:shape>
        </w:pict>
      </w:r>
      <w:r>
        <w:rPr>
          <w:noProof/>
          <w:szCs w:val="24"/>
          <w:lang w:val="en-US" w:eastAsia="en-US"/>
        </w:rPr>
        <w:pict>
          <v:shape id="_x0000_s1676" type="#_x0000_t32" style="position:absolute;left:0;text-align:left;margin-left:149.6pt;margin-top:19pt;width:21.25pt;height:24.45pt;flip:y;z-index:251895296" o:connectortype="straight">
            <v:stroke endarrow="block"/>
          </v:shape>
        </w:pict>
      </w:r>
      <w:r>
        <w:rPr>
          <w:noProof/>
          <w:szCs w:val="24"/>
          <w:lang w:val="en-US" w:eastAsia="en-US"/>
        </w:rPr>
        <w:pict>
          <v:shape id="_x0000_s1674" type="#_x0000_t32" style="position:absolute;left:0;text-align:left;margin-left:-.3pt;margin-top:89.65pt;width:23.1pt;height:23.75pt;flip:x;z-index:251893248" o:connectortype="straight">
            <v:stroke endarrow="block"/>
          </v:shape>
        </w:pict>
      </w:r>
      <w:r>
        <w:rPr>
          <w:noProof/>
          <w:szCs w:val="24"/>
          <w:lang w:val="en-US" w:eastAsia="en-US"/>
        </w:rPr>
        <w:pict>
          <v:shape id="_x0000_s1672" type="#_x0000_t202" style="position:absolute;left:0;text-align:left;margin-left:195.25pt;margin-top:127.35pt;width:132.35pt;height:18.7pt;z-index:251891200;mso-height-percent:200;mso-height-percent:200;mso-width-relative:margin;mso-height-relative:margin" filled="f" stroked="f">
            <v:textbox style="mso-fit-shape-to-text:t">
              <w:txbxContent>
                <w:p w:rsidR="004134A0" w:rsidRPr="000F5E83" w:rsidRDefault="004134A0" w:rsidP="000F5E83">
                  <w:pPr>
                    <w:jc w:val="center"/>
                    <w:rPr>
                      <w:sz w:val="20"/>
                      <w:lang w:val="en-US"/>
                    </w:rPr>
                  </w:pPr>
                  <w:r>
                    <w:rPr>
                      <w:sz w:val="20"/>
                    </w:rPr>
                    <w:t>Molécula de surfactante</w:t>
                  </w:r>
                </w:p>
              </w:txbxContent>
            </v:textbox>
          </v:shape>
        </w:pict>
      </w:r>
      <w:r>
        <w:rPr>
          <w:noProof/>
          <w:szCs w:val="24"/>
          <w:lang w:val="en-US" w:eastAsia="en-US"/>
        </w:rPr>
        <w:pict>
          <v:shape id="_x0000_s1670" type="#_x0000_t202" style="position:absolute;left:0;text-align:left;margin-left:155.4pt;margin-top:6.1pt;width:132.35pt;height:18.7pt;z-index:251889152;mso-height-percent:200;mso-height-percent:200;mso-width-relative:margin;mso-height-relative:margin" filled="f" stroked="f">
            <v:textbox style="mso-fit-shape-to-text:t">
              <w:txbxContent>
                <w:p w:rsidR="004134A0" w:rsidRPr="000F5E83" w:rsidRDefault="004134A0" w:rsidP="000F5E83">
                  <w:pPr>
                    <w:jc w:val="center"/>
                    <w:rPr>
                      <w:sz w:val="20"/>
                      <w:lang w:val="en-US"/>
                    </w:rPr>
                  </w:pPr>
                  <w:r>
                    <w:rPr>
                      <w:sz w:val="20"/>
                    </w:rPr>
                    <w:t>Escurrimiento de agua</w:t>
                  </w:r>
                </w:p>
              </w:txbxContent>
            </v:textbox>
          </v:shape>
        </w:pict>
      </w:r>
      <w:r>
        <w:rPr>
          <w:noProof/>
          <w:szCs w:val="24"/>
          <w:lang w:val="en-US" w:eastAsia="en-US"/>
        </w:rPr>
        <w:pict>
          <v:shape id="_x0000_s1668" type="#_x0000_t202" style="position:absolute;left:0;text-align:left;margin-left:-75.55pt;margin-top:101.9pt;width:132.35pt;height:30.2pt;z-index:251887104;mso-height-percent:200;mso-height-percent:200;mso-width-relative:margin;mso-height-relative:margin" filled="f" stroked="f">
            <v:textbox style="mso-fit-shape-to-text:t">
              <w:txbxContent>
                <w:p w:rsidR="004134A0" w:rsidRDefault="004134A0" w:rsidP="000F5E83">
                  <w:pPr>
                    <w:jc w:val="center"/>
                    <w:rPr>
                      <w:sz w:val="20"/>
                    </w:rPr>
                  </w:pPr>
                </w:p>
                <w:p w:rsidR="004134A0" w:rsidRPr="000F5E83" w:rsidRDefault="004134A0" w:rsidP="000F5E83">
                  <w:pPr>
                    <w:jc w:val="center"/>
                    <w:rPr>
                      <w:sz w:val="20"/>
                      <w:lang w:val="en-US"/>
                    </w:rPr>
                  </w:pPr>
                  <w:r>
                    <w:rPr>
                      <w:sz w:val="20"/>
                    </w:rPr>
                    <w:t>Esferas de polietileno</w:t>
                  </w:r>
                </w:p>
              </w:txbxContent>
            </v:textbox>
          </v:shape>
        </w:pict>
      </w:r>
      <w:r>
        <w:rPr>
          <w:noProof/>
          <w:szCs w:val="24"/>
          <w:lang w:val="en-US" w:eastAsia="en-US"/>
        </w:rPr>
        <w:pict>
          <v:shape id="_x0000_s1667" type="#_x0000_t202" style="position:absolute;left:0;text-align:left;margin-left:-15.55pt;margin-top:19pt;width:132.35pt;height:18.7pt;z-index:251886080;mso-height-percent:200;mso-height-percent:200;mso-width-relative:margin;mso-height-relative:margin" filled="f" stroked="f">
            <v:textbox style="mso-fit-shape-to-text:t">
              <w:txbxContent>
                <w:p w:rsidR="004134A0" w:rsidRPr="000F5E83" w:rsidRDefault="004134A0" w:rsidP="000F5E83">
                  <w:pPr>
                    <w:jc w:val="center"/>
                    <w:rPr>
                      <w:sz w:val="20"/>
                      <w:lang w:val="en-US"/>
                    </w:rPr>
                  </w:pPr>
                  <w:r w:rsidRPr="000F5E83">
                    <w:rPr>
                      <w:sz w:val="20"/>
                    </w:rPr>
                    <w:t>Fase continua (crudo)</w:t>
                  </w:r>
                </w:p>
              </w:txbxContent>
            </v:textbox>
          </v:shape>
        </w:pict>
      </w:r>
      <w:r w:rsidR="00555CE1">
        <w:rPr>
          <w:noProof/>
          <w:szCs w:val="24"/>
          <w:lang w:val="en-US" w:eastAsia="en-US"/>
        </w:rPr>
        <w:drawing>
          <wp:inline distT="0" distB="0" distL="0" distR="0">
            <wp:extent cx="5296535" cy="1811655"/>
            <wp:effectExtent l="19050" t="0" r="0" b="0"/>
            <wp:docPr id="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a:stretch>
                      <a:fillRect/>
                    </a:stretch>
                  </pic:blipFill>
                  <pic:spPr bwMode="auto">
                    <a:xfrm>
                      <a:off x="0" y="0"/>
                      <a:ext cx="5296535" cy="1811655"/>
                    </a:xfrm>
                    <a:prstGeom prst="rect">
                      <a:avLst/>
                    </a:prstGeom>
                    <a:noFill/>
                    <a:ln w="9525">
                      <a:noFill/>
                      <a:miter lim="800000"/>
                      <a:headEnd/>
                      <a:tailEnd/>
                    </a:ln>
                  </pic:spPr>
                </pic:pic>
              </a:graphicData>
            </a:graphic>
          </wp:inline>
        </w:drawing>
      </w:r>
    </w:p>
    <w:p w:rsidR="00555CE1" w:rsidRDefault="00555CE1" w:rsidP="00555CE1">
      <w:pPr>
        <w:spacing w:line="360" w:lineRule="auto"/>
        <w:jc w:val="center"/>
        <w:rPr>
          <w:szCs w:val="24"/>
        </w:rPr>
      </w:pPr>
      <w:r>
        <w:rPr>
          <w:szCs w:val="24"/>
        </w:rPr>
        <w:t>(a)</w:t>
      </w:r>
    </w:p>
    <w:p w:rsidR="00555CE1" w:rsidRDefault="00A73CD2" w:rsidP="003E77D5">
      <w:pPr>
        <w:spacing w:line="360" w:lineRule="auto"/>
        <w:jc w:val="both"/>
        <w:rPr>
          <w:szCs w:val="24"/>
        </w:rPr>
      </w:pPr>
      <w:r>
        <w:rPr>
          <w:noProof/>
          <w:szCs w:val="24"/>
          <w:lang w:val="en-US" w:eastAsia="en-US"/>
        </w:rPr>
        <w:pict>
          <v:shape id="_x0000_s1673" type="#_x0000_t202" style="position:absolute;left:0;text-align:left;margin-left:211.35pt;margin-top:140.85pt;width:132.35pt;height:18.7pt;z-index:251892224;mso-height-percent:200;mso-height-percent:200;mso-width-relative:margin;mso-height-relative:margin" filled="f" stroked="f">
            <v:textbox style="mso-fit-shape-to-text:t">
              <w:txbxContent>
                <w:p w:rsidR="004134A0" w:rsidRPr="000F5E83" w:rsidRDefault="004134A0" w:rsidP="000F5E83">
                  <w:pPr>
                    <w:jc w:val="center"/>
                    <w:rPr>
                      <w:sz w:val="20"/>
                      <w:lang w:val="en-US"/>
                    </w:rPr>
                  </w:pPr>
                  <w:r>
                    <w:rPr>
                      <w:sz w:val="20"/>
                    </w:rPr>
                    <w:t>Molécula de surfactante</w:t>
                  </w:r>
                </w:p>
              </w:txbxContent>
            </v:textbox>
          </v:shape>
        </w:pict>
      </w:r>
      <w:r>
        <w:rPr>
          <w:noProof/>
          <w:szCs w:val="24"/>
          <w:lang w:val="en-US" w:eastAsia="en-US"/>
        </w:rPr>
        <w:pict>
          <v:shape id="_x0000_s1678" type="#_x0000_t32" style="position:absolute;left:0;text-align:left;margin-left:225.85pt;margin-top:116.2pt;width:21.1pt;height:24.65pt;z-index:251897344" o:connectortype="straight">
            <v:stroke endarrow="block"/>
          </v:shape>
        </w:pict>
      </w:r>
      <w:r>
        <w:rPr>
          <w:noProof/>
          <w:szCs w:val="24"/>
          <w:lang w:val="en-US" w:eastAsia="en-US"/>
        </w:rPr>
        <w:pict>
          <v:shape id="_x0000_s1677" type="#_x0000_t32" style="position:absolute;left:0;text-align:left;margin-left:155.4pt;margin-top:23.3pt;width:15.45pt;height:27.2pt;flip:y;z-index:251896320" o:connectortype="straight">
            <v:stroke endarrow="block"/>
          </v:shape>
        </w:pict>
      </w:r>
      <w:r>
        <w:rPr>
          <w:noProof/>
          <w:szCs w:val="24"/>
          <w:lang w:val="en-US" w:eastAsia="en-US"/>
        </w:rPr>
        <w:pict>
          <v:shape id="_x0000_s1675" type="#_x0000_t32" style="position:absolute;left:0;text-align:left;margin-left:12.6pt;margin-top:92.45pt;width:23.1pt;height:23.75pt;flip:x;z-index:251894272" o:connectortype="straight">
            <v:stroke endarrow="block"/>
          </v:shape>
        </w:pict>
      </w:r>
      <w:r>
        <w:rPr>
          <w:noProof/>
          <w:szCs w:val="24"/>
          <w:lang w:val="en-US" w:eastAsia="en-US"/>
        </w:rPr>
        <w:pict>
          <v:shape id="_x0000_s1671" type="#_x0000_t202" style="position:absolute;left:0;text-align:left;margin-left:155.4pt;margin-top:8.15pt;width:132.35pt;height:18.7pt;z-index:251890176;mso-height-percent:200;mso-height-percent:200;mso-width-relative:margin;mso-height-relative:margin" filled="f" stroked="f">
            <v:textbox style="mso-fit-shape-to-text:t">
              <w:txbxContent>
                <w:p w:rsidR="004134A0" w:rsidRPr="000F5E83" w:rsidRDefault="004134A0" w:rsidP="000F5E83">
                  <w:pPr>
                    <w:jc w:val="center"/>
                    <w:rPr>
                      <w:sz w:val="20"/>
                      <w:lang w:val="en-US"/>
                    </w:rPr>
                  </w:pPr>
                  <w:r>
                    <w:rPr>
                      <w:sz w:val="20"/>
                    </w:rPr>
                    <w:t>Escurrimiento de agua</w:t>
                  </w:r>
                </w:p>
              </w:txbxContent>
            </v:textbox>
          </v:shape>
        </w:pict>
      </w:r>
      <w:r>
        <w:rPr>
          <w:noProof/>
          <w:szCs w:val="24"/>
          <w:lang w:val="en-US" w:eastAsia="en-US"/>
        </w:rPr>
        <w:pict>
          <v:shape id="_x0000_s1669" type="#_x0000_t202" style="position:absolute;left:0;text-align:left;margin-left:-58.8pt;margin-top:116.2pt;width:132.35pt;height:30.2pt;z-index:251888128;mso-height-percent:200;mso-height-percent:200;mso-width-relative:margin;mso-height-relative:margin" filled="f" stroked="f">
            <v:textbox style="mso-fit-shape-to-text:t">
              <w:txbxContent>
                <w:p w:rsidR="004134A0" w:rsidRPr="000F5E83" w:rsidRDefault="004134A0" w:rsidP="000F5E83">
                  <w:pPr>
                    <w:jc w:val="center"/>
                    <w:rPr>
                      <w:sz w:val="20"/>
                      <w:lang w:val="en-US"/>
                    </w:rPr>
                  </w:pPr>
                  <w:r>
                    <w:rPr>
                      <w:sz w:val="20"/>
                    </w:rPr>
                    <w:t>Anillos de vidrio</w:t>
                  </w:r>
                </w:p>
              </w:txbxContent>
            </v:textbox>
          </v:shape>
        </w:pict>
      </w:r>
      <w:r w:rsidRPr="00A73CD2">
        <w:rPr>
          <w:noProof/>
          <w:szCs w:val="24"/>
          <w:lang w:eastAsia="zh-TW"/>
        </w:rPr>
        <w:pict>
          <v:shape id="_x0000_s1666" type="#_x0000_t202" style="position:absolute;left:0;text-align:left;margin-left:-15.55pt;margin-top:19.25pt;width:132.35pt;height:18.7pt;z-index:251885056;mso-height-percent:200;mso-height-percent:200;mso-width-relative:margin;mso-height-relative:margin" filled="f" stroked="f">
            <v:textbox style="mso-fit-shape-to-text:t">
              <w:txbxContent>
                <w:p w:rsidR="004134A0" w:rsidRPr="000F5E83" w:rsidRDefault="004134A0" w:rsidP="000F5E83">
                  <w:pPr>
                    <w:jc w:val="center"/>
                    <w:rPr>
                      <w:sz w:val="20"/>
                      <w:lang w:val="en-US"/>
                    </w:rPr>
                  </w:pPr>
                  <w:r w:rsidRPr="000F5E83">
                    <w:rPr>
                      <w:sz w:val="20"/>
                    </w:rPr>
                    <w:t>Fase continua (crudo)</w:t>
                  </w:r>
                </w:p>
              </w:txbxContent>
            </v:textbox>
          </v:shape>
        </w:pict>
      </w:r>
      <w:r w:rsidR="00555CE1">
        <w:rPr>
          <w:noProof/>
          <w:szCs w:val="24"/>
          <w:lang w:val="en-US" w:eastAsia="en-US"/>
        </w:rPr>
        <w:drawing>
          <wp:inline distT="0" distB="0" distL="0" distR="0">
            <wp:extent cx="5467838" cy="1888589"/>
            <wp:effectExtent l="19050" t="0" r="0" b="0"/>
            <wp:docPr id="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5469961" cy="1889322"/>
                    </a:xfrm>
                    <a:prstGeom prst="rect">
                      <a:avLst/>
                    </a:prstGeom>
                    <a:noFill/>
                    <a:ln w="9525">
                      <a:noFill/>
                      <a:miter lim="800000"/>
                      <a:headEnd/>
                      <a:tailEnd/>
                    </a:ln>
                  </pic:spPr>
                </pic:pic>
              </a:graphicData>
            </a:graphic>
          </wp:inline>
        </w:drawing>
      </w:r>
    </w:p>
    <w:p w:rsidR="00555CE1" w:rsidRDefault="00555CE1" w:rsidP="00555CE1">
      <w:pPr>
        <w:spacing w:line="360" w:lineRule="auto"/>
        <w:jc w:val="center"/>
        <w:rPr>
          <w:szCs w:val="24"/>
        </w:rPr>
      </w:pPr>
      <w:r>
        <w:rPr>
          <w:szCs w:val="24"/>
        </w:rPr>
        <w:t>(b)</w:t>
      </w:r>
    </w:p>
    <w:p w:rsidR="00555CE1" w:rsidRPr="000F5E83" w:rsidRDefault="000F5E83" w:rsidP="000F5E83">
      <w:pPr>
        <w:spacing w:line="360" w:lineRule="auto"/>
        <w:jc w:val="center"/>
        <w:rPr>
          <w:sz w:val="20"/>
        </w:rPr>
      </w:pPr>
      <w:bookmarkStart w:id="155" w:name="_Toc327481455"/>
      <w:r w:rsidRPr="000F5E83">
        <w:rPr>
          <w:sz w:val="20"/>
        </w:rPr>
        <w:t xml:space="preserve">Figura N° </w:t>
      </w:r>
      <w:r w:rsidR="00A73CD2" w:rsidRPr="000F5E83">
        <w:rPr>
          <w:sz w:val="20"/>
        </w:rPr>
        <w:fldChar w:fldCharType="begin"/>
      </w:r>
      <w:r w:rsidRPr="000F5E83">
        <w:rPr>
          <w:sz w:val="20"/>
        </w:rPr>
        <w:instrText xml:space="preserve"> SEQ Figura_N° \* ARABIC </w:instrText>
      </w:r>
      <w:r w:rsidR="00A73CD2" w:rsidRPr="000F5E83">
        <w:rPr>
          <w:sz w:val="20"/>
        </w:rPr>
        <w:fldChar w:fldCharType="separate"/>
      </w:r>
      <w:r w:rsidR="004A5F6F">
        <w:rPr>
          <w:noProof/>
          <w:sz w:val="20"/>
        </w:rPr>
        <w:t>43</w:t>
      </w:r>
      <w:r w:rsidR="00A73CD2" w:rsidRPr="000F5E83">
        <w:rPr>
          <w:sz w:val="20"/>
        </w:rPr>
        <w:fldChar w:fldCharType="end"/>
      </w:r>
      <w:r w:rsidR="00555CE1" w:rsidRPr="000F5E83">
        <w:rPr>
          <w:sz w:val="20"/>
        </w:rPr>
        <w:t xml:space="preserve">: </w:t>
      </w:r>
      <w:r w:rsidRPr="000F5E83">
        <w:rPr>
          <w:sz w:val="20"/>
        </w:rPr>
        <w:t>Esquema general de la adsorción de surfactantes sobre el medio coalescedor. (a) Esferas de polietileno (b) Anillos de vidrio.</w:t>
      </w:r>
      <w:bookmarkEnd w:id="155"/>
    </w:p>
    <w:p w:rsidR="0032507F" w:rsidRDefault="00555CE1" w:rsidP="003E77D5">
      <w:pPr>
        <w:spacing w:line="360" w:lineRule="auto"/>
        <w:jc w:val="both"/>
        <w:rPr>
          <w:szCs w:val="24"/>
        </w:rPr>
      </w:pPr>
      <w:r>
        <w:rPr>
          <w:szCs w:val="24"/>
        </w:rPr>
        <w:tab/>
      </w:r>
      <w:r w:rsidR="0032507F">
        <w:rPr>
          <w:szCs w:val="24"/>
        </w:rPr>
        <w:t xml:space="preserve">Cuando se desplaza </w:t>
      </w:r>
      <w:r w:rsidR="004358BA">
        <w:rPr>
          <w:szCs w:val="24"/>
        </w:rPr>
        <w:t>una gota de agua sobre</w:t>
      </w:r>
      <w:r w:rsidR="0032507F">
        <w:rPr>
          <w:szCs w:val="24"/>
        </w:rPr>
        <w:t xml:space="preserve"> una superficie hidrofóbica, la gota no se deformará considerablemente, es decir, mantendrá su geometría esférica.</w:t>
      </w:r>
      <w:r w:rsidR="004358BA">
        <w:rPr>
          <w:szCs w:val="24"/>
        </w:rPr>
        <w:t xml:space="preserve"> </w:t>
      </w:r>
      <w:r w:rsidR="0032507F">
        <w:rPr>
          <w:szCs w:val="24"/>
        </w:rPr>
        <w:t>Por el contrario,</w:t>
      </w:r>
      <w:r w:rsidR="004358BA">
        <w:rPr>
          <w:szCs w:val="24"/>
        </w:rPr>
        <w:t xml:space="preserve"> para un material hidrofílico la gota</w:t>
      </w:r>
      <w:r w:rsidR="0032507F">
        <w:rPr>
          <w:szCs w:val="24"/>
        </w:rPr>
        <w:t xml:space="preserve"> se</w:t>
      </w:r>
      <w:r w:rsidR="004358BA">
        <w:rPr>
          <w:szCs w:val="24"/>
        </w:rPr>
        <w:t xml:space="preserve"> esparrama</w:t>
      </w:r>
      <w:r w:rsidR="0032507F">
        <w:rPr>
          <w:szCs w:val="24"/>
        </w:rPr>
        <w:t>rá a lo largo de la superficie. Ahora bien, resultaría lógico suponer que la presencia de un medio hidrofílico puede favorecer el escurrimiento del agua coalescida a través del medio sin embargo los resultados sugieren que la desestabilización es más rápida si se procura la presencia de u</w:t>
      </w:r>
      <w:r w:rsidR="007E69FF">
        <w:rPr>
          <w:szCs w:val="24"/>
        </w:rPr>
        <w:t>n medio hidrofóbico en la celda de aplicación de campo eléctrico, es decir, conviene que la gota escurra pero no se deforme en gran medida.</w:t>
      </w:r>
    </w:p>
    <w:p w:rsidR="007E69FF" w:rsidRDefault="007E69FF" w:rsidP="003E77D5">
      <w:pPr>
        <w:spacing w:line="360" w:lineRule="auto"/>
        <w:jc w:val="both"/>
        <w:rPr>
          <w:szCs w:val="24"/>
        </w:rPr>
      </w:pPr>
      <w:r>
        <w:rPr>
          <w:szCs w:val="24"/>
        </w:rPr>
        <w:lastRenderedPageBreak/>
        <w:tab/>
        <w:t>Sin embargo, a pesar de que la mayor desestabilización cuando se emplea anillos de vidrio no ocurre al inicio de la experiencia, la cantidad en las muestras es superior a la cuantificada cuando se utilizan esferas de polietileno como medio coalescedor. Esto puede deberse a que la adsorción de los surfactantes, una vez que se ha alterado la mojabilidad del material de vidrio (ahora hidrofóbico), ahora se realiza sobre una superficie cuya hidrofobicidad es más afín a las moléculas de surfactante.</w:t>
      </w:r>
    </w:p>
    <w:p w:rsidR="00DD1FFE" w:rsidRDefault="00A97663" w:rsidP="003E77D5">
      <w:pPr>
        <w:spacing w:line="360" w:lineRule="auto"/>
        <w:jc w:val="both"/>
        <w:rPr>
          <w:szCs w:val="24"/>
        </w:rPr>
      </w:pPr>
      <w:r>
        <w:rPr>
          <w:szCs w:val="24"/>
        </w:rPr>
        <w:tab/>
      </w:r>
      <w:r w:rsidR="0048085E">
        <w:rPr>
          <w:szCs w:val="24"/>
        </w:rPr>
        <w:t>Es importante considerar que el fenóm</w:t>
      </w:r>
      <w:r w:rsidR="007E69FF">
        <w:rPr>
          <w:szCs w:val="24"/>
        </w:rPr>
        <w:t>eno descrito, no necesariamente deba</w:t>
      </w:r>
      <w:r w:rsidR="0048085E">
        <w:rPr>
          <w:szCs w:val="24"/>
        </w:rPr>
        <w:t xml:space="preserve"> </w:t>
      </w:r>
      <w:r w:rsidR="00861438">
        <w:rPr>
          <w:szCs w:val="24"/>
        </w:rPr>
        <w:t>presenta</w:t>
      </w:r>
      <w:r w:rsidR="007E69FF">
        <w:rPr>
          <w:szCs w:val="24"/>
        </w:rPr>
        <w:t>rse</w:t>
      </w:r>
      <w:r w:rsidR="0048085E">
        <w:rPr>
          <w:szCs w:val="24"/>
        </w:rPr>
        <w:t xml:space="preserve"> a lo largo</w:t>
      </w:r>
      <w:r w:rsidR="00A160D2">
        <w:rPr>
          <w:szCs w:val="24"/>
        </w:rPr>
        <w:t xml:space="preserve"> de toda la superficie del medio coalescedor</w:t>
      </w:r>
      <w:r w:rsidR="00861438">
        <w:rPr>
          <w:szCs w:val="24"/>
        </w:rPr>
        <w:t xml:space="preserve">. Es posible que </w:t>
      </w:r>
      <w:r w:rsidR="007E69FF">
        <w:rPr>
          <w:szCs w:val="24"/>
        </w:rPr>
        <w:t xml:space="preserve">la adsorción </w:t>
      </w:r>
      <w:r w:rsidR="00861438">
        <w:rPr>
          <w:szCs w:val="24"/>
        </w:rPr>
        <w:t>tenga lugar</w:t>
      </w:r>
      <w:r w:rsidR="00A160D2">
        <w:rPr>
          <w:szCs w:val="24"/>
        </w:rPr>
        <w:t xml:space="preserve"> en aquellas </w:t>
      </w:r>
      <w:r w:rsidR="00861438">
        <w:rPr>
          <w:szCs w:val="24"/>
        </w:rPr>
        <w:t xml:space="preserve">zonas </w:t>
      </w:r>
      <w:r w:rsidR="00A160D2">
        <w:rPr>
          <w:szCs w:val="24"/>
        </w:rPr>
        <w:t xml:space="preserve">donde la intensidad de campo eléctrico es mucho más </w:t>
      </w:r>
      <w:r w:rsidR="00861438">
        <w:rPr>
          <w:szCs w:val="24"/>
        </w:rPr>
        <w:t>alta</w:t>
      </w:r>
      <w:r w:rsidR="00A160D2">
        <w:rPr>
          <w:szCs w:val="24"/>
        </w:rPr>
        <w:t xml:space="preserve">. </w:t>
      </w:r>
    </w:p>
    <w:p w:rsidR="00A15CE8" w:rsidRDefault="004C79C2" w:rsidP="004C79C2">
      <w:pPr>
        <w:spacing w:line="360" w:lineRule="auto"/>
        <w:ind w:firstLine="720"/>
        <w:jc w:val="both"/>
        <w:rPr>
          <w:szCs w:val="24"/>
        </w:rPr>
      </w:pPr>
      <w:r>
        <w:rPr>
          <w:szCs w:val="24"/>
        </w:rPr>
        <w:t xml:space="preserve">En el desarrollo de las experiencias, </w:t>
      </w:r>
      <w:r w:rsidR="00861438">
        <w:rPr>
          <w:szCs w:val="24"/>
        </w:rPr>
        <w:t xml:space="preserve">se registraron los valores de temperatura </w:t>
      </w:r>
      <w:r w:rsidR="00833B88">
        <w:rPr>
          <w:szCs w:val="24"/>
        </w:rPr>
        <w:t>de la e</w:t>
      </w:r>
      <w:r w:rsidR="00C921EE">
        <w:rPr>
          <w:szCs w:val="24"/>
        </w:rPr>
        <w:t xml:space="preserve">mulsión a la </w:t>
      </w:r>
      <w:r>
        <w:rPr>
          <w:szCs w:val="24"/>
        </w:rPr>
        <w:t xml:space="preserve">entrada y </w:t>
      </w:r>
      <w:r w:rsidR="00C921EE">
        <w:rPr>
          <w:szCs w:val="24"/>
        </w:rPr>
        <w:t>salida de</w:t>
      </w:r>
      <w:r>
        <w:rPr>
          <w:szCs w:val="24"/>
        </w:rPr>
        <w:t xml:space="preserve"> la celda de tratamiento; estos se presentan en la </w:t>
      </w:r>
      <w:r w:rsidR="007E69FF">
        <w:rPr>
          <w:szCs w:val="24"/>
        </w:rPr>
        <w:t>siguiente tabla:</w:t>
      </w:r>
    </w:p>
    <w:p w:rsidR="00C921EE" w:rsidRDefault="00BB3816" w:rsidP="00BB3816">
      <w:pPr>
        <w:pStyle w:val="Epgrafe"/>
      </w:pPr>
      <w:bookmarkStart w:id="156" w:name="_Toc325636322"/>
      <w:r>
        <w:t xml:space="preserve">Tabla N° </w:t>
      </w:r>
      <w:fldSimple w:instr=" SEQ Tabla_N° \* ARABIC ">
        <w:r w:rsidR="004A5F6F">
          <w:rPr>
            <w:noProof/>
          </w:rPr>
          <w:t>8</w:t>
        </w:r>
      </w:fldSimple>
      <w:r w:rsidR="00C921EE" w:rsidRPr="008A28A0">
        <w:t xml:space="preserve">: Temperatura de la emulsión </w:t>
      </w:r>
      <w:r w:rsidR="00B74A32">
        <w:t>en la celda de tratamiento</w:t>
      </w:r>
      <w:r w:rsidR="00064661">
        <w:t xml:space="preserve"> empleando </w:t>
      </w:r>
      <w:r w:rsidR="00B74A32">
        <w:t>diferentes medios coalescedores</w:t>
      </w:r>
      <w:r w:rsidR="00C921EE" w:rsidRPr="008A28A0">
        <w:t>.</w:t>
      </w:r>
      <w:bookmarkEnd w:id="156"/>
    </w:p>
    <w:tbl>
      <w:tblPr>
        <w:tblStyle w:val="Tablaconcuadrcula"/>
        <w:tblW w:w="0" w:type="auto"/>
        <w:tblLook w:val="04A0"/>
      </w:tblPr>
      <w:tblGrid>
        <w:gridCol w:w="1095"/>
        <w:gridCol w:w="1779"/>
        <w:gridCol w:w="1630"/>
        <w:gridCol w:w="186"/>
        <w:gridCol w:w="1593"/>
        <w:gridCol w:w="1663"/>
      </w:tblGrid>
      <w:tr w:rsidR="00CC01AD" w:rsidTr="00C70865">
        <w:tc>
          <w:tcPr>
            <w:tcW w:w="1095" w:type="dxa"/>
            <w:tcBorders>
              <w:top w:val="nil"/>
              <w:left w:val="nil"/>
              <w:bottom w:val="nil"/>
              <w:right w:val="single" w:sz="4" w:space="0" w:color="auto"/>
            </w:tcBorders>
            <w:vAlign w:val="center"/>
          </w:tcPr>
          <w:p w:rsidR="00CC01AD" w:rsidRDefault="00CC01AD" w:rsidP="00064661">
            <w:pPr>
              <w:spacing w:line="276" w:lineRule="auto"/>
              <w:jc w:val="center"/>
              <w:rPr>
                <w:sz w:val="20"/>
              </w:rPr>
            </w:pPr>
          </w:p>
        </w:tc>
        <w:tc>
          <w:tcPr>
            <w:tcW w:w="3595" w:type="dxa"/>
            <w:gridSpan w:val="3"/>
            <w:tcBorders>
              <w:left w:val="single" w:sz="4" w:space="0" w:color="auto"/>
            </w:tcBorders>
            <w:vAlign w:val="center"/>
          </w:tcPr>
          <w:p w:rsidR="00CC01AD" w:rsidRPr="00064661" w:rsidRDefault="00CC01AD" w:rsidP="00064661">
            <w:pPr>
              <w:spacing w:line="276" w:lineRule="auto"/>
              <w:jc w:val="center"/>
              <w:rPr>
                <w:b/>
                <w:sz w:val="20"/>
              </w:rPr>
            </w:pPr>
            <w:r w:rsidRPr="00064661">
              <w:rPr>
                <w:b/>
                <w:sz w:val="20"/>
              </w:rPr>
              <w:t>Anillos de vidrio</w:t>
            </w:r>
          </w:p>
        </w:tc>
        <w:tc>
          <w:tcPr>
            <w:tcW w:w="3256" w:type="dxa"/>
            <w:gridSpan w:val="2"/>
            <w:vAlign w:val="center"/>
          </w:tcPr>
          <w:p w:rsidR="00CC01AD" w:rsidRPr="00064661" w:rsidRDefault="00B74A32" w:rsidP="00B74A32">
            <w:pPr>
              <w:spacing w:line="276" w:lineRule="auto"/>
              <w:jc w:val="center"/>
              <w:rPr>
                <w:b/>
                <w:sz w:val="20"/>
              </w:rPr>
            </w:pPr>
            <w:r>
              <w:rPr>
                <w:b/>
                <w:sz w:val="20"/>
              </w:rPr>
              <w:t>Esferas de p</w:t>
            </w:r>
            <w:r w:rsidR="00CC01AD" w:rsidRPr="00064661">
              <w:rPr>
                <w:b/>
                <w:sz w:val="20"/>
              </w:rPr>
              <w:t>olietileno</w:t>
            </w:r>
          </w:p>
        </w:tc>
      </w:tr>
      <w:tr w:rsidR="00CC01AD" w:rsidTr="00C70865">
        <w:tc>
          <w:tcPr>
            <w:tcW w:w="1095" w:type="dxa"/>
            <w:tcBorders>
              <w:top w:val="nil"/>
              <w:left w:val="nil"/>
              <w:bottom w:val="single" w:sz="4" w:space="0" w:color="auto"/>
              <w:right w:val="single" w:sz="4" w:space="0" w:color="auto"/>
            </w:tcBorders>
            <w:vAlign w:val="center"/>
          </w:tcPr>
          <w:p w:rsidR="00CC01AD" w:rsidRDefault="00CC01AD" w:rsidP="00064661">
            <w:pPr>
              <w:spacing w:line="276" w:lineRule="auto"/>
              <w:jc w:val="center"/>
              <w:rPr>
                <w:sz w:val="20"/>
              </w:rPr>
            </w:pPr>
          </w:p>
        </w:tc>
        <w:tc>
          <w:tcPr>
            <w:tcW w:w="6851" w:type="dxa"/>
            <w:gridSpan w:val="5"/>
            <w:tcBorders>
              <w:left w:val="single" w:sz="4" w:space="0" w:color="auto"/>
            </w:tcBorders>
            <w:vAlign w:val="center"/>
          </w:tcPr>
          <w:p w:rsidR="00CC01AD" w:rsidRPr="00064661" w:rsidRDefault="00CC01AD" w:rsidP="00064661">
            <w:pPr>
              <w:spacing w:line="276" w:lineRule="auto"/>
              <w:jc w:val="center"/>
              <w:rPr>
                <w:b/>
                <w:sz w:val="20"/>
              </w:rPr>
            </w:pPr>
            <w:r w:rsidRPr="00064661">
              <w:rPr>
                <w:b/>
                <w:sz w:val="20"/>
              </w:rPr>
              <w:t>Temperatura (ºC)</w:t>
            </w:r>
          </w:p>
        </w:tc>
      </w:tr>
      <w:tr w:rsidR="00CC01AD" w:rsidTr="00C70865">
        <w:tc>
          <w:tcPr>
            <w:tcW w:w="1095" w:type="dxa"/>
            <w:tcBorders>
              <w:top w:val="single" w:sz="4" w:space="0" w:color="auto"/>
            </w:tcBorders>
            <w:vAlign w:val="center"/>
          </w:tcPr>
          <w:p w:rsidR="00CC01AD" w:rsidRPr="00064661" w:rsidRDefault="00CC01AD" w:rsidP="00064661">
            <w:pPr>
              <w:spacing w:line="276" w:lineRule="auto"/>
              <w:jc w:val="center"/>
              <w:rPr>
                <w:b/>
                <w:sz w:val="20"/>
              </w:rPr>
            </w:pPr>
            <w:r w:rsidRPr="00064661">
              <w:rPr>
                <w:b/>
                <w:sz w:val="20"/>
              </w:rPr>
              <w:t>Muestra</w:t>
            </w:r>
          </w:p>
        </w:tc>
        <w:tc>
          <w:tcPr>
            <w:tcW w:w="1779" w:type="dxa"/>
            <w:vAlign w:val="center"/>
          </w:tcPr>
          <w:p w:rsidR="00CC01AD" w:rsidRPr="00064661" w:rsidRDefault="00CC01AD" w:rsidP="00064661">
            <w:pPr>
              <w:spacing w:line="276" w:lineRule="auto"/>
              <w:jc w:val="center"/>
              <w:rPr>
                <w:b/>
                <w:sz w:val="20"/>
              </w:rPr>
            </w:pPr>
            <w:r w:rsidRPr="00064661">
              <w:rPr>
                <w:b/>
                <w:sz w:val="20"/>
              </w:rPr>
              <w:t>Entrada de la celda</w:t>
            </w:r>
          </w:p>
        </w:tc>
        <w:tc>
          <w:tcPr>
            <w:tcW w:w="1630" w:type="dxa"/>
            <w:vAlign w:val="center"/>
          </w:tcPr>
          <w:p w:rsidR="00CC01AD" w:rsidRPr="00064661" w:rsidRDefault="00CC01AD" w:rsidP="00064661">
            <w:pPr>
              <w:spacing w:line="276" w:lineRule="auto"/>
              <w:jc w:val="center"/>
              <w:rPr>
                <w:b/>
                <w:sz w:val="20"/>
              </w:rPr>
            </w:pPr>
            <w:r w:rsidRPr="00064661">
              <w:rPr>
                <w:b/>
                <w:sz w:val="20"/>
              </w:rPr>
              <w:t>Salida de la celda</w:t>
            </w:r>
          </w:p>
        </w:tc>
        <w:tc>
          <w:tcPr>
            <w:tcW w:w="1779" w:type="dxa"/>
            <w:gridSpan w:val="2"/>
            <w:vAlign w:val="center"/>
          </w:tcPr>
          <w:p w:rsidR="00CC01AD" w:rsidRPr="00064661" w:rsidRDefault="00CC01AD" w:rsidP="00064661">
            <w:pPr>
              <w:spacing w:line="276" w:lineRule="auto"/>
              <w:jc w:val="center"/>
              <w:rPr>
                <w:b/>
                <w:sz w:val="20"/>
              </w:rPr>
            </w:pPr>
            <w:r w:rsidRPr="00064661">
              <w:rPr>
                <w:b/>
                <w:sz w:val="20"/>
              </w:rPr>
              <w:t>Entrada de la celda</w:t>
            </w:r>
          </w:p>
        </w:tc>
        <w:tc>
          <w:tcPr>
            <w:tcW w:w="1663" w:type="dxa"/>
            <w:vAlign w:val="center"/>
          </w:tcPr>
          <w:p w:rsidR="00CC01AD" w:rsidRPr="00064661" w:rsidRDefault="00CC01AD" w:rsidP="00064661">
            <w:pPr>
              <w:spacing w:line="276" w:lineRule="auto"/>
              <w:jc w:val="center"/>
              <w:rPr>
                <w:b/>
                <w:sz w:val="20"/>
              </w:rPr>
            </w:pPr>
            <w:r w:rsidRPr="00064661">
              <w:rPr>
                <w:b/>
                <w:sz w:val="20"/>
              </w:rPr>
              <w:t>Salida de la celda</w:t>
            </w:r>
          </w:p>
        </w:tc>
      </w:tr>
      <w:tr w:rsidR="00CC01AD" w:rsidTr="00C70865">
        <w:tc>
          <w:tcPr>
            <w:tcW w:w="1095" w:type="dxa"/>
            <w:vAlign w:val="center"/>
          </w:tcPr>
          <w:p w:rsidR="00CC01AD" w:rsidRDefault="00CC01AD" w:rsidP="00064661">
            <w:pPr>
              <w:spacing w:line="276" w:lineRule="auto"/>
              <w:jc w:val="center"/>
              <w:rPr>
                <w:sz w:val="20"/>
              </w:rPr>
            </w:pPr>
            <w:r>
              <w:rPr>
                <w:sz w:val="20"/>
              </w:rPr>
              <w:t>1</w:t>
            </w:r>
          </w:p>
        </w:tc>
        <w:tc>
          <w:tcPr>
            <w:tcW w:w="1779" w:type="dxa"/>
            <w:vAlign w:val="center"/>
          </w:tcPr>
          <w:p w:rsidR="00CC01AD" w:rsidRDefault="00990C61" w:rsidP="00064661">
            <w:pPr>
              <w:spacing w:line="276" w:lineRule="auto"/>
              <w:jc w:val="center"/>
              <w:rPr>
                <w:sz w:val="20"/>
              </w:rPr>
            </w:pPr>
            <w:r>
              <w:rPr>
                <w:sz w:val="20"/>
              </w:rPr>
              <w:t>50</w:t>
            </w:r>
          </w:p>
        </w:tc>
        <w:tc>
          <w:tcPr>
            <w:tcW w:w="1630" w:type="dxa"/>
            <w:vAlign w:val="center"/>
          </w:tcPr>
          <w:p w:rsidR="00CC01AD" w:rsidRDefault="00990C61" w:rsidP="00064661">
            <w:pPr>
              <w:spacing w:line="276" w:lineRule="auto"/>
              <w:jc w:val="center"/>
              <w:rPr>
                <w:sz w:val="20"/>
              </w:rPr>
            </w:pPr>
            <w:r>
              <w:rPr>
                <w:sz w:val="20"/>
              </w:rPr>
              <w:t>47</w:t>
            </w:r>
          </w:p>
        </w:tc>
        <w:tc>
          <w:tcPr>
            <w:tcW w:w="1779" w:type="dxa"/>
            <w:gridSpan w:val="2"/>
            <w:vAlign w:val="center"/>
          </w:tcPr>
          <w:p w:rsidR="00CC01AD" w:rsidRDefault="00990C61" w:rsidP="00064661">
            <w:pPr>
              <w:spacing w:line="276" w:lineRule="auto"/>
              <w:jc w:val="center"/>
              <w:rPr>
                <w:sz w:val="20"/>
              </w:rPr>
            </w:pPr>
            <w:r>
              <w:rPr>
                <w:sz w:val="20"/>
              </w:rPr>
              <w:t>49</w:t>
            </w:r>
          </w:p>
        </w:tc>
        <w:tc>
          <w:tcPr>
            <w:tcW w:w="1663" w:type="dxa"/>
            <w:vAlign w:val="center"/>
          </w:tcPr>
          <w:p w:rsidR="00CC01AD" w:rsidRDefault="00064661" w:rsidP="00064661">
            <w:pPr>
              <w:spacing w:line="276" w:lineRule="auto"/>
              <w:jc w:val="center"/>
              <w:rPr>
                <w:sz w:val="20"/>
              </w:rPr>
            </w:pPr>
            <w:r>
              <w:rPr>
                <w:sz w:val="20"/>
              </w:rPr>
              <w:t>44</w:t>
            </w:r>
          </w:p>
        </w:tc>
      </w:tr>
      <w:tr w:rsidR="00CC01AD" w:rsidTr="00C70865">
        <w:tc>
          <w:tcPr>
            <w:tcW w:w="1095" w:type="dxa"/>
            <w:vAlign w:val="center"/>
          </w:tcPr>
          <w:p w:rsidR="00CC01AD" w:rsidRDefault="00CC01AD" w:rsidP="00064661">
            <w:pPr>
              <w:spacing w:line="276" w:lineRule="auto"/>
              <w:jc w:val="center"/>
              <w:rPr>
                <w:sz w:val="20"/>
              </w:rPr>
            </w:pPr>
            <w:r>
              <w:rPr>
                <w:sz w:val="20"/>
              </w:rPr>
              <w:t>2</w:t>
            </w:r>
          </w:p>
        </w:tc>
        <w:tc>
          <w:tcPr>
            <w:tcW w:w="1779" w:type="dxa"/>
            <w:vAlign w:val="center"/>
          </w:tcPr>
          <w:p w:rsidR="00CC01AD" w:rsidRDefault="00990C61" w:rsidP="00064661">
            <w:pPr>
              <w:spacing w:line="276" w:lineRule="auto"/>
              <w:jc w:val="center"/>
              <w:rPr>
                <w:sz w:val="20"/>
              </w:rPr>
            </w:pPr>
            <w:r>
              <w:rPr>
                <w:sz w:val="20"/>
              </w:rPr>
              <w:t>49</w:t>
            </w:r>
          </w:p>
        </w:tc>
        <w:tc>
          <w:tcPr>
            <w:tcW w:w="1630" w:type="dxa"/>
            <w:vAlign w:val="center"/>
          </w:tcPr>
          <w:p w:rsidR="00CC01AD" w:rsidRDefault="00990C61" w:rsidP="00064661">
            <w:pPr>
              <w:spacing w:line="276" w:lineRule="auto"/>
              <w:jc w:val="center"/>
              <w:rPr>
                <w:sz w:val="20"/>
              </w:rPr>
            </w:pPr>
            <w:r>
              <w:rPr>
                <w:sz w:val="20"/>
              </w:rPr>
              <w:t>56</w:t>
            </w:r>
          </w:p>
        </w:tc>
        <w:tc>
          <w:tcPr>
            <w:tcW w:w="1779" w:type="dxa"/>
            <w:gridSpan w:val="2"/>
            <w:vAlign w:val="center"/>
          </w:tcPr>
          <w:p w:rsidR="00CC01AD" w:rsidRDefault="00990C61" w:rsidP="00064661">
            <w:pPr>
              <w:spacing w:line="276" w:lineRule="auto"/>
              <w:jc w:val="center"/>
              <w:rPr>
                <w:sz w:val="20"/>
              </w:rPr>
            </w:pPr>
            <w:r>
              <w:rPr>
                <w:sz w:val="20"/>
              </w:rPr>
              <w:t>50</w:t>
            </w:r>
          </w:p>
        </w:tc>
        <w:tc>
          <w:tcPr>
            <w:tcW w:w="1663" w:type="dxa"/>
            <w:vAlign w:val="center"/>
          </w:tcPr>
          <w:p w:rsidR="00CC01AD" w:rsidRDefault="00064661" w:rsidP="00064661">
            <w:pPr>
              <w:spacing w:line="276" w:lineRule="auto"/>
              <w:jc w:val="center"/>
              <w:rPr>
                <w:sz w:val="20"/>
              </w:rPr>
            </w:pPr>
            <w:r>
              <w:rPr>
                <w:sz w:val="20"/>
              </w:rPr>
              <w:t>59</w:t>
            </w:r>
          </w:p>
        </w:tc>
      </w:tr>
      <w:tr w:rsidR="00CC01AD" w:rsidTr="00C70865">
        <w:tc>
          <w:tcPr>
            <w:tcW w:w="1095" w:type="dxa"/>
            <w:vAlign w:val="center"/>
          </w:tcPr>
          <w:p w:rsidR="00CC01AD" w:rsidRDefault="00CC01AD" w:rsidP="00064661">
            <w:pPr>
              <w:spacing w:line="276" w:lineRule="auto"/>
              <w:jc w:val="center"/>
              <w:rPr>
                <w:sz w:val="20"/>
              </w:rPr>
            </w:pPr>
            <w:r>
              <w:rPr>
                <w:sz w:val="20"/>
              </w:rPr>
              <w:t>3</w:t>
            </w:r>
          </w:p>
        </w:tc>
        <w:tc>
          <w:tcPr>
            <w:tcW w:w="1779" w:type="dxa"/>
            <w:vAlign w:val="center"/>
          </w:tcPr>
          <w:p w:rsidR="00CC01AD" w:rsidRDefault="00990C61" w:rsidP="00064661">
            <w:pPr>
              <w:spacing w:line="276" w:lineRule="auto"/>
              <w:jc w:val="center"/>
              <w:rPr>
                <w:sz w:val="20"/>
              </w:rPr>
            </w:pPr>
            <w:r>
              <w:rPr>
                <w:sz w:val="20"/>
              </w:rPr>
              <w:t>50</w:t>
            </w:r>
          </w:p>
        </w:tc>
        <w:tc>
          <w:tcPr>
            <w:tcW w:w="1630" w:type="dxa"/>
            <w:vAlign w:val="center"/>
          </w:tcPr>
          <w:p w:rsidR="00CC01AD" w:rsidRDefault="00990C61" w:rsidP="00064661">
            <w:pPr>
              <w:spacing w:line="276" w:lineRule="auto"/>
              <w:jc w:val="center"/>
              <w:rPr>
                <w:sz w:val="20"/>
              </w:rPr>
            </w:pPr>
            <w:r>
              <w:rPr>
                <w:sz w:val="20"/>
              </w:rPr>
              <w:t>64</w:t>
            </w:r>
          </w:p>
        </w:tc>
        <w:tc>
          <w:tcPr>
            <w:tcW w:w="1779" w:type="dxa"/>
            <w:gridSpan w:val="2"/>
            <w:vAlign w:val="center"/>
          </w:tcPr>
          <w:p w:rsidR="00CC01AD" w:rsidRDefault="00990C61" w:rsidP="00064661">
            <w:pPr>
              <w:spacing w:line="276" w:lineRule="auto"/>
              <w:jc w:val="center"/>
              <w:rPr>
                <w:sz w:val="20"/>
              </w:rPr>
            </w:pPr>
            <w:r>
              <w:rPr>
                <w:sz w:val="20"/>
              </w:rPr>
              <w:t>51</w:t>
            </w:r>
          </w:p>
        </w:tc>
        <w:tc>
          <w:tcPr>
            <w:tcW w:w="1663" w:type="dxa"/>
            <w:vAlign w:val="center"/>
          </w:tcPr>
          <w:p w:rsidR="00CC01AD" w:rsidRDefault="00064661" w:rsidP="00064661">
            <w:pPr>
              <w:spacing w:line="276" w:lineRule="auto"/>
              <w:jc w:val="center"/>
              <w:rPr>
                <w:sz w:val="20"/>
              </w:rPr>
            </w:pPr>
            <w:r>
              <w:rPr>
                <w:sz w:val="20"/>
              </w:rPr>
              <w:t>65</w:t>
            </w:r>
          </w:p>
        </w:tc>
      </w:tr>
      <w:tr w:rsidR="00CC01AD" w:rsidTr="00C70865">
        <w:tc>
          <w:tcPr>
            <w:tcW w:w="1095" w:type="dxa"/>
            <w:vAlign w:val="center"/>
          </w:tcPr>
          <w:p w:rsidR="00CC01AD" w:rsidRDefault="00CC01AD" w:rsidP="00064661">
            <w:pPr>
              <w:spacing w:line="276" w:lineRule="auto"/>
              <w:jc w:val="center"/>
              <w:rPr>
                <w:sz w:val="20"/>
              </w:rPr>
            </w:pPr>
            <w:r>
              <w:rPr>
                <w:sz w:val="20"/>
              </w:rPr>
              <w:t>4</w:t>
            </w:r>
          </w:p>
        </w:tc>
        <w:tc>
          <w:tcPr>
            <w:tcW w:w="1779" w:type="dxa"/>
            <w:vAlign w:val="center"/>
          </w:tcPr>
          <w:p w:rsidR="00CC01AD" w:rsidRDefault="00990C61" w:rsidP="00064661">
            <w:pPr>
              <w:spacing w:line="276" w:lineRule="auto"/>
              <w:jc w:val="center"/>
              <w:rPr>
                <w:sz w:val="20"/>
              </w:rPr>
            </w:pPr>
            <w:r>
              <w:rPr>
                <w:sz w:val="20"/>
              </w:rPr>
              <w:t>50</w:t>
            </w:r>
          </w:p>
        </w:tc>
        <w:tc>
          <w:tcPr>
            <w:tcW w:w="1630" w:type="dxa"/>
            <w:vAlign w:val="center"/>
          </w:tcPr>
          <w:p w:rsidR="00CC01AD" w:rsidRDefault="00990C61" w:rsidP="00064661">
            <w:pPr>
              <w:spacing w:line="276" w:lineRule="auto"/>
              <w:jc w:val="center"/>
              <w:rPr>
                <w:sz w:val="20"/>
              </w:rPr>
            </w:pPr>
            <w:r>
              <w:rPr>
                <w:sz w:val="20"/>
              </w:rPr>
              <w:t>70</w:t>
            </w:r>
          </w:p>
        </w:tc>
        <w:tc>
          <w:tcPr>
            <w:tcW w:w="1779" w:type="dxa"/>
            <w:gridSpan w:val="2"/>
            <w:vAlign w:val="center"/>
          </w:tcPr>
          <w:p w:rsidR="00CC01AD" w:rsidRDefault="00990C61" w:rsidP="00064661">
            <w:pPr>
              <w:spacing w:line="276" w:lineRule="auto"/>
              <w:jc w:val="center"/>
              <w:rPr>
                <w:sz w:val="20"/>
              </w:rPr>
            </w:pPr>
            <w:r>
              <w:rPr>
                <w:sz w:val="20"/>
              </w:rPr>
              <w:t>50</w:t>
            </w:r>
          </w:p>
        </w:tc>
        <w:tc>
          <w:tcPr>
            <w:tcW w:w="1663" w:type="dxa"/>
            <w:vAlign w:val="center"/>
          </w:tcPr>
          <w:p w:rsidR="00CC01AD" w:rsidRDefault="00064661" w:rsidP="00064661">
            <w:pPr>
              <w:spacing w:line="276" w:lineRule="auto"/>
              <w:jc w:val="center"/>
              <w:rPr>
                <w:sz w:val="20"/>
              </w:rPr>
            </w:pPr>
            <w:r>
              <w:rPr>
                <w:sz w:val="20"/>
              </w:rPr>
              <w:t>65</w:t>
            </w:r>
          </w:p>
        </w:tc>
      </w:tr>
      <w:tr w:rsidR="00CC01AD" w:rsidTr="00C70865">
        <w:tc>
          <w:tcPr>
            <w:tcW w:w="1095" w:type="dxa"/>
            <w:vAlign w:val="center"/>
          </w:tcPr>
          <w:p w:rsidR="00CC01AD" w:rsidRDefault="00CC01AD" w:rsidP="00064661">
            <w:pPr>
              <w:spacing w:line="276" w:lineRule="auto"/>
              <w:jc w:val="center"/>
              <w:rPr>
                <w:sz w:val="20"/>
              </w:rPr>
            </w:pPr>
            <w:r>
              <w:rPr>
                <w:sz w:val="20"/>
              </w:rPr>
              <w:t>5</w:t>
            </w:r>
          </w:p>
        </w:tc>
        <w:tc>
          <w:tcPr>
            <w:tcW w:w="1779" w:type="dxa"/>
            <w:vAlign w:val="center"/>
          </w:tcPr>
          <w:p w:rsidR="00CC01AD" w:rsidRDefault="00990C61" w:rsidP="00064661">
            <w:pPr>
              <w:spacing w:line="276" w:lineRule="auto"/>
              <w:jc w:val="center"/>
              <w:rPr>
                <w:sz w:val="20"/>
              </w:rPr>
            </w:pPr>
            <w:r>
              <w:rPr>
                <w:sz w:val="20"/>
              </w:rPr>
              <w:t>50</w:t>
            </w:r>
          </w:p>
        </w:tc>
        <w:tc>
          <w:tcPr>
            <w:tcW w:w="1630" w:type="dxa"/>
            <w:vAlign w:val="center"/>
          </w:tcPr>
          <w:p w:rsidR="00CC01AD" w:rsidRDefault="00990C61" w:rsidP="00064661">
            <w:pPr>
              <w:spacing w:line="276" w:lineRule="auto"/>
              <w:jc w:val="center"/>
              <w:rPr>
                <w:sz w:val="20"/>
              </w:rPr>
            </w:pPr>
            <w:r>
              <w:rPr>
                <w:sz w:val="20"/>
              </w:rPr>
              <w:t>70</w:t>
            </w:r>
          </w:p>
        </w:tc>
        <w:tc>
          <w:tcPr>
            <w:tcW w:w="1779" w:type="dxa"/>
            <w:gridSpan w:val="2"/>
            <w:vAlign w:val="center"/>
          </w:tcPr>
          <w:p w:rsidR="00CC01AD" w:rsidRDefault="00990C61" w:rsidP="00064661">
            <w:pPr>
              <w:spacing w:line="276" w:lineRule="auto"/>
              <w:jc w:val="center"/>
              <w:rPr>
                <w:sz w:val="20"/>
              </w:rPr>
            </w:pPr>
            <w:r>
              <w:rPr>
                <w:sz w:val="20"/>
              </w:rPr>
              <w:t>50</w:t>
            </w:r>
          </w:p>
        </w:tc>
        <w:tc>
          <w:tcPr>
            <w:tcW w:w="1663" w:type="dxa"/>
            <w:vAlign w:val="center"/>
          </w:tcPr>
          <w:p w:rsidR="00CC01AD" w:rsidRDefault="00064661" w:rsidP="00064661">
            <w:pPr>
              <w:spacing w:line="276" w:lineRule="auto"/>
              <w:jc w:val="center"/>
              <w:rPr>
                <w:sz w:val="20"/>
              </w:rPr>
            </w:pPr>
            <w:r>
              <w:rPr>
                <w:sz w:val="20"/>
              </w:rPr>
              <w:t>65</w:t>
            </w:r>
          </w:p>
        </w:tc>
      </w:tr>
      <w:tr w:rsidR="00CC01AD" w:rsidTr="00C70865">
        <w:tc>
          <w:tcPr>
            <w:tcW w:w="1095" w:type="dxa"/>
            <w:vAlign w:val="center"/>
          </w:tcPr>
          <w:p w:rsidR="00CC01AD" w:rsidRDefault="00CC01AD" w:rsidP="00064661">
            <w:pPr>
              <w:spacing w:line="276" w:lineRule="auto"/>
              <w:jc w:val="center"/>
              <w:rPr>
                <w:sz w:val="20"/>
              </w:rPr>
            </w:pPr>
            <w:r>
              <w:rPr>
                <w:sz w:val="20"/>
              </w:rPr>
              <w:t>6</w:t>
            </w:r>
          </w:p>
        </w:tc>
        <w:tc>
          <w:tcPr>
            <w:tcW w:w="1779" w:type="dxa"/>
            <w:vAlign w:val="center"/>
          </w:tcPr>
          <w:p w:rsidR="00CC01AD" w:rsidRDefault="00990C61" w:rsidP="00064661">
            <w:pPr>
              <w:spacing w:line="276" w:lineRule="auto"/>
              <w:jc w:val="center"/>
              <w:rPr>
                <w:sz w:val="20"/>
              </w:rPr>
            </w:pPr>
            <w:r>
              <w:rPr>
                <w:sz w:val="20"/>
              </w:rPr>
              <w:t>51</w:t>
            </w:r>
          </w:p>
        </w:tc>
        <w:tc>
          <w:tcPr>
            <w:tcW w:w="1630" w:type="dxa"/>
            <w:vAlign w:val="center"/>
          </w:tcPr>
          <w:p w:rsidR="00CC01AD" w:rsidRDefault="00990C61" w:rsidP="00064661">
            <w:pPr>
              <w:spacing w:line="276" w:lineRule="auto"/>
              <w:jc w:val="center"/>
              <w:rPr>
                <w:sz w:val="20"/>
              </w:rPr>
            </w:pPr>
            <w:r>
              <w:rPr>
                <w:sz w:val="20"/>
              </w:rPr>
              <w:t>71</w:t>
            </w:r>
          </w:p>
        </w:tc>
        <w:tc>
          <w:tcPr>
            <w:tcW w:w="1779" w:type="dxa"/>
            <w:gridSpan w:val="2"/>
            <w:vAlign w:val="center"/>
          </w:tcPr>
          <w:p w:rsidR="00CC01AD" w:rsidRDefault="00990C61" w:rsidP="00064661">
            <w:pPr>
              <w:spacing w:line="276" w:lineRule="auto"/>
              <w:jc w:val="center"/>
              <w:rPr>
                <w:sz w:val="20"/>
              </w:rPr>
            </w:pPr>
            <w:r>
              <w:rPr>
                <w:sz w:val="20"/>
              </w:rPr>
              <w:t>49</w:t>
            </w:r>
          </w:p>
        </w:tc>
        <w:tc>
          <w:tcPr>
            <w:tcW w:w="1663" w:type="dxa"/>
            <w:vAlign w:val="center"/>
          </w:tcPr>
          <w:p w:rsidR="00CC01AD" w:rsidRDefault="00064661" w:rsidP="00064661">
            <w:pPr>
              <w:spacing w:line="276" w:lineRule="auto"/>
              <w:jc w:val="center"/>
              <w:rPr>
                <w:sz w:val="20"/>
              </w:rPr>
            </w:pPr>
            <w:r>
              <w:rPr>
                <w:sz w:val="20"/>
              </w:rPr>
              <w:t>65</w:t>
            </w:r>
          </w:p>
        </w:tc>
      </w:tr>
      <w:tr w:rsidR="00CC01AD" w:rsidTr="00C70865">
        <w:tc>
          <w:tcPr>
            <w:tcW w:w="1095" w:type="dxa"/>
            <w:vAlign w:val="center"/>
          </w:tcPr>
          <w:p w:rsidR="00CC01AD" w:rsidRDefault="00CC01AD" w:rsidP="00064661">
            <w:pPr>
              <w:spacing w:line="276" w:lineRule="auto"/>
              <w:jc w:val="center"/>
              <w:rPr>
                <w:sz w:val="20"/>
              </w:rPr>
            </w:pPr>
            <w:r>
              <w:rPr>
                <w:sz w:val="20"/>
              </w:rPr>
              <w:t>7</w:t>
            </w:r>
          </w:p>
        </w:tc>
        <w:tc>
          <w:tcPr>
            <w:tcW w:w="1779" w:type="dxa"/>
            <w:vAlign w:val="center"/>
          </w:tcPr>
          <w:p w:rsidR="00CC01AD" w:rsidRDefault="00990C61" w:rsidP="00064661">
            <w:pPr>
              <w:spacing w:line="276" w:lineRule="auto"/>
              <w:jc w:val="center"/>
              <w:rPr>
                <w:sz w:val="20"/>
              </w:rPr>
            </w:pPr>
            <w:r>
              <w:rPr>
                <w:sz w:val="20"/>
              </w:rPr>
              <w:t>51</w:t>
            </w:r>
          </w:p>
        </w:tc>
        <w:tc>
          <w:tcPr>
            <w:tcW w:w="1630" w:type="dxa"/>
            <w:vAlign w:val="center"/>
          </w:tcPr>
          <w:p w:rsidR="00CC01AD" w:rsidRDefault="00990C61" w:rsidP="00064661">
            <w:pPr>
              <w:spacing w:line="276" w:lineRule="auto"/>
              <w:jc w:val="center"/>
              <w:rPr>
                <w:sz w:val="20"/>
              </w:rPr>
            </w:pPr>
            <w:r>
              <w:rPr>
                <w:sz w:val="20"/>
              </w:rPr>
              <w:t>71</w:t>
            </w:r>
          </w:p>
        </w:tc>
        <w:tc>
          <w:tcPr>
            <w:tcW w:w="1779" w:type="dxa"/>
            <w:gridSpan w:val="2"/>
            <w:vAlign w:val="center"/>
          </w:tcPr>
          <w:p w:rsidR="00CC01AD" w:rsidRDefault="00990C61" w:rsidP="00064661">
            <w:pPr>
              <w:spacing w:line="276" w:lineRule="auto"/>
              <w:jc w:val="center"/>
              <w:rPr>
                <w:sz w:val="20"/>
              </w:rPr>
            </w:pPr>
            <w:r>
              <w:rPr>
                <w:sz w:val="20"/>
              </w:rPr>
              <w:t>51</w:t>
            </w:r>
          </w:p>
        </w:tc>
        <w:tc>
          <w:tcPr>
            <w:tcW w:w="1663" w:type="dxa"/>
            <w:vAlign w:val="center"/>
          </w:tcPr>
          <w:p w:rsidR="00CC01AD" w:rsidRDefault="00064661" w:rsidP="00064661">
            <w:pPr>
              <w:spacing w:line="276" w:lineRule="auto"/>
              <w:jc w:val="center"/>
              <w:rPr>
                <w:sz w:val="20"/>
              </w:rPr>
            </w:pPr>
            <w:r>
              <w:rPr>
                <w:sz w:val="20"/>
              </w:rPr>
              <w:t>65</w:t>
            </w:r>
          </w:p>
        </w:tc>
      </w:tr>
      <w:tr w:rsidR="00CC01AD" w:rsidTr="00C70865">
        <w:tc>
          <w:tcPr>
            <w:tcW w:w="1095" w:type="dxa"/>
            <w:vAlign w:val="center"/>
          </w:tcPr>
          <w:p w:rsidR="00CC01AD" w:rsidRDefault="00CC01AD" w:rsidP="00064661">
            <w:pPr>
              <w:spacing w:line="276" w:lineRule="auto"/>
              <w:jc w:val="center"/>
              <w:rPr>
                <w:sz w:val="20"/>
              </w:rPr>
            </w:pPr>
            <w:r>
              <w:rPr>
                <w:sz w:val="20"/>
              </w:rPr>
              <w:t>8</w:t>
            </w:r>
          </w:p>
        </w:tc>
        <w:tc>
          <w:tcPr>
            <w:tcW w:w="1779" w:type="dxa"/>
            <w:vAlign w:val="center"/>
          </w:tcPr>
          <w:p w:rsidR="00CC01AD" w:rsidRDefault="00990C61" w:rsidP="00064661">
            <w:pPr>
              <w:spacing w:line="276" w:lineRule="auto"/>
              <w:jc w:val="center"/>
              <w:rPr>
                <w:sz w:val="20"/>
              </w:rPr>
            </w:pPr>
            <w:r>
              <w:rPr>
                <w:sz w:val="20"/>
              </w:rPr>
              <w:t>51</w:t>
            </w:r>
          </w:p>
        </w:tc>
        <w:tc>
          <w:tcPr>
            <w:tcW w:w="1630" w:type="dxa"/>
            <w:vAlign w:val="center"/>
          </w:tcPr>
          <w:p w:rsidR="00CC01AD" w:rsidRDefault="00990C61" w:rsidP="00064661">
            <w:pPr>
              <w:spacing w:line="276" w:lineRule="auto"/>
              <w:jc w:val="center"/>
              <w:rPr>
                <w:sz w:val="20"/>
              </w:rPr>
            </w:pPr>
            <w:r>
              <w:rPr>
                <w:sz w:val="20"/>
              </w:rPr>
              <w:t>72</w:t>
            </w:r>
          </w:p>
        </w:tc>
        <w:tc>
          <w:tcPr>
            <w:tcW w:w="1779" w:type="dxa"/>
            <w:gridSpan w:val="2"/>
            <w:vAlign w:val="center"/>
          </w:tcPr>
          <w:p w:rsidR="00CC01AD" w:rsidRDefault="00990C61" w:rsidP="00064661">
            <w:pPr>
              <w:spacing w:line="276" w:lineRule="auto"/>
              <w:jc w:val="center"/>
              <w:rPr>
                <w:sz w:val="20"/>
              </w:rPr>
            </w:pPr>
            <w:r>
              <w:rPr>
                <w:sz w:val="20"/>
              </w:rPr>
              <w:t>50</w:t>
            </w:r>
          </w:p>
        </w:tc>
        <w:tc>
          <w:tcPr>
            <w:tcW w:w="1663" w:type="dxa"/>
            <w:vAlign w:val="center"/>
          </w:tcPr>
          <w:p w:rsidR="00CC01AD" w:rsidRDefault="00064661" w:rsidP="00064661">
            <w:pPr>
              <w:spacing w:line="276" w:lineRule="auto"/>
              <w:jc w:val="center"/>
              <w:rPr>
                <w:sz w:val="20"/>
              </w:rPr>
            </w:pPr>
            <w:r>
              <w:rPr>
                <w:sz w:val="20"/>
              </w:rPr>
              <w:t>65</w:t>
            </w:r>
          </w:p>
        </w:tc>
      </w:tr>
    </w:tbl>
    <w:p w:rsidR="007D565B" w:rsidRDefault="008870AF" w:rsidP="007D565B">
      <w:pPr>
        <w:spacing w:before="240" w:line="360" w:lineRule="auto"/>
        <w:jc w:val="both"/>
        <w:rPr>
          <w:szCs w:val="24"/>
        </w:rPr>
      </w:pPr>
      <w:r>
        <w:rPr>
          <w:szCs w:val="24"/>
        </w:rPr>
        <w:tab/>
      </w:r>
      <w:r w:rsidR="007E69FF">
        <w:rPr>
          <w:szCs w:val="24"/>
        </w:rPr>
        <w:t>Se observó que</w:t>
      </w:r>
      <w:r w:rsidR="00E8576F">
        <w:rPr>
          <w:szCs w:val="24"/>
        </w:rPr>
        <w:t xml:space="preserve"> l</w:t>
      </w:r>
      <w:r w:rsidR="008A28A0">
        <w:rPr>
          <w:szCs w:val="24"/>
        </w:rPr>
        <w:t>a temperatura de la emulsión a la salida de la celda</w:t>
      </w:r>
      <w:r w:rsidR="00134D6D">
        <w:rPr>
          <w:szCs w:val="24"/>
        </w:rPr>
        <w:t xml:space="preserve"> de tratamiento</w:t>
      </w:r>
      <w:r w:rsidR="008A28A0">
        <w:rPr>
          <w:szCs w:val="24"/>
        </w:rPr>
        <w:t xml:space="preserve"> se incrementó progresivamen</w:t>
      </w:r>
      <w:r w:rsidR="00E95F95">
        <w:rPr>
          <w:szCs w:val="24"/>
        </w:rPr>
        <w:t xml:space="preserve">te </w:t>
      </w:r>
      <w:r w:rsidR="007E69FF">
        <w:rPr>
          <w:szCs w:val="24"/>
        </w:rPr>
        <w:t xml:space="preserve">conforme se recolectaban los volúmenes de muestra. Sin embargo la temperatura alcanzó un valor constante de 71°C </w:t>
      </w:r>
      <w:r w:rsidR="00134D6D">
        <w:rPr>
          <w:szCs w:val="24"/>
        </w:rPr>
        <w:t>y 65º</w:t>
      </w:r>
      <w:r w:rsidR="00E95F95">
        <w:rPr>
          <w:szCs w:val="24"/>
        </w:rPr>
        <w:t xml:space="preserve">C </w:t>
      </w:r>
      <w:r w:rsidR="007E69FF">
        <w:rPr>
          <w:szCs w:val="24"/>
        </w:rPr>
        <w:t xml:space="preserve">para </w:t>
      </w:r>
      <w:r w:rsidR="007D565B">
        <w:rPr>
          <w:szCs w:val="24"/>
        </w:rPr>
        <w:t xml:space="preserve">anillos de vidrio y esferas de polietileno respectivamente. </w:t>
      </w:r>
    </w:p>
    <w:p w:rsidR="00833B88" w:rsidRDefault="007D565B" w:rsidP="007D565B">
      <w:pPr>
        <w:spacing w:line="360" w:lineRule="auto"/>
        <w:jc w:val="both"/>
        <w:rPr>
          <w:szCs w:val="24"/>
        </w:rPr>
      </w:pPr>
      <w:r>
        <w:rPr>
          <w:szCs w:val="24"/>
        </w:rPr>
        <w:t>Se calculó a continuación una temperatura promedio en la celda de tratamiento.</w:t>
      </w:r>
      <w:r w:rsidR="00275A31">
        <w:rPr>
          <w:szCs w:val="24"/>
        </w:rPr>
        <w:t xml:space="preserve"> En la</w:t>
      </w:r>
      <w:r w:rsidR="00785C7D">
        <w:rPr>
          <w:szCs w:val="24"/>
        </w:rPr>
        <w:t xml:space="preserve"> figura Nº</w:t>
      </w:r>
      <w:r w:rsidR="00BB3816">
        <w:rPr>
          <w:szCs w:val="24"/>
        </w:rPr>
        <w:t xml:space="preserve"> 4</w:t>
      </w:r>
      <w:r w:rsidR="000C6E45">
        <w:rPr>
          <w:szCs w:val="24"/>
        </w:rPr>
        <w:t>4</w:t>
      </w:r>
      <w:r w:rsidR="00785C7D">
        <w:rPr>
          <w:szCs w:val="24"/>
        </w:rPr>
        <w:t xml:space="preserve"> se </w:t>
      </w:r>
      <w:r w:rsidR="009D71A1">
        <w:rPr>
          <w:szCs w:val="24"/>
        </w:rPr>
        <w:t xml:space="preserve">presentan los valores de </w:t>
      </w:r>
      <w:r w:rsidR="00051D4F">
        <w:rPr>
          <w:szCs w:val="24"/>
        </w:rPr>
        <w:t xml:space="preserve">esta </w:t>
      </w:r>
      <w:r w:rsidR="009D71A1">
        <w:rPr>
          <w:szCs w:val="24"/>
        </w:rPr>
        <w:t xml:space="preserve">temperatura </w:t>
      </w:r>
      <w:r w:rsidR="00051D4F">
        <w:rPr>
          <w:szCs w:val="24"/>
        </w:rPr>
        <w:t xml:space="preserve">promedio </w:t>
      </w:r>
      <w:r w:rsidR="009D71A1">
        <w:rPr>
          <w:szCs w:val="24"/>
        </w:rPr>
        <w:t>en la celda para los dos medios utilizados</w:t>
      </w:r>
      <w:r w:rsidR="00785C7D">
        <w:rPr>
          <w:szCs w:val="24"/>
        </w:rPr>
        <w:t>.</w:t>
      </w:r>
    </w:p>
    <w:p w:rsidR="00275A31" w:rsidRDefault="00E1205E" w:rsidP="00785C7D">
      <w:pPr>
        <w:spacing w:line="360" w:lineRule="auto"/>
        <w:jc w:val="both"/>
        <w:rPr>
          <w:szCs w:val="24"/>
        </w:rPr>
      </w:pPr>
      <w:r w:rsidRPr="00E1205E">
        <w:rPr>
          <w:noProof/>
          <w:szCs w:val="24"/>
          <w:lang w:val="en-US" w:eastAsia="en-US"/>
        </w:rPr>
        <w:lastRenderedPageBreak/>
        <w:drawing>
          <wp:inline distT="0" distB="0" distL="0" distR="0">
            <wp:extent cx="4933507" cy="2834640"/>
            <wp:effectExtent l="0" t="0" r="0" b="0"/>
            <wp:docPr id="22"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33B88" w:rsidRPr="00F21237" w:rsidRDefault="00A275D5" w:rsidP="00A275D5">
      <w:pPr>
        <w:pStyle w:val="Epgrafe"/>
        <w:spacing w:line="360" w:lineRule="auto"/>
      </w:pPr>
      <w:bookmarkStart w:id="157" w:name="_Toc327481456"/>
      <w:r>
        <w:t xml:space="preserve">Figura N° </w:t>
      </w:r>
      <w:fldSimple w:instr=" SEQ Figura_N° \* ARABIC ">
        <w:r w:rsidR="004A5F6F">
          <w:rPr>
            <w:noProof/>
          </w:rPr>
          <w:t>44</w:t>
        </w:r>
      </w:fldSimple>
      <w:r>
        <w:t>:</w:t>
      </w:r>
      <w:r w:rsidR="00F21237" w:rsidRPr="00F21237">
        <w:t xml:space="preserve"> Perfil estimado de temperatura en la celda de aplicación de campo eléctrico para anillos de vidrio y </w:t>
      </w:r>
      <w:r w:rsidR="00785C7D">
        <w:t xml:space="preserve">esferas de </w:t>
      </w:r>
      <w:r w:rsidR="00F21237" w:rsidRPr="00F21237">
        <w:t>polietileno.</w:t>
      </w:r>
      <w:bookmarkEnd w:id="157"/>
    </w:p>
    <w:p w:rsidR="00020E80" w:rsidRDefault="00F21237" w:rsidP="00785C7D">
      <w:pPr>
        <w:spacing w:before="240" w:line="360" w:lineRule="auto"/>
        <w:jc w:val="both"/>
        <w:rPr>
          <w:szCs w:val="24"/>
        </w:rPr>
      </w:pPr>
      <w:r>
        <w:rPr>
          <w:szCs w:val="24"/>
        </w:rPr>
        <w:tab/>
      </w:r>
      <w:r w:rsidR="00785C7D">
        <w:rPr>
          <w:szCs w:val="24"/>
        </w:rPr>
        <w:t xml:space="preserve">El aumento de temperatura </w:t>
      </w:r>
      <w:r w:rsidR="00020E80">
        <w:rPr>
          <w:szCs w:val="24"/>
        </w:rPr>
        <w:t xml:space="preserve">puede </w:t>
      </w:r>
      <w:r w:rsidR="00BE7198">
        <w:rPr>
          <w:szCs w:val="24"/>
        </w:rPr>
        <w:t>corresponder</w:t>
      </w:r>
      <w:r w:rsidR="00020E80">
        <w:rPr>
          <w:szCs w:val="24"/>
        </w:rPr>
        <w:t xml:space="preserve"> principalmente a la presencia de corrientes de distribución</w:t>
      </w:r>
      <w:r w:rsidR="00E66E13">
        <w:rPr>
          <w:szCs w:val="24"/>
        </w:rPr>
        <w:t xml:space="preserve"> en la celda</w:t>
      </w:r>
      <w:r w:rsidR="00020E80">
        <w:rPr>
          <w:szCs w:val="24"/>
        </w:rPr>
        <w:t>.</w:t>
      </w:r>
      <w:r w:rsidR="00E66E13">
        <w:rPr>
          <w:szCs w:val="24"/>
        </w:rPr>
        <w:t xml:space="preserve"> Sin embargo,</w:t>
      </w:r>
      <w:r w:rsidR="00BE7198">
        <w:rPr>
          <w:szCs w:val="24"/>
        </w:rPr>
        <w:t xml:space="preserve"> a mayor tiempo de residencia de la emulsión en la celda, mayor será el </w:t>
      </w:r>
      <w:r w:rsidR="00CF7241">
        <w:rPr>
          <w:szCs w:val="24"/>
        </w:rPr>
        <w:t xml:space="preserve">incremento </w:t>
      </w:r>
      <w:r w:rsidR="00BE7198">
        <w:rPr>
          <w:szCs w:val="24"/>
        </w:rPr>
        <w:t>de</w:t>
      </w:r>
      <w:r w:rsidR="00CF7241">
        <w:rPr>
          <w:szCs w:val="24"/>
        </w:rPr>
        <w:t xml:space="preserve"> la</w:t>
      </w:r>
      <w:r w:rsidR="00BE7198">
        <w:rPr>
          <w:szCs w:val="24"/>
        </w:rPr>
        <w:t xml:space="preserve"> temperatura. </w:t>
      </w:r>
    </w:p>
    <w:p w:rsidR="002D017C" w:rsidRDefault="00A97663" w:rsidP="00AF773C">
      <w:pPr>
        <w:spacing w:line="360" w:lineRule="auto"/>
        <w:jc w:val="both"/>
        <w:rPr>
          <w:szCs w:val="24"/>
        </w:rPr>
      </w:pPr>
      <w:r>
        <w:rPr>
          <w:szCs w:val="24"/>
        </w:rPr>
        <w:tab/>
      </w:r>
      <w:r w:rsidR="00AF773C">
        <w:rPr>
          <w:szCs w:val="24"/>
        </w:rPr>
        <w:t>A</w:t>
      </w:r>
      <w:r w:rsidR="00D44021">
        <w:rPr>
          <w:szCs w:val="24"/>
        </w:rPr>
        <w:t xml:space="preserve"> continuación, se </w:t>
      </w:r>
      <w:r w:rsidR="00956E55">
        <w:rPr>
          <w:szCs w:val="24"/>
        </w:rPr>
        <w:t xml:space="preserve">presentan </w:t>
      </w:r>
      <w:r w:rsidR="00D44021">
        <w:rPr>
          <w:szCs w:val="24"/>
        </w:rPr>
        <w:t xml:space="preserve">los tiempos </w:t>
      </w:r>
      <w:r w:rsidR="00AF773C">
        <w:rPr>
          <w:szCs w:val="24"/>
        </w:rPr>
        <w:t>de residencia calculados</w:t>
      </w:r>
      <w:r w:rsidR="00D44021">
        <w:rPr>
          <w:szCs w:val="24"/>
        </w:rPr>
        <w:t xml:space="preserve"> para cada una de las pruebas</w:t>
      </w:r>
      <w:r w:rsidR="00AF773C">
        <w:rPr>
          <w:szCs w:val="24"/>
        </w:rPr>
        <w:t xml:space="preserve"> realizadas</w:t>
      </w:r>
      <w:r w:rsidR="002D017C">
        <w:rPr>
          <w:szCs w:val="24"/>
        </w:rPr>
        <w:t xml:space="preserve">. </w:t>
      </w:r>
    </w:p>
    <w:p w:rsidR="00BB3816" w:rsidRDefault="00BB3816" w:rsidP="00AF773C">
      <w:pPr>
        <w:spacing w:line="360" w:lineRule="auto"/>
        <w:jc w:val="both"/>
        <w:rPr>
          <w:szCs w:val="24"/>
        </w:rPr>
      </w:pPr>
    </w:p>
    <w:p w:rsidR="00D44021" w:rsidRDefault="002378BE" w:rsidP="00BF6EBD">
      <w:pPr>
        <w:jc w:val="center"/>
        <w:rPr>
          <w:szCs w:val="24"/>
        </w:rPr>
      </w:pPr>
      <w:r w:rsidRPr="002378BE">
        <w:rPr>
          <w:noProof/>
          <w:szCs w:val="24"/>
          <w:lang w:val="en-US" w:eastAsia="en-US"/>
        </w:rPr>
        <w:lastRenderedPageBreak/>
        <w:drawing>
          <wp:inline distT="0" distB="0" distL="0" distR="0">
            <wp:extent cx="5559552" cy="3040912"/>
            <wp:effectExtent l="0" t="0" r="0" b="0"/>
            <wp:docPr id="62"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21237" w:rsidRDefault="00BB3816" w:rsidP="00BB3816">
      <w:pPr>
        <w:pStyle w:val="Epgrafe"/>
        <w:rPr>
          <w:szCs w:val="24"/>
        </w:rPr>
      </w:pPr>
      <w:bookmarkStart w:id="158" w:name="_Toc327481457"/>
      <w:r>
        <w:t xml:space="preserve">Figura N° </w:t>
      </w:r>
      <w:fldSimple w:instr=" SEQ Figura_N° \* ARABIC ">
        <w:r w:rsidR="004A5F6F">
          <w:rPr>
            <w:noProof/>
          </w:rPr>
          <w:t>45</w:t>
        </w:r>
      </w:fldSimple>
      <w:r w:rsidR="00F21237">
        <w:t>: Tiempo de residencia estimado para las pruebas realizadas empleando anillos de vidrio y polietileno.</w:t>
      </w:r>
      <w:bookmarkEnd w:id="158"/>
    </w:p>
    <w:p w:rsidR="00010B1E" w:rsidRDefault="003E68B0" w:rsidP="00AF773C">
      <w:pPr>
        <w:spacing w:line="360" w:lineRule="auto"/>
        <w:jc w:val="both"/>
        <w:rPr>
          <w:szCs w:val="24"/>
        </w:rPr>
      </w:pPr>
      <w:r>
        <w:rPr>
          <w:szCs w:val="24"/>
        </w:rPr>
        <w:tab/>
      </w:r>
      <w:r w:rsidR="00CF7241">
        <w:rPr>
          <w:szCs w:val="24"/>
        </w:rPr>
        <w:t xml:space="preserve">En la gráfica se observa que el tiempo de residencia de la emulsión en la celda es superior para anillos de vidrio que para esferas de polietileno. </w:t>
      </w:r>
      <w:r w:rsidR="00010B1E">
        <w:rPr>
          <w:szCs w:val="24"/>
        </w:rPr>
        <w:t>Esto explica</w:t>
      </w:r>
      <w:r w:rsidR="000966BA">
        <w:rPr>
          <w:szCs w:val="24"/>
        </w:rPr>
        <w:t xml:space="preserve">ría, en parte, </w:t>
      </w:r>
      <w:r w:rsidR="00010B1E">
        <w:rPr>
          <w:szCs w:val="24"/>
        </w:rPr>
        <w:t xml:space="preserve">la diferencia de temperaturas alcanzadas en la celda para cada </w:t>
      </w:r>
      <w:r w:rsidR="000966BA">
        <w:rPr>
          <w:szCs w:val="24"/>
        </w:rPr>
        <w:t>una de las experiencias.</w:t>
      </w:r>
    </w:p>
    <w:p w:rsidR="000966BA" w:rsidRDefault="000966BA" w:rsidP="00AF773C">
      <w:pPr>
        <w:spacing w:line="360" w:lineRule="auto"/>
        <w:jc w:val="both"/>
        <w:rPr>
          <w:szCs w:val="24"/>
        </w:rPr>
      </w:pPr>
      <w:r>
        <w:rPr>
          <w:szCs w:val="24"/>
        </w:rPr>
        <w:tab/>
      </w:r>
      <w:r w:rsidR="00010B1E">
        <w:rPr>
          <w:szCs w:val="24"/>
        </w:rPr>
        <w:t xml:space="preserve">Esta información resulta sumamente útil si se desea estimar cual de los dos medios coalescedores empleados promovió mejor la desestabilización. </w:t>
      </w:r>
    </w:p>
    <w:p w:rsidR="000966BA" w:rsidRDefault="000966BA" w:rsidP="000966BA">
      <w:pPr>
        <w:spacing w:line="360" w:lineRule="auto"/>
        <w:jc w:val="both"/>
        <w:rPr>
          <w:szCs w:val="24"/>
        </w:rPr>
      </w:pPr>
      <w:r>
        <w:rPr>
          <w:szCs w:val="24"/>
        </w:rPr>
        <w:tab/>
        <w:t>L</w:t>
      </w:r>
      <w:r w:rsidR="00010B1E" w:rsidRPr="000966BA">
        <w:rPr>
          <w:szCs w:val="24"/>
        </w:rPr>
        <w:t>os factores de desestabilización (FD) para cada experiencia no difieren en gran medida</w:t>
      </w:r>
      <w:r>
        <w:rPr>
          <w:szCs w:val="24"/>
        </w:rPr>
        <w:t xml:space="preserve">. Sin embargo la desestabilización ocurre más rápido cuando se utilizan esferas de polietileno que anillos de vidrio. Resulta complicado entonces determinar cuál de los medios promueve mejor la desestabilización debido a que cada medio produjo resultados bastantes satisfactorios. </w:t>
      </w:r>
    </w:p>
    <w:p w:rsidR="00FF26AF" w:rsidRDefault="00FF26AF" w:rsidP="000966BA">
      <w:pPr>
        <w:spacing w:line="360" w:lineRule="auto"/>
        <w:jc w:val="both"/>
        <w:rPr>
          <w:szCs w:val="24"/>
        </w:rPr>
      </w:pPr>
    </w:p>
    <w:p w:rsidR="00BE1B69" w:rsidRDefault="000966BA" w:rsidP="000966BA">
      <w:pPr>
        <w:spacing w:line="360" w:lineRule="auto"/>
        <w:jc w:val="both"/>
        <w:rPr>
          <w:szCs w:val="24"/>
        </w:rPr>
      </w:pPr>
      <w:r>
        <w:rPr>
          <w:szCs w:val="24"/>
        </w:rPr>
        <w:tab/>
      </w:r>
      <w:r w:rsidR="00BE1B69">
        <w:rPr>
          <w:szCs w:val="24"/>
        </w:rPr>
        <w:t>Po</w:t>
      </w:r>
      <w:r w:rsidR="00C921EE">
        <w:rPr>
          <w:szCs w:val="24"/>
        </w:rPr>
        <w:t>r</w:t>
      </w:r>
      <w:r w:rsidR="00BE1B69">
        <w:rPr>
          <w:szCs w:val="24"/>
        </w:rPr>
        <w:t xml:space="preserve"> </w:t>
      </w:r>
      <w:r w:rsidR="003E68B0">
        <w:rPr>
          <w:szCs w:val="24"/>
        </w:rPr>
        <w:t>último</w:t>
      </w:r>
      <w:r w:rsidR="00BE1B69">
        <w:rPr>
          <w:szCs w:val="24"/>
        </w:rPr>
        <w:t xml:space="preserve">, se presentan las distribuciones de diámetros de gotas para una fracción acumulada de 10, 50 y 90%, luego de someter las muestras </w:t>
      </w:r>
      <w:r>
        <w:rPr>
          <w:szCs w:val="24"/>
        </w:rPr>
        <w:t xml:space="preserve">a campo eléctrico y centrifugación. El muestreo para el análisis microscópico se realizó tomando </w:t>
      </w:r>
      <w:r w:rsidR="00C94C4F">
        <w:rPr>
          <w:szCs w:val="24"/>
        </w:rPr>
        <w:t xml:space="preserve">un gota de crudo de la parte superior de la muestra, es decir, de la fase orgánica </w:t>
      </w:r>
      <w:r w:rsidR="00FF26AF">
        <w:rPr>
          <w:szCs w:val="24"/>
        </w:rPr>
        <w:t>con menor contenido de agua.</w:t>
      </w:r>
    </w:p>
    <w:p w:rsidR="00C87324" w:rsidRDefault="002C2C0B" w:rsidP="00070023">
      <w:pPr>
        <w:jc w:val="center"/>
        <w:rPr>
          <w:szCs w:val="24"/>
        </w:rPr>
      </w:pPr>
      <w:r w:rsidRPr="002C2C0B">
        <w:rPr>
          <w:noProof/>
          <w:szCs w:val="24"/>
          <w:lang w:val="en-US" w:eastAsia="en-US"/>
        </w:rPr>
        <w:lastRenderedPageBreak/>
        <w:drawing>
          <wp:inline distT="0" distB="0" distL="0" distR="0">
            <wp:extent cx="5555412" cy="3045124"/>
            <wp:effectExtent l="0" t="0" r="0" b="0"/>
            <wp:docPr id="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B73A3" w:rsidRPr="009B73A3" w:rsidRDefault="002C2C0B" w:rsidP="009B73A3">
      <w:pPr>
        <w:spacing w:line="360" w:lineRule="auto"/>
        <w:jc w:val="center"/>
        <w:rPr>
          <w:szCs w:val="24"/>
        </w:rPr>
      </w:pPr>
      <w:r>
        <w:rPr>
          <w:szCs w:val="24"/>
        </w:rPr>
        <w:t xml:space="preserve">    </w:t>
      </w:r>
      <w:r w:rsidR="00FF26AF">
        <w:rPr>
          <w:szCs w:val="24"/>
        </w:rPr>
        <w:t>(a)</w:t>
      </w:r>
    </w:p>
    <w:p w:rsidR="00070023" w:rsidRDefault="002C2C0B" w:rsidP="00070023">
      <w:pPr>
        <w:jc w:val="center"/>
        <w:rPr>
          <w:szCs w:val="24"/>
        </w:rPr>
      </w:pPr>
      <w:r w:rsidRPr="002C2C0B">
        <w:rPr>
          <w:noProof/>
          <w:szCs w:val="24"/>
          <w:lang w:val="en-US" w:eastAsia="en-US"/>
        </w:rPr>
        <w:drawing>
          <wp:inline distT="0" distB="0" distL="0" distR="0">
            <wp:extent cx="5555412" cy="3045124"/>
            <wp:effectExtent l="0" t="0" r="0" b="0"/>
            <wp:docPr id="3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F26AF" w:rsidRDefault="002C2C0B" w:rsidP="0091382E">
      <w:pPr>
        <w:tabs>
          <w:tab w:val="left" w:pos="1755"/>
        </w:tabs>
        <w:jc w:val="center"/>
        <w:rPr>
          <w:sz w:val="20"/>
        </w:rPr>
      </w:pPr>
      <w:r>
        <w:rPr>
          <w:sz w:val="20"/>
        </w:rPr>
        <w:t xml:space="preserve">      </w:t>
      </w:r>
      <w:r w:rsidR="00FF26AF">
        <w:rPr>
          <w:sz w:val="20"/>
        </w:rPr>
        <w:t>(b)</w:t>
      </w:r>
    </w:p>
    <w:p w:rsidR="00FF26AF" w:rsidRDefault="00FF26AF" w:rsidP="0091382E">
      <w:pPr>
        <w:tabs>
          <w:tab w:val="left" w:pos="1755"/>
        </w:tabs>
        <w:jc w:val="center"/>
        <w:rPr>
          <w:sz w:val="20"/>
        </w:rPr>
      </w:pPr>
    </w:p>
    <w:p w:rsidR="00070023" w:rsidRDefault="00070023" w:rsidP="00070023">
      <w:pPr>
        <w:tabs>
          <w:tab w:val="left" w:pos="1755"/>
        </w:tabs>
        <w:jc w:val="both"/>
        <w:rPr>
          <w:szCs w:val="24"/>
        </w:rPr>
      </w:pPr>
    </w:p>
    <w:p w:rsidR="00C921EE" w:rsidRDefault="00C921EE" w:rsidP="00070023">
      <w:pPr>
        <w:tabs>
          <w:tab w:val="left" w:pos="1755"/>
        </w:tabs>
        <w:jc w:val="both"/>
        <w:rPr>
          <w:szCs w:val="24"/>
        </w:rPr>
      </w:pPr>
    </w:p>
    <w:p w:rsidR="00C87324" w:rsidRDefault="002C2C0B" w:rsidP="00070023">
      <w:pPr>
        <w:jc w:val="center"/>
        <w:rPr>
          <w:szCs w:val="24"/>
        </w:rPr>
      </w:pPr>
      <w:r w:rsidRPr="002C2C0B">
        <w:rPr>
          <w:noProof/>
          <w:szCs w:val="24"/>
          <w:lang w:val="en-US" w:eastAsia="en-US"/>
        </w:rPr>
        <w:lastRenderedPageBreak/>
        <w:drawing>
          <wp:inline distT="0" distB="0" distL="0" distR="0">
            <wp:extent cx="5550195" cy="3040912"/>
            <wp:effectExtent l="0" t="0" r="0" b="0"/>
            <wp:docPr id="3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F26AF" w:rsidRDefault="002C2C0B" w:rsidP="0091382E">
      <w:pPr>
        <w:tabs>
          <w:tab w:val="left" w:pos="1755"/>
        </w:tabs>
        <w:jc w:val="center"/>
        <w:rPr>
          <w:sz w:val="20"/>
        </w:rPr>
      </w:pPr>
      <w:r>
        <w:rPr>
          <w:sz w:val="20"/>
        </w:rPr>
        <w:t xml:space="preserve"> </w:t>
      </w:r>
      <w:r w:rsidR="00962EE2">
        <w:rPr>
          <w:sz w:val="20"/>
        </w:rPr>
        <w:t xml:space="preserve"> </w:t>
      </w:r>
      <w:r>
        <w:rPr>
          <w:sz w:val="20"/>
        </w:rPr>
        <w:t xml:space="preserve"> </w:t>
      </w:r>
      <w:r w:rsidR="00FF26AF">
        <w:rPr>
          <w:sz w:val="20"/>
        </w:rPr>
        <w:t>(c)</w:t>
      </w:r>
    </w:p>
    <w:p w:rsidR="00FF26AF" w:rsidRDefault="00FF26AF" w:rsidP="0091382E">
      <w:pPr>
        <w:tabs>
          <w:tab w:val="left" w:pos="1755"/>
        </w:tabs>
        <w:jc w:val="center"/>
        <w:rPr>
          <w:sz w:val="20"/>
        </w:rPr>
      </w:pPr>
    </w:p>
    <w:p w:rsidR="00070023" w:rsidRDefault="002C2C0B" w:rsidP="00070023">
      <w:pPr>
        <w:jc w:val="center"/>
        <w:rPr>
          <w:szCs w:val="24"/>
        </w:rPr>
      </w:pPr>
      <w:r w:rsidRPr="002C2C0B">
        <w:rPr>
          <w:noProof/>
          <w:szCs w:val="24"/>
          <w:lang w:val="en-US" w:eastAsia="en-US"/>
        </w:rPr>
        <w:drawing>
          <wp:inline distT="0" distB="0" distL="0" distR="0">
            <wp:extent cx="5248910" cy="2827096"/>
            <wp:effectExtent l="0" t="0" r="0" b="0"/>
            <wp:docPr id="3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F26AF" w:rsidRDefault="002C2C0B" w:rsidP="00C94C4F">
      <w:pPr>
        <w:tabs>
          <w:tab w:val="left" w:pos="1755"/>
        </w:tabs>
        <w:spacing w:line="360" w:lineRule="auto"/>
        <w:jc w:val="center"/>
        <w:rPr>
          <w:sz w:val="20"/>
        </w:rPr>
      </w:pPr>
      <w:r>
        <w:rPr>
          <w:sz w:val="20"/>
        </w:rPr>
        <w:t xml:space="preserve">      </w:t>
      </w:r>
      <w:r w:rsidR="00962EE2">
        <w:rPr>
          <w:sz w:val="20"/>
        </w:rPr>
        <w:t xml:space="preserve"> </w:t>
      </w:r>
      <w:r w:rsidR="00FF26AF">
        <w:rPr>
          <w:sz w:val="20"/>
        </w:rPr>
        <w:t>(d)</w:t>
      </w:r>
    </w:p>
    <w:p w:rsidR="0091382E" w:rsidRDefault="00A275D5" w:rsidP="00A275D5">
      <w:pPr>
        <w:pStyle w:val="Epgrafe"/>
        <w:spacing w:line="360" w:lineRule="auto"/>
        <w:rPr>
          <w:szCs w:val="24"/>
        </w:rPr>
      </w:pPr>
      <w:bookmarkStart w:id="159" w:name="_Toc327481458"/>
      <w:r>
        <w:t xml:space="preserve">Figura N° </w:t>
      </w:r>
      <w:fldSimple w:instr=" SEQ Figura_N° \* ARABIC ">
        <w:r w:rsidR="004A5F6F">
          <w:rPr>
            <w:noProof/>
          </w:rPr>
          <w:t>46</w:t>
        </w:r>
      </w:fldSimple>
      <w:r>
        <w:t>:</w:t>
      </w:r>
      <w:r w:rsidR="0091382E" w:rsidRPr="0017152B">
        <w:t xml:space="preserve"> Distribución de diámetro de gotas para una fracción acumulada del 10, 50 y 90%. </w:t>
      </w:r>
      <w:r w:rsidR="007770E8">
        <w:t>Merey-31</w:t>
      </w:r>
      <w:r w:rsidR="0091382E" w:rsidRPr="0017152B">
        <w:t>. Campo eléctrico DC</w:t>
      </w:r>
      <w:r w:rsidR="0091382E">
        <w:t xml:space="preserve"> y centrifugación</w:t>
      </w:r>
      <w:r w:rsidR="003E68B0">
        <w:t xml:space="preserve"> (5 min a 270</w:t>
      </w:r>
      <w:r w:rsidR="00FF26AF">
        <w:t>0</w:t>
      </w:r>
      <w:r w:rsidR="003E68B0">
        <w:t xml:space="preserve"> rpm)</w:t>
      </w:r>
      <w:r w:rsidR="0091382E" w:rsidRPr="0017152B">
        <w:t xml:space="preserve">. </w:t>
      </w:r>
      <w:r w:rsidR="00FF26AF">
        <w:t>(a) Anillos de vidrio, 5 X. (b) Anillos de vidrio, 20 X. (c) Esferas de polietileno, 5 X. (d) Esferas de polietileno, 20 X.</w:t>
      </w:r>
      <w:bookmarkEnd w:id="159"/>
    </w:p>
    <w:p w:rsidR="00E95F0D" w:rsidRDefault="00B02253" w:rsidP="00A275D5">
      <w:pPr>
        <w:spacing w:before="240" w:line="360" w:lineRule="auto"/>
        <w:jc w:val="both"/>
        <w:rPr>
          <w:szCs w:val="24"/>
        </w:rPr>
      </w:pPr>
      <w:r>
        <w:rPr>
          <w:szCs w:val="24"/>
        </w:rPr>
        <w:tab/>
      </w:r>
      <w:r w:rsidR="003E68B0" w:rsidRPr="00B02253">
        <w:rPr>
          <w:szCs w:val="24"/>
        </w:rPr>
        <w:t>Al igual que en las distribuciones</w:t>
      </w:r>
      <w:r w:rsidR="0023692B">
        <w:rPr>
          <w:szCs w:val="24"/>
        </w:rPr>
        <w:t xml:space="preserve"> de tamaño de gotas</w:t>
      </w:r>
      <w:r w:rsidR="003E68B0" w:rsidRPr="00B02253">
        <w:rPr>
          <w:szCs w:val="24"/>
        </w:rPr>
        <w:t xml:space="preserve"> </w:t>
      </w:r>
      <w:r w:rsidR="00FF26AF">
        <w:rPr>
          <w:szCs w:val="24"/>
        </w:rPr>
        <w:t xml:space="preserve">trazadas en función de los conteos realizados luego de aplicado el campo eléctrico, éstas distribuciones </w:t>
      </w:r>
      <w:r w:rsidR="00FF26AF">
        <w:rPr>
          <w:szCs w:val="24"/>
        </w:rPr>
        <w:lastRenderedPageBreak/>
        <w:t>presentan el mismo comportamiento</w:t>
      </w:r>
      <w:r w:rsidR="003139AB" w:rsidRPr="00B02253">
        <w:rPr>
          <w:szCs w:val="24"/>
        </w:rPr>
        <w:t>.</w:t>
      </w:r>
      <w:r w:rsidR="00FF26AF">
        <w:rPr>
          <w:szCs w:val="24"/>
        </w:rPr>
        <w:t xml:space="preserve"> Sin embargo</w:t>
      </w:r>
      <w:r w:rsidR="00E95F0D">
        <w:rPr>
          <w:szCs w:val="24"/>
        </w:rPr>
        <w:t>,</w:t>
      </w:r>
      <w:r w:rsidR="00FF26AF">
        <w:rPr>
          <w:szCs w:val="24"/>
        </w:rPr>
        <w:t xml:space="preserve"> la cantidad de agua en las muestras disminuyó significativamente. </w:t>
      </w:r>
    </w:p>
    <w:p w:rsidR="00E95F0D" w:rsidRDefault="00E95F0D" w:rsidP="00FD7D95">
      <w:pPr>
        <w:spacing w:line="360" w:lineRule="auto"/>
        <w:jc w:val="both"/>
        <w:rPr>
          <w:szCs w:val="24"/>
        </w:rPr>
      </w:pPr>
      <w:r>
        <w:rPr>
          <w:szCs w:val="24"/>
        </w:rPr>
        <w:tab/>
      </w:r>
      <w:r w:rsidR="00814C54">
        <w:rPr>
          <w:szCs w:val="24"/>
        </w:rPr>
        <w:t>L</w:t>
      </w:r>
      <w:r w:rsidR="00555CE1">
        <w:rPr>
          <w:szCs w:val="24"/>
        </w:rPr>
        <w:t>a distribución de</w:t>
      </w:r>
      <w:r w:rsidR="00814C54">
        <w:rPr>
          <w:szCs w:val="24"/>
        </w:rPr>
        <w:t xml:space="preserve"> tamaños de gota permanec</w:t>
      </w:r>
      <w:r w:rsidR="00555CE1">
        <w:rPr>
          <w:szCs w:val="24"/>
        </w:rPr>
        <w:t xml:space="preserve">ió </w:t>
      </w:r>
      <w:r w:rsidR="00814C54">
        <w:rPr>
          <w:szCs w:val="24"/>
        </w:rPr>
        <w:t>inalterable cuando se somet</w:t>
      </w:r>
      <w:r w:rsidR="00555CE1">
        <w:rPr>
          <w:szCs w:val="24"/>
        </w:rPr>
        <w:t>ió</w:t>
      </w:r>
      <w:r w:rsidR="00814C54">
        <w:rPr>
          <w:szCs w:val="24"/>
        </w:rPr>
        <w:t xml:space="preserve"> la emulsión a únicamente</w:t>
      </w:r>
      <w:r>
        <w:rPr>
          <w:szCs w:val="24"/>
        </w:rPr>
        <w:t xml:space="preserve"> centrifugación, es decir, el efecto centrífugo solo afecta considerablemente la emulsión si esta ha sido tratada con campo eléctrico previamente.</w:t>
      </w:r>
    </w:p>
    <w:p w:rsidR="00E95F0D" w:rsidRPr="00B648FC" w:rsidRDefault="00E95F0D" w:rsidP="00E95F0D">
      <w:pPr>
        <w:spacing w:line="360" w:lineRule="auto"/>
        <w:jc w:val="both"/>
        <w:rPr>
          <w:szCs w:val="24"/>
        </w:rPr>
      </w:pPr>
      <w:r>
        <w:rPr>
          <w:szCs w:val="24"/>
        </w:rPr>
        <w:tab/>
        <w:t xml:space="preserve">A continuación </w:t>
      </w:r>
      <w:r w:rsidR="00176468">
        <w:rPr>
          <w:szCs w:val="24"/>
        </w:rPr>
        <w:t>en la siguiente figura, se presentan las</w:t>
      </w:r>
      <w:r>
        <w:rPr>
          <w:szCs w:val="24"/>
        </w:rPr>
        <w:t xml:space="preserve"> imágenes de la emulsión sin tratamiento y con tratamiento eléctrico y centrifugación</w:t>
      </w:r>
      <w:r w:rsidR="00176468">
        <w:rPr>
          <w:szCs w:val="24"/>
        </w:rPr>
        <w:t>, capturadas con el microscopio</w:t>
      </w:r>
      <w:r>
        <w:rPr>
          <w:szCs w:val="24"/>
        </w:rPr>
        <w:t xml:space="preserve">. </w:t>
      </w:r>
      <w:r w:rsidR="00A95F7D">
        <w:rPr>
          <w:szCs w:val="24"/>
        </w:rPr>
        <w:t>Se ha incluido una representación gráfica de la distribución de fases en la muestra para cada uno de los casos presentados.</w:t>
      </w:r>
    </w:p>
    <w:p w:rsidR="00E95F0D" w:rsidRDefault="00E95F0D" w:rsidP="00850B9E">
      <w:pPr>
        <w:spacing w:line="360" w:lineRule="auto"/>
        <w:jc w:val="both"/>
        <w:rPr>
          <w:szCs w:val="24"/>
        </w:rPr>
      </w:pPr>
    </w:p>
    <w:p w:rsidR="002C7AE1" w:rsidRDefault="002C7AE1" w:rsidP="00850B9E">
      <w:pPr>
        <w:jc w:val="both"/>
        <w:rPr>
          <w:sz w:val="20"/>
        </w:rPr>
      </w:pPr>
    </w:p>
    <w:p w:rsidR="002C7AE1" w:rsidRPr="00FD7D95" w:rsidRDefault="002C7AE1" w:rsidP="00850B9E">
      <w:pPr>
        <w:jc w:val="both"/>
        <w:rPr>
          <w:sz w:val="20"/>
        </w:rPr>
      </w:pPr>
    </w:p>
    <w:p w:rsidR="00827CE6" w:rsidRDefault="00827CE6" w:rsidP="00850B9E">
      <w:pPr>
        <w:jc w:val="both"/>
        <w:rPr>
          <w:b/>
          <w:szCs w:val="24"/>
        </w:rPr>
      </w:pPr>
    </w:p>
    <w:p w:rsidR="006B562A" w:rsidRDefault="006B562A" w:rsidP="00850B9E">
      <w:pPr>
        <w:jc w:val="both"/>
        <w:rPr>
          <w:sz w:val="20"/>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2C7AE1" w:rsidP="00850B9E">
      <w:pPr>
        <w:spacing w:line="360" w:lineRule="auto"/>
        <w:jc w:val="both"/>
        <w:rPr>
          <w:szCs w:val="24"/>
        </w:rPr>
      </w:pPr>
    </w:p>
    <w:p w:rsidR="002C7AE1" w:rsidRDefault="00A73CD2" w:rsidP="0023692B">
      <w:pPr>
        <w:spacing w:line="360" w:lineRule="auto"/>
        <w:ind w:firstLine="720"/>
        <w:jc w:val="both"/>
        <w:rPr>
          <w:szCs w:val="24"/>
        </w:rPr>
      </w:pPr>
      <w:r>
        <w:rPr>
          <w:noProof/>
          <w:szCs w:val="24"/>
          <w:lang w:val="en-US" w:eastAsia="en-US"/>
        </w:rPr>
        <w:lastRenderedPageBreak/>
        <w:pict>
          <v:shape id="_x0000_s1536" type="#_x0000_t202" style="position:absolute;left:0;text-align:left;margin-left:44.1pt;margin-top:468.5pt;width:327.3pt;height:18.7pt;z-index:251825664;mso-height-percent:200;mso-height-percent:200;mso-width-relative:margin;mso-height-relative:margin" filled="f" stroked="f">
            <v:textbox style="mso-next-textbox:#_x0000_s1536;mso-fit-shape-to-text:t">
              <w:txbxContent>
                <w:p w:rsidR="004134A0" w:rsidRPr="007E4E7D" w:rsidRDefault="004134A0" w:rsidP="007E4E7D">
                  <w:pPr>
                    <w:jc w:val="center"/>
                    <w:rPr>
                      <w:sz w:val="20"/>
                      <w:lang w:val="es-VE"/>
                    </w:rPr>
                  </w:pPr>
                  <w:r>
                    <w:rPr>
                      <w:sz w:val="20"/>
                      <w:lang w:val="es-VE"/>
                    </w:rPr>
                    <w:t>Esferas de polietileno. Aumento: 20 X</w:t>
                  </w:r>
                </w:p>
              </w:txbxContent>
            </v:textbox>
          </v:shape>
        </w:pict>
      </w:r>
      <w:r>
        <w:rPr>
          <w:noProof/>
          <w:szCs w:val="24"/>
          <w:lang w:val="en-US" w:eastAsia="en-US"/>
        </w:rPr>
        <w:pict>
          <v:shape id="_x0000_s1535" type="#_x0000_t202" style="position:absolute;left:0;text-align:left;margin-left:44.1pt;margin-top:348.95pt;width:327.3pt;height:18.7pt;z-index:251824640;mso-height-percent:200;mso-height-percent:200;mso-width-relative:margin;mso-height-relative:margin" filled="f" stroked="f">
            <v:textbox style="mso-next-textbox:#_x0000_s1535;mso-fit-shape-to-text:t">
              <w:txbxContent>
                <w:p w:rsidR="004134A0" w:rsidRPr="007E4E7D" w:rsidRDefault="004134A0" w:rsidP="007E4E7D">
                  <w:pPr>
                    <w:jc w:val="center"/>
                    <w:rPr>
                      <w:sz w:val="20"/>
                      <w:lang w:val="es-VE"/>
                    </w:rPr>
                  </w:pPr>
                  <w:r>
                    <w:rPr>
                      <w:sz w:val="20"/>
                      <w:lang w:val="es-VE"/>
                    </w:rPr>
                    <w:t>Anillos e vidrio. Aumento: 20 X</w:t>
                  </w:r>
                </w:p>
              </w:txbxContent>
            </v:textbox>
          </v:shape>
        </w:pict>
      </w:r>
      <w:r>
        <w:rPr>
          <w:noProof/>
          <w:szCs w:val="24"/>
          <w:lang w:val="en-US" w:eastAsia="en-US"/>
        </w:rPr>
        <w:pict>
          <v:shape id="_x0000_s1534" type="#_x0000_t202" style="position:absolute;left:0;text-align:left;margin-left:44.1pt;margin-top:225.6pt;width:327.3pt;height:18.7pt;z-index:251823616;mso-height-percent:200;mso-height-percent:200;mso-width-relative:margin;mso-height-relative:margin" filled="f" stroked="f">
            <v:textbox style="mso-next-textbox:#_x0000_s1534;mso-fit-shape-to-text:t">
              <w:txbxContent>
                <w:p w:rsidR="004134A0" w:rsidRPr="007E4E7D" w:rsidRDefault="004134A0" w:rsidP="007E4E7D">
                  <w:pPr>
                    <w:jc w:val="center"/>
                    <w:rPr>
                      <w:sz w:val="20"/>
                      <w:lang w:val="es-VE"/>
                    </w:rPr>
                  </w:pPr>
                  <w:r>
                    <w:rPr>
                      <w:sz w:val="20"/>
                      <w:lang w:val="es-VE"/>
                    </w:rPr>
                    <w:t>Esferas de polietileno. Aumento: 5 X</w:t>
                  </w:r>
                </w:p>
              </w:txbxContent>
            </v:textbox>
          </v:shape>
        </w:pict>
      </w:r>
      <w:r>
        <w:rPr>
          <w:noProof/>
          <w:szCs w:val="24"/>
          <w:lang w:val="en-US" w:eastAsia="en-US"/>
        </w:rPr>
        <w:pict>
          <v:shape id="_x0000_s1533" type="#_x0000_t202" style="position:absolute;left:0;text-align:left;margin-left:44.1pt;margin-top:105.35pt;width:327.3pt;height:18.7pt;z-index:251822592;mso-height-percent:200;mso-height-percent:200;mso-width-relative:margin;mso-height-relative:margin" filled="f" stroked="f">
            <v:textbox style="mso-next-textbox:#_x0000_s1533;mso-fit-shape-to-text:t">
              <w:txbxContent>
                <w:p w:rsidR="004134A0" w:rsidRPr="007E4E7D" w:rsidRDefault="004134A0" w:rsidP="007E4E7D">
                  <w:pPr>
                    <w:jc w:val="center"/>
                    <w:rPr>
                      <w:sz w:val="20"/>
                      <w:lang w:val="es-VE"/>
                    </w:rPr>
                  </w:pPr>
                  <w:r>
                    <w:rPr>
                      <w:sz w:val="20"/>
                      <w:lang w:val="es-VE"/>
                    </w:rPr>
                    <w:t>Anillos de vidrio. Aumento: 5 X</w:t>
                  </w:r>
                </w:p>
              </w:txbxContent>
            </v:textbox>
          </v:shape>
        </w:pict>
      </w:r>
      <w:r>
        <w:rPr>
          <w:noProof/>
          <w:szCs w:val="24"/>
          <w:lang w:val="en-US" w:eastAsia="en-US"/>
        </w:rPr>
        <w:pict>
          <v:shape id="_x0000_s1530" type="#_x0000_t202" style="position:absolute;left:0;text-align:left;margin-left:47.85pt;margin-top:81.05pt;width:98.2pt;height:17.55pt;z-index:251819520;mso-height-percent:200;mso-height-percent:200;mso-width-relative:margin;mso-height-relative:margin" filled="f" stroked="f">
            <v:textbox style="mso-next-textbox:#_x0000_s1530;mso-fit-shape-to-text:t">
              <w:txbxContent>
                <w:p w:rsidR="004134A0" w:rsidRPr="00850B9E" w:rsidRDefault="004134A0" w:rsidP="007E4E7D">
                  <w:pPr>
                    <w:jc w:val="center"/>
                    <w:rPr>
                      <w:b/>
                      <w:sz w:val="16"/>
                      <w:szCs w:val="16"/>
                      <w:lang w:val="es-VE"/>
                    </w:rPr>
                  </w:pPr>
                  <w:r w:rsidRPr="00850B9E">
                    <w:rPr>
                      <w:b/>
                      <w:sz w:val="16"/>
                      <w:szCs w:val="16"/>
                      <w:lang w:val="es-VE"/>
                    </w:rPr>
                    <w:t>Muestra sin tratar</w:t>
                  </w:r>
                </w:p>
              </w:txbxContent>
            </v:textbox>
          </v:shape>
        </w:pict>
      </w:r>
      <w:r>
        <w:rPr>
          <w:noProof/>
          <w:szCs w:val="24"/>
          <w:lang w:val="en-US" w:eastAsia="en-US"/>
        </w:rPr>
        <w:pict>
          <v:shape id="_x0000_s1532" type="#_x0000_t202" style="position:absolute;left:0;text-align:left;margin-left:240.6pt;margin-top:81.05pt;width:157.8pt;height:17.55pt;z-index:251821568;mso-height-percent:200;mso-height-percent:200;mso-width-relative:margin;mso-height-relative:margin" filled="f" stroked="f">
            <v:textbox style="mso-next-textbox:#_x0000_s1532;mso-fit-shape-to-text:t">
              <w:txbxContent>
                <w:p w:rsidR="004134A0" w:rsidRPr="00850B9E" w:rsidRDefault="004134A0" w:rsidP="007E4E7D">
                  <w:pPr>
                    <w:jc w:val="center"/>
                    <w:rPr>
                      <w:b/>
                      <w:sz w:val="16"/>
                      <w:szCs w:val="16"/>
                      <w:lang w:val="es-VE"/>
                    </w:rPr>
                  </w:pPr>
                  <w:r w:rsidRPr="00850B9E">
                    <w:rPr>
                      <w:b/>
                      <w:sz w:val="16"/>
                      <w:szCs w:val="16"/>
                      <w:lang w:val="es-VE"/>
                    </w:rPr>
                    <w:t>Campo DC + Centrifugación</w:t>
                  </w:r>
                </w:p>
              </w:txbxContent>
            </v:textbox>
          </v:shape>
        </w:pict>
      </w:r>
      <w:r>
        <w:rPr>
          <w:noProof/>
          <w:szCs w:val="24"/>
          <w:lang w:val="en-US" w:eastAsia="en-US"/>
        </w:rPr>
        <w:pict>
          <v:shape id="_x0000_s1531" type="#_x0000_t202" style="position:absolute;left:0;text-align:left;margin-left:166pt;margin-top:81.05pt;width:85.05pt;height:17.55pt;z-index:251820544;mso-height-percent:200;mso-height-percent:200;mso-width-relative:margin;mso-height-relative:margin" filled="f" stroked="f">
            <v:textbox style="mso-next-textbox:#_x0000_s1531;mso-fit-shape-to-text:t">
              <w:txbxContent>
                <w:p w:rsidR="004134A0" w:rsidRPr="00850B9E" w:rsidRDefault="004134A0" w:rsidP="007E4E7D">
                  <w:pPr>
                    <w:jc w:val="center"/>
                    <w:rPr>
                      <w:b/>
                      <w:sz w:val="16"/>
                      <w:szCs w:val="16"/>
                      <w:lang w:val="es-VE"/>
                    </w:rPr>
                  </w:pPr>
                  <w:r w:rsidRPr="00850B9E">
                    <w:rPr>
                      <w:b/>
                      <w:sz w:val="16"/>
                      <w:szCs w:val="16"/>
                      <w:lang w:val="es-VE"/>
                    </w:rPr>
                    <w:t>Campo DC</w:t>
                  </w:r>
                </w:p>
              </w:txbxContent>
            </v:textbox>
          </v:shape>
        </w:pict>
      </w:r>
      <w:r w:rsidRPr="00A73CD2">
        <w:rPr>
          <w:noProof/>
          <w:szCs w:val="24"/>
          <w:lang w:eastAsia="zh-TW"/>
        </w:rPr>
        <w:pict>
          <v:shape id="_x0000_s1529" type="#_x0000_t202" style="position:absolute;left:0;text-align:left;margin-left:44.1pt;margin-top:3.8pt;width:327.3pt;height:18.7pt;z-index:251818496;mso-height-percent:200;mso-height-percent:200;mso-width-relative:margin;mso-height-relative:margin" filled="f" stroked="f">
            <v:textbox style="mso-next-textbox:#_x0000_s1529;mso-fit-shape-to-text:t">
              <w:txbxContent>
                <w:p w:rsidR="004134A0" w:rsidRPr="007E4E7D" w:rsidRDefault="004134A0" w:rsidP="007E4E7D">
                  <w:pPr>
                    <w:jc w:val="center"/>
                    <w:rPr>
                      <w:b/>
                      <w:sz w:val="20"/>
                      <w:lang w:val="es-VE"/>
                    </w:rPr>
                  </w:pPr>
                  <w:r w:rsidRPr="007E4E7D">
                    <w:rPr>
                      <w:b/>
                      <w:sz w:val="20"/>
                    </w:rPr>
                    <w:t>Distribución de fases en los tubos de recolección de muestra</w:t>
                  </w:r>
                </w:p>
              </w:txbxContent>
            </v:textbox>
          </v:shape>
        </w:pict>
      </w:r>
      <w:r w:rsidR="00814C54" w:rsidRPr="00814C54">
        <w:rPr>
          <w:noProof/>
          <w:szCs w:val="24"/>
          <w:lang w:val="en-US" w:eastAsia="en-US"/>
        </w:rPr>
        <w:drawing>
          <wp:inline distT="0" distB="0" distL="0" distR="0">
            <wp:extent cx="4311365" cy="7400260"/>
            <wp:effectExtent l="19050" t="0" r="0" b="0"/>
            <wp:docPr id="7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4313914" cy="7404635"/>
                    </a:xfrm>
                    <a:prstGeom prst="rect">
                      <a:avLst/>
                    </a:prstGeom>
                    <a:noFill/>
                    <a:ln w="9525">
                      <a:noFill/>
                      <a:miter lim="800000"/>
                      <a:headEnd/>
                      <a:tailEnd/>
                    </a:ln>
                  </pic:spPr>
                </pic:pic>
              </a:graphicData>
            </a:graphic>
          </wp:inline>
        </w:drawing>
      </w:r>
    </w:p>
    <w:p w:rsidR="002C7AE1" w:rsidRPr="00A95F7D" w:rsidRDefault="00A275D5" w:rsidP="00A275D5">
      <w:pPr>
        <w:pStyle w:val="Epgrafe"/>
        <w:spacing w:line="360" w:lineRule="auto"/>
      </w:pPr>
      <w:bookmarkStart w:id="160" w:name="_Toc327481459"/>
      <w:r>
        <w:t xml:space="preserve">Figura N° </w:t>
      </w:r>
      <w:fldSimple w:instr=" SEQ Figura_N° \* ARABIC ">
        <w:r w:rsidR="004A5F6F">
          <w:rPr>
            <w:noProof/>
          </w:rPr>
          <w:t>47</w:t>
        </w:r>
      </w:fldSimple>
      <w:r w:rsidR="00A95F7D">
        <w:t xml:space="preserve">: Fotos, emulsión </w:t>
      </w:r>
      <w:r w:rsidR="00355A67">
        <w:t>Merey-31</w:t>
      </w:r>
      <w:r w:rsidR="00A95F7D">
        <w:t>: Muestra or</w:t>
      </w:r>
      <w:r>
        <w:t xml:space="preserve">iginal, tratada con campo DC y </w:t>
      </w:r>
      <w:r w:rsidR="00A95F7D">
        <w:t>posteriormente centrifuga</w:t>
      </w:r>
      <w:r>
        <w:t>ción</w:t>
      </w:r>
      <w:r w:rsidR="00A95F7D">
        <w:t xml:space="preserve"> (5 min a 2700 rpm).</w:t>
      </w:r>
      <w:bookmarkEnd w:id="160"/>
    </w:p>
    <w:p w:rsidR="00176468" w:rsidRDefault="00814C54" w:rsidP="00176468">
      <w:pPr>
        <w:spacing w:after="240" w:line="360" w:lineRule="auto"/>
        <w:ind w:firstLine="720"/>
        <w:jc w:val="both"/>
        <w:rPr>
          <w:szCs w:val="24"/>
        </w:rPr>
      </w:pPr>
      <w:r w:rsidRPr="00B648FC">
        <w:rPr>
          <w:szCs w:val="24"/>
        </w:rPr>
        <w:lastRenderedPageBreak/>
        <w:t>En las imágenes mostradas se aprecia claramente la diferencia en los tamaño</w:t>
      </w:r>
      <w:r>
        <w:rPr>
          <w:szCs w:val="24"/>
        </w:rPr>
        <w:t>s</w:t>
      </w:r>
      <w:r w:rsidRPr="00B648FC">
        <w:rPr>
          <w:szCs w:val="24"/>
        </w:rPr>
        <w:t xml:space="preserve"> de gotas entre las muestras a las cuales se les aplico campo DC y luego </w:t>
      </w:r>
      <w:r>
        <w:rPr>
          <w:szCs w:val="24"/>
        </w:rPr>
        <w:t>fue</w:t>
      </w:r>
      <w:r w:rsidRPr="00B648FC">
        <w:rPr>
          <w:szCs w:val="24"/>
        </w:rPr>
        <w:t xml:space="preserve"> centrifugada. Téngase en cuenta que al colocar el cubreobjetos sobre la muestra debe ejercerse algo de presión a fin de poder lograr el espesor de muestra adecuado para la obtención una imagen de alta calidad.</w:t>
      </w:r>
      <w:r>
        <w:rPr>
          <w:szCs w:val="24"/>
        </w:rPr>
        <w:t xml:space="preserve"> </w:t>
      </w:r>
      <w:r w:rsidRPr="00B648FC">
        <w:rPr>
          <w:szCs w:val="24"/>
        </w:rPr>
        <w:t xml:space="preserve">Sin embargo, esta presión provoca inevitablemente una deformación del </w:t>
      </w:r>
      <w:r w:rsidRPr="00A95F7D">
        <w:rPr>
          <w:szCs w:val="24"/>
        </w:rPr>
        <w:t xml:space="preserve">tamaño de las gotas </w:t>
      </w:r>
      <w:r w:rsidR="00A95F7D" w:rsidRPr="00A95F7D">
        <w:rPr>
          <w:szCs w:val="24"/>
        </w:rPr>
        <w:t>emplear</w:t>
      </w:r>
      <w:r w:rsidR="00702FBA" w:rsidRPr="00A95F7D">
        <w:rPr>
          <w:szCs w:val="24"/>
        </w:rPr>
        <w:t xml:space="preserve"> una</w:t>
      </w:r>
      <w:r w:rsidR="00702FBA" w:rsidRPr="00B648FC">
        <w:rPr>
          <w:szCs w:val="24"/>
        </w:rPr>
        <w:t xml:space="preserve"> muy pequeña cantidad de </w:t>
      </w:r>
      <w:r w:rsidR="00A95F7D">
        <w:rPr>
          <w:szCs w:val="24"/>
        </w:rPr>
        <w:t>crudo</w:t>
      </w:r>
      <w:r w:rsidR="00702FBA" w:rsidRPr="00B648FC">
        <w:rPr>
          <w:szCs w:val="24"/>
        </w:rPr>
        <w:t xml:space="preserve"> </w:t>
      </w:r>
      <w:r w:rsidR="00A95F7D">
        <w:rPr>
          <w:szCs w:val="24"/>
        </w:rPr>
        <w:t xml:space="preserve">a fin de ejercer la mínima presión posible y garantizar cierta uniformidad en las muestra. </w:t>
      </w:r>
      <w:r w:rsidR="00702FBA">
        <w:rPr>
          <w:szCs w:val="24"/>
        </w:rPr>
        <w:t xml:space="preserve"> </w:t>
      </w:r>
    </w:p>
    <w:p w:rsidR="002325A4" w:rsidRPr="00641940" w:rsidRDefault="00874CEA" w:rsidP="00220534">
      <w:pPr>
        <w:pStyle w:val="Ttulo4"/>
        <w:spacing w:after="0" w:line="360" w:lineRule="auto"/>
        <w:jc w:val="both"/>
        <w:rPr>
          <w:rFonts w:ascii="Times New Roman" w:hAnsi="Times New Roman"/>
          <w:sz w:val="24"/>
          <w:szCs w:val="24"/>
        </w:rPr>
      </w:pPr>
      <w:r>
        <w:rPr>
          <w:rFonts w:ascii="Times New Roman" w:hAnsi="Times New Roman"/>
          <w:sz w:val="24"/>
          <w:szCs w:val="24"/>
        </w:rPr>
        <w:t xml:space="preserve">4.2.4 </w:t>
      </w:r>
      <w:r w:rsidR="002325A4" w:rsidRPr="00641940">
        <w:rPr>
          <w:rFonts w:ascii="Times New Roman" w:hAnsi="Times New Roman"/>
          <w:sz w:val="24"/>
          <w:szCs w:val="24"/>
        </w:rPr>
        <w:t xml:space="preserve">Fosa </w:t>
      </w:r>
      <w:r w:rsidR="007770E8" w:rsidRPr="00641940">
        <w:rPr>
          <w:rFonts w:ascii="Times New Roman" w:hAnsi="Times New Roman"/>
          <w:sz w:val="24"/>
          <w:szCs w:val="24"/>
        </w:rPr>
        <w:t>Guara-2</w:t>
      </w:r>
    </w:p>
    <w:p w:rsidR="00A40BFB" w:rsidRDefault="00A40BFB" w:rsidP="00176468">
      <w:pPr>
        <w:spacing w:line="360" w:lineRule="auto"/>
        <w:jc w:val="both"/>
        <w:rPr>
          <w:szCs w:val="24"/>
        </w:rPr>
      </w:pPr>
      <w:r>
        <w:rPr>
          <w:szCs w:val="24"/>
        </w:rPr>
        <w:tab/>
        <w:t>Definir el grado de estabilidad de una emulsión resultar una tarea bastante compleja</w:t>
      </w:r>
      <w:r w:rsidR="00FD3802">
        <w:rPr>
          <w:szCs w:val="24"/>
        </w:rPr>
        <w:t>, ya que para ello</w:t>
      </w:r>
      <w:r>
        <w:rPr>
          <w:szCs w:val="24"/>
        </w:rPr>
        <w:t xml:space="preserve"> se debe </w:t>
      </w:r>
      <w:r w:rsidRPr="00277369">
        <w:rPr>
          <w:szCs w:val="24"/>
        </w:rPr>
        <w:t>en primer lugar establecer un patrón de comparación; por ejemplo, si se está preparando una vinagreta para una ensalada, no interesa que la emulsión se rompa al cabo de unos cuantos minutos, pero si se está formulando una emulsión para uso farmacéutico, posiblemente deba ser estable por un período mucho más largo. Para el caso de las emulsiones agua-crudo establecer un patrón de comparación de estabilidad</w:t>
      </w:r>
      <w:r>
        <w:rPr>
          <w:szCs w:val="24"/>
        </w:rPr>
        <w:t xml:space="preserve"> no resulta tan sencillo como el caso de la vinagreta. </w:t>
      </w:r>
    </w:p>
    <w:p w:rsidR="00A40BFB" w:rsidRDefault="00B94000" w:rsidP="00B94000">
      <w:pPr>
        <w:spacing w:line="360" w:lineRule="auto"/>
        <w:jc w:val="both"/>
        <w:rPr>
          <w:szCs w:val="24"/>
        </w:rPr>
      </w:pPr>
      <w:r>
        <w:rPr>
          <w:szCs w:val="24"/>
        </w:rPr>
        <w:tab/>
      </w:r>
      <w:r w:rsidR="00A40BFB">
        <w:rPr>
          <w:szCs w:val="24"/>
        </w:rPr>
        <w:t xml:space="preserve">Esto atiende al hecho de que a fosa más estable de las tres es </w:t>
      </w:r>
      <w:r w:rsidR="007770E8">
        <w:rPr>
          <w:szCs w:val="24"/>
        </w:rPr>
        <w:t>Guara-2</w:t>
      </w:r>
      <w:r w:rsidR="00A40BFB">
        <w:rPr>
          <w:szCs w:val="24"/>
        </w:rPr>
        <w:t xml:space="preserve">. </w:t>
      </w:r>
      <w:r w:rsidR="00864618">
        <w:rPr>
          <w:szCs w:val="24"/>
        </w:rPr>
        <w:t>Por ser la más estable no fue</w:t>
      </w:r>
      <w:r w:rsidR="00FD3802">
        <w:rPr>
          <w:szCs w:val="24"/>
        </w:rPr>
        <w:t xml:space="preserve"> posible</w:t>
      </w:r>
      <w:r w:rsidR="00864618">
        <w:rPr>
          <w:szCs w:val="24"/>
        </w:rPr>
        <w:t xml:space="preserve"> reproducir las experiencias realizadas con la</w:t>
      </w:r>
      <w:r w:rsidR="00B327F4">
        <w:rPr>
          <w:szCs w:val="24"/>
        </w:rPr>
        <w:t>s</w:t>
      </w:r>
      <w:r w:rsidR="00864618">
        <w:rPr>
          <w:szCs w:val="24"/>
        </w:rPr>
        <w:t xml:space="preserve"> fosa</w:t>
      </w:r>
      <w:r w:rsidR="00B327F4">
        <w:rPr>
          <w:szCs w:val="24"/>
        </w:rPr>
        <w:t>s</w:t>
      </w:r>
      <w:r w:rsidR="00864618">
        <w:rPr>
          <w:szCs w:val="24"/>
        </w:rPr>
        <w:t xml:space="preserve"> </w:t>
      </w:r>
      <w:r w:rsidR="007770E8">
        <w:rPr>
          <w:szCs w:val="24"/>
        </w:rPr>
        <w:t>Merey-31</w:t>
      </w:r>
      <w:r w:rsidR="00B327F4">
        <w:rPr>
          <w:szCs w:val="24"/>
        </w:rPr>
        <w:t xml:space="preserve"> y</w:t>
      </w:r>
      <w:r w:rsidR="00FD3802">
        <w:rPr>
          <w:szCs w:val="24"/>
        </w:rPr>
        <w:t xml:space="preserve"> Acema-100</w:t>
      </w:r>
      <w:r w:rsidR="00864618">
        <w:rPr>
          <w:szCs w:val="24"/>
        </w:rPr>
        <w:t>. El principal problema radicó en que la emulsión no flu</w:t>
      </w:r>
      <w:r w:rsidR="00B327F4">
        <w:rPr>
          <w:szCs w:val="24"/>
        </w:rPr>
        <w:t>ía</w:t>
      </w:r>
      <w:r w:rsidR="00864618">
        <w:rPr>
          <w:szCs w:val="24"/>
        </w:rPr>
        <w:t xml:space="preserve"> a través del sistema</w:t>
      </w:r>
      <w:r w:rsidR="00B327F4">
        <w:rPr>
          <w:szCs w:val="24"/>
        </w:rPr>
        <w:t xml:space="preserve"> a temperatura ambiente, es por ello que</w:t>
      </w:r>
      <w:r w:rsidR="00864618">
        <w:rPr>
          <w:szCs w:val="24"/>
        </w:rPr>
        <w:t xml:space="preserve"> se estableció aumentar la temperatura de </w:t>
      </w:r>
      <w:r w:rsidR="00B327F4">
        <w:rPr>
          <w:szCs w:val="24"/>
        </w:rPr>
        <w:t xml:space="preserve">esta </w:t>
      </w:r>
      <w:r w:rsidR="00864618">
        <w:rPr>
          <w:szCs w:val="24"/>
        </w:rPr>
        <w:t>fosa en el tanque de al</w:t>
      </w:r>
      <w:r w:rsidR="00B327F4">
        <w:rPr>
          <w:szCs w:val="24"/>
        </w:rPr>
        <w:t>imentación</w:t>
      </w:r>
      <w:r w:rsidR="00864618">
        <w:rPr>
          <w:szCs w:val="24"/>
        </w:rPr>
        <w:t>. En un primer momento la fosa se calentó a una temperatura de 77 °C</w:t>
      </w:r>
      <w:r w:rsidR="00B327F4">
        <w:rPr>
          <w:szCs w:val="24"/>
        </w:rPr>
        <w:t>; sin embargo,</w:t>
      </w:r>
      <w:r w:rsidR="00864618">
        <w:rPr>
          <w:szCs w:val="24"/>
        </w:rPr>
        <w:t xml:space="preserve"> el tiempo que transcurrió desde que se abrió completamente la llave de paso del tanque a la celda hasta que se recolectó la primera gota crudo, fue aproximadamente de una hora. </w:t>
      </w:r>
    </w:p>
    <w:p w:rsidR="003478BF" w:rsidRDefault="00864618" w:rsidP="00A86A96">
      <w:pPr>
        <w:spacing w:line="360" w:lineRule="auto"/>
        <w:ind w:firstLine="720"/>
        <w:jc w:val="both"/>
        <w:rPr>
          <w:szCs w:val="24"/>
        </w:rPr>
      </w:pPr>
      <w:r>
        <w:rPr>
          <w:szCs w:val="24"/>
        </w:rPr>
        <w:t xml:space="preserve">Paralelamente se observó que la temperatura exterior de la celda se incrementó hasta los 70 °C aproximadamente, para lo cual la temperatura interna </w:t>
      </w:r>
      <w:r w:rsidR="00A86A96">
        <w:rPr>
          <w:szCs w:val="24"/>
        </w:rPr>
        <w:t>debía</w:t>
      </w:r>
      <w:r>
        <w:rPr>
          <w:szCs w:val="24"/>
        </w:rPr>
        <w:t xml:space="preserve"> ser mucho m</w:t>
      </w:r>
      <w:r w:rsidR="00A86A96">
        <w:rPr>
          <w:szCs w:val="24"/>
        </w:rPr>
        <w:t>ayor</w:t>
      </w:r>
      <w:r>
        <w:rPr>
          <w:szCs w:val="24"/>
        </w:rPr>
        <w:t>. En vista de esto, se procedió a incrementar la temperatura de la emulsión a la entrada de la celda</w:t>
      </w:r>
      <w:r w:rsidR="00A86A96">
        <w:rPr>
          <w:szCs w:val="24"/>
        </w:rPr>
        <w:t xml:space="preserve"> a </w:t>
      </w:r>
      <w:r>
        <w:rPr>
          <w:szCs w:val="24"/>
        </w:rPr>
        <w:t xml:space="preserve">85 °C. Para esta temperatura, el incremento del </w:t>
      </w:r>
      <w:r>
        <w:rPr>
          <w:szCs w:val="24"/>
        </w:rPr>
        <w:lastRenderedPageBreak/>
        <w:t>fl</w:t>
      </w:r>
      <w:r w:rsidR="003478BF">
        <w:rPr>
          <w:szCs w:val="24"/>
        </w:rPr>
        <w:t>ujo de la emulsión fue muy deficiente, prácticamente despreciable</w:t>
      </w:r>
      <w:r w:rsidR="00A86A96">
        <w:rPr>
          <w:szCs w:val="24"/>
        </w:rPr>
        <w:t xml:space="preserve"> y se </w:t>
      </w:r>
      <w:r w:rsidR="003478BF">
        <w:rPr>
          <w:szCs w:val="24"/>
        </w:rPr>
        <w:t>observó que el agua contenida en la emulsión comenzó a ebullir, momento para el cual se decidió detener la prueba. Este fenómeno se observó</w:t>
      </w:r>
      <w:r w:rsidR="00A86A96">
        <w:rPr>
          <w:szCs w:val="24"/>
        </w:rPr>
        <w:t xml:space="preserve"> </w:t>
      </w:r>
      <w:r w:rsidR="003478BF">
        <w:rPr>
          <w:szCs w:val="24"/>
        </w:rPr>
        <w:t>tanto</w:t>
      </w:r>
      <w:r w:rsidR="00201E63">
        <w:rPr>
          <w:szCs w:val="24"/>
        </w:rPr>
        <w:t xml:space="preserve"> para las experiencias con esferas</w:t>
      </w:r>
      <w:r w:rsidR="00A86A96">
        <w:rPr>
          <w:szCs w:val="24"/>
        </w:rPr>
        <w:t xml:space="preserve"> de </w:t>
      </w:r>
      <w:r w:rsidR="003478BF">
        <w:rPr>
          <w:szCs w:val="24"/>
        </w:rPr>
        <w:t xml:space="preserve">polietileno como </w:t>
      </w:r>
      <w:r w:rsidR="00D91C14">
        <w:rPr>
          <w:szCs w:val="24"/>
        </w:rPr>
        <w:t xml:space="preserve">para </w:t>
      </w:r>
      <w:r w:rsidR="003478BF">
        <w:rPr>
          <w:szCs w:val="24"/>
        </w:rPr>
        <w:t xml:space="preserve">anillos de vidrio. </w:t>
      </w:r>
    </w:p>
    <w:p w:rsidR="00176468" w:rsidRDefault="00277369" w:rsidP="00176468">
      <w:pPr>
        <w:spacing w:after="240" w:line="360" w:lineRule="auto"/>
        <w:jc w:val="both"/>
        <w:rPr>
          <w:szCs w:val="24"/>
        </w:rPr>
      </w:pPr>
      <w:r>
        <w:rPr>
          <w:szCs w:val="24"/>
        </w:rPr>
        <w:tab/>
        <w:t>Se realizó</w:t>
      </w:r>
      <w:r w:rsidR="002F2594">
        <w:rPr>
          <w:szCs w:val="24"/>
        </w:rPr>
        <w:t xml:space="preserve"> un análisis </w:t>
      </w:r>
      <w:r w:rsidR="00A86A96">
        <w:rPr>
          <w:szCs w:val="24"/>
        </w:rPr>
        <w:t xml:space="preserve">sobre la </w:t>
      </w:r>
      <w:r w:rsidR="002F2594">
        <w:rPr>
          <w:szCs w:val="24"/>
        </w:rPr>
        <w:t xml:space="preserve">estabilidad </w:t>
      </w:r>
      <w:r w:rsidR="00A86A96">
        <w:rPr>
          <w:szCs w:val="24"/>
        </w:rPr>
        <w:t>de las emulsiones, con el</w:t>
      </w:r>
      <w:r w:rsidR="002F2594">
        <w:rPr>
          <w:szCs w:val="24"/>
        </w:rPr>
        <w:t xml:space="preserve"> fin de establecer los factores que promueven </w:t>
      </w:r>
      <w:r w:rsidR="00A86A96">
        <w:rPr>
          <w:szCs w:val="24"/>
        </w:rPr>
        <w:t>esta condición</w:t>
      </w:r>
      <w:r w:rsidR="00176468">
        <w:rPr>
          <w:szCs w:val="24"/>
        </w:rPr>
        <w:t xml:space="preserve"> para el caso de la fosa Guara-</w:t>
      </w:r>
    </w:p>
    <w:p w:rsidR="002F2594" w:rsidRPr="00176468" w:rsidRDefault="00176468" w:rsidP="00176468">
      <w:pPr>
        <w:spacing w:line="360" w:lineRule="auto"/>
        <w:jc w:val="both"/>
        <w:rPr>
          <w:szCs w:val="24"/>
        </w:rPr>
      </w:pPr>
      <w:r>
        <w:rPr>
          <w:szCs w:val="24"/>
        </w:rPr>
        <w:t>V</w:t>
      </w:r>
      <w:r w:rsidR="009161C7" w:rsidRPr="00176468">
        <w:rPr>
          <w:b/>
          <w:szCs w:val="24"/>
        </w:rPr>
        <w:t>iscosidad de la fosa</w:t>
      </w:r>
    </w:p>
    <w:p w:rsidR="00BB3816" w:rsidRDefault="0063304F" w:rsidP="00BB3816">
      <w:pPr>
        <w:spacing w:after="240" w:line="360" w:lineRule="auto"/>
        <w:jc w:val="both"/>
        <w:rPr>
          <w:sz w:val="20"/>
        </w:rPr>
      </w:pPr>
      <w:r>
        <w:rPr>
          <w:szCs w:val="24"/>
        </w:rPr>
        <w:tab/>
      </w:r>
      <w:r w:rsidR="002325A4">
        <w:rPr>
          <w:szCs w:val="24"/>
        </w:rPr>
        <w:t>La fosa Guara</w:t>
      </w:r>
      <w:r w:rsidR="00A57314">
        <w:rPr>
          <w:szCs w:val="24"/>
        </w:rPr>
        <w:t>-2</w:t>
      </w:r>
      <w:r w:rsidR="002325A4">
        <w:rPr>
          <w:szCs w:val="24"/>
        </w:rPr>
        <w:t xml:space="preserve">, a diferencia de </w:t>
      </w:r>
      <w:r w:rsidR="007770E8">
        <w:rPr>
          <w:szCs w:val="24"/>
        </w:rPr>
        <w:t>Acema-100</w:t>
      </w:r>
      <w:r w:rsidR="002325A4">
        <w:rPr>
          <w:szCs w:val="24"/>
        </w:rPr>
        <w:t xml:space="preserve"> y </w:t>
      </w:r>
      <w:r w:rsidR="007770E8">
        <w:rPr>
          <w:szCs w:val="24"/>
        </w:rPr>
        <w:t>Merey-31</w:t>
      </w:r>
      <w:r w:rsidR="002325A4">
        <w:rPr>
          <w:szCs w:val="24"/>
        </w:rPr>
        <w:t xml:space="preserve">, posee un grado de estabilidad </w:t>
      </w:r>
      <w:r w:rsidR="00E2601A">
        <w:rPr>
          <w:szCs w:val="24"/>
        </w:rPr>
        <w:t xml:space="preserve">mucho mayor. Esta estabilidad </w:t>
      </w:r>
      <w:r w:rsidR="0046578D">
        <w:rPr>
          <w:szCs w:val="24"/>
        </w:rPr>
        <w:t>se debe en parte</w:t>
      </w:r>
      <w:r w:rsidR="00A57314">
        <w:rPr>
          <w:szCs w:val="24"/>
        </w:rPr>
        <w:t xml:space="preserve"> </w:t>
      </w:r>
      <w:r w:rsidR="00E2601A">
        <w:rPr>
          <w:szCs w:val="24"/>
        </w:rPr>
        <w:t xml:space="preserve">a la alta viscosidad de </w:t>
      </w:r>
      <w:r w:rsidR="00A57314">
        <w:rPr>
          <w:szCs w:val="24"/>
        </w:rPr>
        <w:t xml:space="preserve">esta </w:t>
      </w:r>
      <w:r w:rsidR="00E2601A">
        <w:rPr>
          <w:szCs w:val="24"/>
        </w:rPr>
        <w:t>fosa</w:t>
      </w:r>
      <w:r w:rsidR="00A57314">
        <w:rPr>
          <w:szCs w:val="24"/>
        </w:rPr>
        <w:t>, en comparación con las otras fosas en estudio</w:t>
      </w:r>
      <w:r w:rsidR="00E2601A">
        <w:rPr>
          <w:szCs w:val="24"/>
        </w:rPr>
        <w:t>.</w:t>
      </w:r>
      <w:r w:rsidR="00A57314">
        <w:rPr>
          <w:szCs w:val="24"/>
        </w:rPr>
        <w:t xml:space="preserve"> </w:t>
      </w:r>
      <w:r w:rsidR="00E2601A">
        <w:rPr>
          <w:szCs w:val="24"/>
        </w:rPr>
        <w:t xml:space="preserve">En la </w:t>
      </w:r>
      <w:r w:rsidR="00A57314">
        <w:rPr>
          <w:szCs w:val="24"/>
        </w:rPr>
        <w:t>T</w:t>
      </w:r>
      <w:r w:rsidR="00E2601A">
        <w:rPr>
          <w:szCs w:val="24"/>
        </w:rPr>
        <w:t xml:space="preserve">abla </w:t>
      </w:r>
      <w:r w:rsidR="00A57314">
        <w:rPr>
          <w:szCs w:val="24"/>
        </w:rPr>
        <w:t xml:space="preserve">presentada a continuación, </w:t>
      </w:r>
      <w:r w:rsidR="00E2601A">
        <w:rPr>
          <w:szCs w:val="24"/>
        </w:rPr>
        <w:t xml:space="preserve">se </w:t>
      </w:r>
      <w:r w:rsidR="00A57314">
        <w:rPr>
          <w:szCs w:val="24"/>
        </w:rPr>
        <w:t>observa</w:t>
      </w:r>
      <w:r w:rsidR="00E2601A">
        <w:rPr>
          <w:szCs w:val="24"/>
        </w:rPr>
        <w:t>n los valores de viscosidad</w:t>
      </w:r>
      <w:r w:rsidR="00A57314">
        <w:rPr>
          <w:szCs w:val="24"/>
        </w:rPr>
        <w:t xml:space="preserve"> aparente</w:t>
      </w:r>
      <w:r w:rsidR="00E2601A">
        <w:rPr>
          <w:szCs w:val="24"/>
        </w:rPr>
        <w:t xml:space="preserve"> </w:t>
      </w:r>
      <w:r w:rsidR="00A40BFB">
        <w:rPr>
          <w:szCs w:val="24"/>
        </w:rPr>
        <w:t xml:space="preserve">para cada una de las fosas </w:t>
      </w:r>
      <w:r w:rsidR="009161C7">
        <w:rPr>
          <w:szCs w:val="24"/>
        </w:rPr>
        <w:t>donde se aprecia claramente que Guara-2 presenta una viscosidad a 50 ºC, tres</w:t>
      </w:r>
    </w:p>
    <w:p w:rsidR="00FD7D95" w:rsidRDefault="00BB3816" w:rsidP="00BB3816">
      <w:pPr>
        <w:pStyle w:val="Epgrafe"/>
      </w:pPr>
      <w:bookmarkStart w:id="161" w:name="_Toc325636323"/>
      <w:r>
        <w:t xml:space="preserve">Tabla N° </w:t>
      </w:r>
      <w:fldSimple w:instr=" SEQ Tabla_N° \* ARABIC ">
        <w:r w:rsidR="004A5F6F">
          <w:rPr>
            <w:noProof/>
          </w:rPr>
          <w:t>9</w:t>
        </w:r>
      </w:fldSimple>
      <w:r>
        <w:t xml:space="preserve">: </w:t>
      </w:r>
      <w:r w:rsidR="00FD7D95">
        <w:t xml:space="preserve">Viscosidad aparente de </w:t>
      </w:r>
      <w:r w:rsidR="00FD7D95" w:rsidRPr="00D91C14">
        <w:t xml:space="preserve">las fosas </w:t>
      </w:r>
      <w:r w:rsidR="00380E9C">
        <w:t>de producción en estudio</w:t>
      </w:r>
      <w:r w:rsidR="00E8543D" w:rsidRPr="00D91C14">
        <w:t xml:space="preserve"> </w:t>
      </w:r>
      <w:r w:rsidR="00D91C14" w:rsidRPr="00D91C14">
        <w:t>(Padrón y Zúñiga, 2005)</w:t>
      </w:r>
      <w:bookmarkEnd w:id="161"/>
    </w:p>
    <w:tbl>
      <w:tblPr>
        <w:tblW w:w="5237" w:type="dxa"/>
        <w:jc w:val="center"/>
        <w:tblInd w:w="91" w:type="dxa"/>
        <w:tblLook w:val="04A0"/>
      </w:tblPr>
      <w:tblGrid>
        <w:gridCol w:w="1700"/>
        <w:gridCol w:w="3537"/>
      </w:tblGrid>
      <w:tr w:rsidR="00AB5EDD" w:rsidRPr="00AB5EDD" w:rsidTr="00AB5EDD">
        <w:trPr>
          <w:trHeight w:val="36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EDD" w:rsidRPr="00FD7D95" w:rsidRDefault="00AB5EDD" w:rsidP="00AB5EDD">
            <w:pPr>
              <w:jc w:val="center"/>
              <w:rPr>
                <w:b/>
                <w:bCs/>
                <w:color w:val="000000"/>
                <w:sz w:val="20"/>
                <w:lang w:val="en-US" w:eastAsia="en-US"/>
              </w:rPr>
            </w:pPr>
            <w:r w:rsidRPr="00FD7D95">
              <w:rPr>
                <w:b/>
                <w:bCs/>
                <w:color w:val="000000"/>
                <w:sz w:val="20"/>
                <w:lang w:val="en-US" w:eastAsia="en-US"/>
              </w:rPr>
              <w:t>Fosa</w:t>
            </w:r>
          </w:p>
        </w:tc>
        <w:tc>
          <w:tcPr>
            <w:tcW w:w="3537" w:type="dxa"/>
            <w:tcBorders>
              <w:top w:val="single" w:sz="4" w:space="0" w:color="auto"/>
              <w:left w:val="nil"/>
              <w:bottom w:val="single" w:sz="4" w:space="0" w:color="auto"/>
              <w:right w:val="single" w:sz="4" w:space="0" w:color="auto"/>
            </w:tcBorders>
            <w:shd w:val="clear" w:color="auto" w:fill="auto"/>
            <w:vAlign w:val="center"/>
            <w:hideMark/>
          </w:tcPr>
          <w:p w:rsidR="00AB5EDD" w:rsidRPr="00FD7D95" w:rsidRDefault="00AB5EDD" w:rsidP="00A40BFB">
            <w:pPr>
              <w:jc w:val="center"/>
              <w:rPr>
                <w:b/>
                <w:bCs/>
                <w:color w:val="000000"/>
                <w:sz w:val="20"/>
                <w:lang w:val="es-VE" w:eastAsia="en-US"/>
              </w:rPr>
            </w:pPr>
            <w:r w:rsidRPr="00FD7D95">
              <w:rPr>
                <w:b/>
                <w:bCs/>
                <w:color w:val="000000"/>
                <w:sz w:val="20"/>
                <w:lang w:val="es-VE" w:eastAsia="en-US"/>
              </w:rPr>
              <w:t>Viscosidad aparente a 50 °C (</w:t>
            </w:r>
            <w:r w:rsidR="00A40BFB" w:rsidRPr="00FD7D95">
              <w:rPr>
                <w:b/>
                <w:bCs/>
                <w:color w:val="000000"/>
                <w:sz w:val="20"/>
                <w:lang w:val="es-VE" w:eastAsia="en-US"/>
              </w:rPr>
              <w:t>c</w:t>
            </w:r>
            <w:r w:rsidRPr="00FD7D95">
              <w:rPr>
                <w:b/>
                <w:bCs/>
                <w:color w:val="000000"/>
                <w:sz w:val="20"/>
                <w:lang w:val="es-VE" w:eastAsia="en-US"/>
              </w:rPr>
              <w:t>P)</w:t>
            </w:r>
          </w:p>
        </w:tc>
      </w:tr>
      <w:tr w:rsidR="00AB5EDD" w:rsidRPr="00AB5EDD" w:rsidTr="00AB5EDD">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B5EDD" w:rsidRPr="00FD7D95" w:rsidRDefault="007770E8" w:rsidP="00AB5EDD">
            <w:pPr>
              <w:jc w:val="center"/>
              <w:rPr>
                <w:color w:val="000000"/>
                <w:sz w:val="20"/>
                <w:lang w:val="en-US" w:eastAsia="en-US"/>
              </w:rPr>
            </w:pPr>
            <w:r w:rsidRPr="00FD7D95">
              <w:rPr>
                <w:color w:val="000000"/>
                <w:sz w:val="20"/>
                <w:lang w:val="en-US" w:eastAsia="en-US"/>
              </w:rPr>
              <w:t>Acema-100</w:t>
            </w:r>
          </w:p>
        </w:tc>
        <w:tc>
          <w:tcPr>
            <w:tcW w:w="3537" w:type="dxa"/>
            <w:tcBorders>
              <w:top w:val="nil"/>
              <w:left w:val="nil"/>
              <w:bottom w:val="single" w:sz="4" w:space="0" w:color="auto"/>
              <w:right w:val="single" w:sz="4" w:space="0" w:color="auto"/>
            </w:tcBorders>
            <w:shd w:val="clear" w:color="auto" w:fill="auto"/>
            <w:noWrap/>
            <w:vAlign w:val="center"/>
            <w:hideMark/>
          </w:tcPr>
          <w:p w:rsidR="00AB5EDD" w:rsidRPr="00FD7D95" w:rsidRDefault="00AB5EDD" w:rsidP="00AB5EDD">
            <w:pPr>
              <w:jc w:val="center"/>
              <w:rPr>
                <w:color w:val="000000"/>
                <w:sz w:val="20"/>
                <w:lang w:val="en-US" w:eastAsia="en-US"/>
              </w:rPr>
            </w:pPr>
            <w:r w:rsidRPr="00FD7D95">
              <w:rPr>
                <w:color w:val="000000"/>
                <w:sz w:val="20"/>
                <w:lang w:val="en-US" w:eastAsia="en-US"/>
              </w:rPr>
              <w:t>3500</w:t>
            </w:r>
          </w:p>
        </w:tc>
      </w:tr>
      <w:tr w:rsidR="00AB5EDD" w:rsidRPr="00AB5EDD" w:rsidTr="00AB5EDD">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B5EDD" w:rsidRPr="00FD7D95" w:rsidRDefault="007770E8" w:rsidP="00AB5EDD">
            <w:pPr>
              <w:jc w:val="center"/>
              <w:rPr>
                <w:color w:val="000000"/>
                <w:sz w:val="20"/>
                <w:lang w:val="en-US" w:eastAsia="en-US"/>
              </w:rPr>
            </w:pPr>
            <w:r w:rsidRPr="00FD7D95">
              <w:rPr>
                <w:color w:val="000000"/>
                <w:sz w:val="20"/>
                <w:lang w:val="en-US" w:eastAsia="en-US"/>
              </w:rPr>
              <w:t>Guara-2</w:t>
            </w:r>
          </w:p>
        </w:tc>
        <w:tc>
          <w:tcPr>
            <w:tcW w:w="3537" w:type="dxa"/>
            <w:tcBorders>
              <w:top w:val="nil"/>
              <w:left w:val="nil"/>
              <w:bottom w:val="single" w:sz="4" w:space="0" w:color="auto"/>
              <w:right w:val="single" w:sz="4" w:space="0" w:color="auto"/>
            </w:tcBorders>
            <w:shd w:val="clear" w:color="auto" w:fill="auto"/>
            <w:noWrap/>
            <w:vAlign w:val="center"/>
            <w:hideMark/>
          </w:tcPr>
          <w:p w:rsidR="00AB5EDD" w:rsidRPr="00FD7D95" w:rsidRDefault="00AB5EDD" w:rsidP="00AB5EDD">
            <w:pPr>
              <w:jc w:val="center"/>
              <w:rPr>
                <w:color w:val="000000"/>
                <w:sz w:val="20"/>
                <w:lang w:val="en-US" w:eastAsia="en-US"/>
              </w:rPr>
            </w:pPr>
            <w:r w:rsidRPr="00FD7D95">
              <w:rPr>
                <w:color w:val="000000"/>
                <w:sz w:val="20"/>
                <w:lang w:val="en-US" w:eastAsia="en-US"/>
              </w:rPr>
              <w:t>12500</w:t>
            </w:r>
          </w:p>
        </w:tc>
      </w:tr>
      <w:tr w:rsidR="00AB5EDD" w:rsidRPr="00AB5EDD" w:rsidTr="00AB5EDD">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B5EDD" w:rsidRPr="00FD7D95" w:rsidRDefault="007770E8" w:rsidP="00AB5EDD">
            <w:pPr>
              <w:jc w:val="center"/>
              <w:rPr>
                <w:color w:val="000000"/>
                <w:sz w:val="20"/>
                <w:lang w:val="en-US" w:eastAsia="en-US"/>
              </w:rPr>
            </w:pPr>
            <w:r w:rsidRPr="00FD7D95">
              <w:rPr>
                <w:color w:val="000000"/>
                <w:sz w:val="20"/>
                <w:lang w:val="en-US" w:eastAsia="en-US"/>
              </w:rPr>
              <w:t>Merey-31</w:t>
            </w:r>
          </w:p>
        </w:tc>
        <w:tc>
          <w:tcPr>
            <w:tcW w:w="3537" w:type="dxa"/>
            <w:tcBorders>
              <w:top w:val="nil"/>
              <w:left w:val="nil"/>
              <w:bottom w:val="single" w:sz="4" w:space="0" w:color="auto"/>
              <w:right w:val="single" w:sz="4" w:space="0" w:color="auto"/>
            </w:tcBorders>
            <w:shd w:val="clear" w:color="auto" w:fill="auto"/>
            <w:noWrap/>
            <w:vAlign w:val="center"/>
            <w:hideMark/>
          </w:tcPr>
          <w:p w:rsidR="00AB5EDD" w:rsidRPr="00FD7D95" w:rsidRDefault="00AB5EDD" w:rsidP="00AB5EDD">
            <w:pPr>
              <w:jc w:val="center"/>
              <w:rPr>
                <w:color w:val="000000"/>
                <w:sz w:val="20"/>
                <w:lang w:val="en-US" w:eastAsia="en-US"/>
              </w:rPr>
            </w:pPr>
            <w:r w:rsidRPr="00FD7D95">
              <w:rPr>
                <w:color w:val="000000"/>
                <w:sz w:val="20"/>
                <w:lang w:val="en-US" w:eastAsia="en-US"/>
              </w:rPr>
              <w:t>3400</w:t>
            </w:r>
          </w:p>
        </w:tc>
      </w:tr>
    </w:tbl>
    <w:p w:rsidR="002F2594" w:rsidRDefault="00F21237" w:rsidP="00176468">
      <w:pPr>
        <w:spacing w:before="240" w:after="240" w:line="360" w:lineRule="auto"/>
        <w:jc w:val="both"/>
        <w:rPr>
          <w:szCs w:val="24"/>
        </w:rPr>
      </w:pPr>
      <w:r>
        <w:rPr>
          <w:szCs w:val="24"/>
        </w:rPr>
        <w:tab/>
      </w:r>
      <w:r w:rsidR="004F2269">
        <w:rPr>
          <w:szCs w:val="24"/>
        </w:rPr>
        <w:t>La vi</w:t>
      </w:r>
      <w:r w:rsidR="00A40BFB">
        <w:rPr>
          <w:szCs w:val="24"/>
        </w:rPr>
        <w:t>scosidad de una emulsión se ve incrementa</w:t>
      </w:r>
      <w:r w:rsidR="0063304F">
        <w:rPr>
          <w:szCs w:val="24"/>
        </w:rPr>
        <w:t>da</w:t>
      </w:r>
      <w:r w:rsidR="004F2269">
        <w:rPr>
          <w:szCs w:val="24"/>
        </w:rPr>
        <w:t xml:space="preserve"> en gran medida por el volumen de fase interna, es decir, por lo general una emulsión es mucho más viscosa conforme aument</w:t>
      </w:r>
      <w:r w:rsidR="00A57314">
        <w:rPr>
          <w:szCs w:val="24"/>
        </w:rPr>
        <w:t>a</w:t>
      </w:r>
      <w:r w:rsidR="004F2269">
        <w:rPr>
          <w:szCs w:val="24"/>
        </w:rPr>
        <w:t xml:space="preserve"> el volumen de fase interna</w:t>
      </w:r>
      <w:r w:rsidR="0046578D">
        <w:rPr>
          <w:szCs w:val="24"/>
        </w:rPr>
        <w:t xml:space="preserve"> y disminuye el tamaño de las gotas</w:t>
      </w:r>
      <w:r w:rsidR="004F2269">
        <w:rPr>
          <w:szCs w:val="24"/>
        </w:rPr>
        <w:t>.</w:t>
      </w:r>
      <w:r w:rsidR="00A40BFB">
        <w:rPr>
          <w:szCs w:val="24"/>
        </w:rPr>
        <w:t xml:space="preserve"> </w:t>
      </w:r>
    </w:p>
    <w:p w:rsidR="008A19DB" w:rsidRDefault="009161C7" w:rsidP="00176468">
      <w:pPr>
        <w:spacing w:line="360" w:lineRule="auto"/>
        <w:jc w:val="both"/>
        <w:rPr>
          <w:b/>
          <w:szCs w:val="24"/>
        </w:rPr>
      </w:pPr>
      <w:r w:rsidRPr="00176468">
        <w:rPr>
          <w:b/>
          <w:szCs w:val="24"/>
        </w:rPr>
        <w:t>Contenido de agua total</w:t>
      </w:r>
    </w:p>
    <w:p w:rsidR="004F2269" w:rsidRDefault="00176468" w:rsidP="00FD7D95">
      <w:pPr>
        <w:spacing w:line="360" w:lineRule="auto"/>
        <w:jc w:val="both"/>
        <w:rPr>
          <w:szCs w:val="24"/>
        </w:rPr>
      </w:pPr>
      <w:r>
        <w:rPr>
          <w:szCs w:val="24"/>
        </w:rPr>
        <w:tab/>
      </w:r>
      <w:r w:rsidR="004F2269">
        <w:rPr>
          <w:szCs w:val="24"/>
        </w:rPr>
        <w:t xml:space="preserve">En la </w:t>
      </w:r>
      <w:r w:rsidR="009161C7">
        <w:rPr>
          <w:szCs w:val="24"/>
        </w:rPr>
        <w:t>T</w:t>
      </w:r>
      <w:r w:rsidR="004F2269">
        <w:rPr>
          <w:szCs w:val="24"/>
        </w:rPr>
        <w:t xml:space="preserve">abla </w:t>
      </w:r>
      <w:r w:rsidR="009161C7">
        <w:rPr>
          <w:szCs w:val="24"/>
        </w:rPr>
        <w:t>Nº XX</w:t>
      </w:r>
      <w:r w:rsidR="004F2269">
        <w:rPr>
          <w:szCs w:val="24"/>
        </w:rPr>
        <w:t xml:space="preserve"> se </w:t>
      </w:r>
      <w:r w:rsidR="009161C7">
        <w:rPr>
          <w:szCs w:val="24"/>
        </w:rPr>
        <w:t>presenta</w:t>
      </w:r>
      <w:r w:rsidR="004F2269">
        <w:rPr>
          <w:szCs w:val="24"/>
        </w:rPr>
        <w:t xml:space="preserve"> el contenido de agua total </w:t>
      </w:r>
      <w:r w:rsidR="009161C7">
        <w:rPr>
          <w:szCs w:val="24"/>
        </w:rPr>
        <w:t>determinado</w:t>
      </w:r>
      <w:r w:rsidR="004F2269">
        <w:rPr>
          <w:szCs w:val="24"/>
        </w:rPr>
        <w:t xml:space="preserve"> para cada una de las fosas</w:t>
      </w:r>
      <w:r w:rsidR="009161C7">
        <w:rPr>
          <w:szCs w:val="24"/>
        </w:rPr>
        <w:t>, según la norma</w:t>
      </w:r>
      <w:r w:rsidR="009161C7" w:rsidRPr="00885C64">
        <w:rPr>
          <w:szCs w:val="24"/>
        </w:rPr>
        <w:t xml:space="preserve"> ASTM </w:t>
      </w:r>
      <w:r w:rsidR="009161C7">
        <w:rPr>
          <w:szCs w:val="24"/>
        </w:rPr>
        <w:t>D-4006-81: Agua en crudo por destilación.</w:t>
      </w:r>
    </w:p>
    <w:p w:rsidR="0046578D" w:rsidRDefault="0046578D" w:rsidP="00FD7D95">
      <w:pPr>
        <w:spacing w:line="360" w:lineRule="auto"/>
        <w:jc w:val="both"/>
        <w:rPr>
          <w:szCs w:val="24"/>
        </w:rPr>
      </w:pPr>
    </w:p>
    <w:p w:rsidR="0046578D" w:rsidRDefault="0046578D" w:rsidP="00FD7D95">
      <w:pPr>
        <w:spacing w:line="360" w:lineRule="auto"/>
        <w:jc w:val="both"/>
        <w:rPr>
          <w:szCs w:val="24"/>
        </w:rPr>
      </w:pPr>
    </w:p>
    <w:p w:rsidR="00850B9E" w:rsidRDefault="00850B9E" w:rsidP="00FD7D95">
      <w:pPr>
        <w:spacing w:line="360" w:lineRule="auto"/>
        <w:jc w:val="both"/>
        <w:rPr>
          <w:szCs w:val="24"/>
        </w:rPr>
      </w:pPr>
    </w:p>
    <w:p w:rsidR="0046578D" w:rsidRDefault="0046578D" w:rsidP="00FD7D95">
      <w:pPr>
        <w:spacing w:line="360" w:lineRule="auto"/>
        <w:jc w:val="both"/>
        <w:rPr>
          <w:szCs w:val="24"/>
        </w:rPr>
      </w:pPr>
    </w:p>
    <w:p w:rsidR="00FD7D95" w:rsidRPr="00057DA9" w:rsidRDefault="00BB3816" w:rsidP="00BB3816">
      <w:pPr>
        <w:pStyle w:val="Epgrafe"/>
        <w:spacing w:line="360" w:lineRule="auto"/>
      </w:pPr>
      <w:bookmarkStart w:id="162" w:name="_Toc325636324"/>
      <w:r>
        <w:lastRenderedPageBreak/>
        <w:t xml:space="preserve">Tabla N° </w:t>
      </w:r>
      <w:fldSimple w:instr=" SEQ Tabla_N° \* ARABIC ">
        <w:r w:rsidR="004A5F6F">
          <w:rPr>
            <w:noProof/>
          </w:rPr>
          <w:t>10</w:t>
        </w:r>
      </w:fldSimple>
      <w:r>
        <w:t xml:space="preserve">: </w:t>
      </w:r>
      <w:r w:rsidR="00FD7D95" w:rsidRPr="00057DA9">
        <w:t xml:space="preserve">Contenido de agua total </w:t>
      </w:r>
      <w:r w:rsidR="00E8543D">
        <w:t>por destilación, en las fosas de producción en estudio (</w:t>
      </w:r>
      <w:r w:rsidR="009161C7">
        <w:t>Rodríguez, en ejecución)</w:t>
      </w:r>
      <w:bookmarkEnd w:id="162"/>
    </w:p>
    <w:tbl>
      <w:tblPr>
        <w:tblW w:w="5934" w:type="dxa"/>
        <w:jc w:val="center"/>
        <w:tblInd w:w="354" w:type="dxa"/>
        <w:tblLook w:val="04A0"/>
      </w:tblPr>
      <w:tblGrid>
        <w:gridCol w:w="2682"/>
        <w:gridCol w:w="3252"/>
      </w:tblGrid>
      <w:tr w:rsidR="004F2269" w:rsidRPr="00EC525D" w:rsidTr="00753FC5">
        <w:trPr>
          <w:trHeight w:val="300"/>
          <w:jc w:val="center"/>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269" w:rsidRPr="00753FC5" w:rsidRDefault="004F2269" w:rsidP="00753FC5">
            <w:pPr>
              <w:spacing w:line="360" w:lineRule="auto"/>
              <w:jc w:val="center"/>
              <w:rPr>
                <w:b/>
                <w:bCs/>
                <w:color w:val="000000"/>
                <w:sz w:val="20"/>
                <w:lang w:val="es-VE"/>
              </w:rPr>
            </w:pPr>
            <w:r w:rsidRPr="00753FC5">
              <w:rPr>
                <w:b/>
                <w:bCs/>
                <w:color w:val="000000"/>
                <w:sz w:val="20"/>
                <w:lang w:val="es-VE"/>
              </w:rPr>
              <w:t>Fosa de producción</w:t>
            </w:r>
          </w:p>
        </w:tc>
        <w:tc>
          <w:tcPr>
            <w:tcW w:w="3252" w:type="dxa"/>
            <w:tcBorders>
              <w:top w:val="single" w:sz="4" w:space="0" w:color="auto"/>
              <w:left w:val="nil"/>
              <w:bottom w:val="single" w:sz="4" w:space="0" w:color="auto"/>
              <w:right w:val="single" w:sz="4" w:space="0" w:color="auto"/>
            </w:tcBorders>
            <w:shd w:val="clear" w:color="auto" w:fill="auto"/>
            <w:noWrap/>
            <w:vAlign w:val="center"/>
            <w:hideMark/>
          </w:tcPr>
          <w:p w:rsidR="004F2269" w:rsidRPr="00753FC5" w:rsidRDefault="004F2269" w:rsidP="00753FC5">
            <w:pPr>
              <w:spacing w:line="360" w:lineRule="auto"/>
              <w:jc w:val="center"/>
              <w:rPr>
                <w:b/>
                <w:bCs/>
                <w:color w:val="000000"/>
                <w:sz w:val="20"/>
              </w:rPr>
            </w:pPr>
            <w:r w:rsidRPr="00753FC5">
              <w:rPr>
                <w:b/>
                <w:bCs/>
                <w:color w:val="000000"/>
                <w:sz w:val="20"/>
              </w:rPr>
              <w:t>Contenido de agua total (% v/v)</w:t>
            </w:r>
          </w:p>
        </w:tc>
      </w:tr>
      <w:tr w:rsidR="004F2269" w:rsidRPr="00EC525D" w:rsidTr="00753FC5">
        <w:trPr>
          <w:trHeight w:val="300"/>
          <w:jc w:val="center"/>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269" w:rsidRPr="001D17FE" w:rsidRDefault="007770E8" w:rsidP="00753FC5">
            <w:pPr>
              <w:spacing w:line="360" w:lineRule="auto"/>
              <w:jc w:val="center"/>
              <w:rPr>
                <w:b/>
                <w:bCs/>
                <w:iCs/>
                <w:color w:val="000000"/>
                <w:sz w:val="20"/>
                <w:lang w:val="es-VE"/>
              </w:rPr>
            </w:pPr>
            <w:r w:rsidRPr="001D17FE">
              <w:rPr>
                <w:b/>
                <w:bCs/>
                <w:iCs/>
                <w:color w:val="000000"/>
                <w:sz w:val="20"/>
                <w:lang w:val="es-VE"/>
              </w:rPr>
              <w:t>Acema-100</w:t>
            </w:r>
          </w:p>
        </w:tc>
        <w:tc>
          <w:tcPr>
            <w:tcW w:w="3252" w:type="dxa"/>
            <w:tcBorders>
              <w:top w:val="single" w:sz="4" w:space="0" w:color="auto"/>
              <w:left w:val="nil"/>
              <w:bottom w:val="single" w:sz="4" w:space="0" w:color="auto"/>
              <w:right w:val="single" w:sz="4" w:space="0" w:color="auto"/>
            </w:tcBorders>
            <w:shd w:val="clear" w:color="auto" w:fill="auto"/>
            <w:noWrap/>
            <w:vAlign w:val="center"/>
            <w:hideMark/>
          </w:tcPr>
          <w:p w:rsidR="004F2269" w:rsidRPr="001D17FE" w:rsidRDefault="004F2269" w:rsidP="00753FC5">
            <w:pPr>
              <w:spacing w:line="360" w:lineRule="auto"/>
              <w:jc w:val="center"/>
              <w:rPr>
                <w:color w:val="000000"/>
                <w:sz w:val="20"/>
                <w:lang w:val="es-VE"/>
              </w:rPr>
            </w:pPr>
            <w:r w:rsidRPr="001D17FE">
              <w:rPr>
                <w:color w:val="000000"/>
                <w:sz w:val="20"/>
                <w:lang w:val="es-VE"/>
              </w:rPr>
              <w:t>37</w:t>
            </w:r>
          </w:p>
        </w:tc>
      </w:tr>
      <w:tr w:rsidR="004F2269" w:rsidRPr="00EC525D" w:rsidTr="00753FC5">
        <w:trPr>
          <w:trHeight w:val="300"/>
          <w:jc w:val="center"/>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269" w:rsidRPr="001D17FE" w:rsidRDefault="007770E8" w:rsidP="00753FC5">
            <w:pPr>
              <w:spacing w:line="360" w:lineRule="auto"/>
              <w:jc w:val="center"/>
              <w:rPr>
                <w:b/>
                <w:bCs/>
                <w:iCs/>
                <w:color w:val="000000"/>
                <w:sz w:val="20"/>
                <w:lang w:val="es-VE"/>
              </w:rPr>
            </w:pPr>
            <w:r w:rsidRPr="001D17FE">
              <w:rPr>
                <w:b/>
                <w:bCs/>
                <w:iCs/>
                <w:color w:val="000000"/>
                <w:sz w:val="20"/>
                <w:lang w:val="es-VE"/>
              </w:rPr>
              <w:t>Merey-31</w:t>
            </w:r>
          </w:p>
        </w:tc>
        <w:tc>
          <w:tcPr>
            <w:tcW w:w="3252" w:type="dxa"/>
            <w:tcBorders>
              <w:top w:val="single" w:sz="4" w:space="0" w:color="auto"/>
              <w:left w:val="nil"/>
              <w:bottom w:val="single" w:sz="4" w:space="0" w:color="auto"/>
              <w:right w:val="single" w:sz="4" w:space="0" w:color="auto"/>
            </w:tcBorders>
            <w:shd w:val="clear" w:color="auto" w:fill="auto"/>
            <w:noWrap/>
            <w:vAlign w:val="center"/>
            <w:hideMark/>
          </w:tcPr>
          <w:p w:rsidR="004F2269" w:rsidRPr="001D17FE" w:rsidRDefault="004F2269" w:rsidP="00753FC5">
            <w:pPr>
              <w:spacing w:line="360" w:lineRule="auto"/>
              <w:jc w:val="center"/>
              <w:rPr>
                <w:color w:val="000000"/>
                <w:sz w:val="20"/>
                <w:lang w:val="es-VE"/>
              </w:rPr>
            </w:pPr>
            <w:r w:rsidRPr="001D17FE">
              <w:rPr>
                <w:color w:val="000000"/>
                <w:sz w:val="20"/>
                <w:lang w:val="es-VE"/>
              </w:rPr>
              <w:t>16</w:t>
            </w:r>
          </w:p>
        </w:tc>
      </w:tr>
      <w:tr w:rsidR="004F2269" w:rsidRPr="00EC525D" w:rsidTr="00753FC5">
        <w:trPr>
          <w:trHeight w:val="300"/>
          <w:jc w:val="center"/>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269" w:rsidRPr="001D17FE" w:rsidRDefault="007770E8" w:rsidP="00753FC5">
            <w:pPr>
              <w:spacing w:line="360" w:lineRule="auto"/>
              <w:jc w:val="center"/>
              <w:rPr>
                <w:b/>
                <w:bCs/>
                <w:iCs/>
                <w:color w:val="000000"/>
                <w:sz w:val="20"/>
                <w:lang w:val="es-VE"/>
              </w:rPr>
            </w:pPr>
            <w:r w:rsidRPr="001D17FE">
              <w:rPr>
                <w:b/>
                <w:bCs/>
                <w:iCs/>
                <w:color w:val="000000"/>
                <w:sz w:val="20"/>
                <w:lang w:val="es-VE"/>
              </w:rPr>
              <w:t>Guara-2</w:t>
            </w:r>
          </w:p>
        </w:tc>
        <w:tc>
          <w:tcPr>
            <w:tcW w:w="3252" w:type="dxa"/>
            <w:tcBorders>
              <w:top w:val="single" w:sz="4" w:space="0" w:color="auto"/>
              <w:left w:val="nil"/>
              <w:bottom w:val="single" w:sz="4" w:space="0" w:color="auto"/>
              <w:right w:val="single" w:sz="4" w:space="0" w:color="auto"/>
            </w:tcBorders>
            <w:shd w:val="clear" w:color="auto" w:fill="auto"/>
            <w:noWrap/>
            <w:vAlign w:val="center"/>
            <w:hideMark/>
          </w:tcPr>
          <w:p w:rsidR="004F2269" w:rsidRPr="001D17FE" w:rsidRDefault="004F2269" w:rsidP="00753FC5">
            <w:pPr>
              <w:spacing w:line="360" w:lineRule="auto"/>
              <w:jc w:val="center"/>
              <w:rPr>
                <w:color w:val="000000"/>
                <w:sz w:val="20"/>
                <w:lang w:val="es-VE"/>
              </w:rPr>
            </w:pPr>
            <w:r w:rsidRPr="001D17FE">
              <w:rPr>
                <w:color w:val="000000"/>
                <w:sz w:val="20"/>
                <w:lang w:val="es-VE"/>
              </w:rPr>
              <w:t>42</w:t>
            </w:r>
          </w:p>
        </w:tc>
      </w:tr>
    </w:tbl>
    <w:p w:rsidR="006B3828" w:rsidRDefault="00F21237" w:rsidP="00FD7D95">
      <w:pPr>
        <w:autoSpaceDE w:val="0"/>
        <w:autoSpaceDN w:val="0"/>
        <w:adjustRightInd w:val="0"/>
        <w:spacing w:line="360" w:lineRule="auto"/>
        <w:jc w:val="both"/>
        <w:rPr>
          <w:szCs w:val="24"/>
        </w:rPr>
      </w:pPr>
      <w:r>
        <w:rPr>
          <w:szCs w:val="24"/>
        </w:rPr>
        <w:tab/>
      </w:r>
    </w:p>
    <w:p w:rsidR="002938D1" w:rsidRDefault="006B3828" w:rsidP="00FD7D95">
      <w:pPr>
        <w:autoSpaceDE w:val="0"/>
        <w:autoSpaceDN w:val="0"/>
        <w:adjustRightInd w:val="0"/>
        <w:spacing w:line="360" w:lineRule="auto"/>
        <w:jc w:val="both"/>
        <w:rPr>
          <w:szCs w:val="24"/>
        </w:rPr>
      </w:pPr>
      <w:r>
        <w:rPr>
          <w:szCs w:val="24"/>
        </w:rPr>
        <w:tab/>
      </w:r>
      <w:r w:rsidR="007461F9">
        <w:rPr>
          <w:szCs w:val="24"/>
        </w:rPr>
        <w:t>Como puede observarse</w:t>
      </w:r>
      <w:r w:rsidR="009161C7">
        <w:rPr>
          <w:szCs w:val="24"/>
        </w:rPr>
        <w:t xml:space="preserve"> en esta tabla</w:t>
      </w:r>
      <w:r w:rsidR="007461F9">
        <w:rPr>
          <w:szCs w:val="24"/>
        </w:rPr>
        <w:t xml:space="preserve">, la fosa </w:t>
      </w:r>
      <w:r w:rsidR="007770E8">
        <w:rPr>
          <w:szCs w:val="24"/>
        </w:rPr>
        <w:t>Guara-2</w:t>
      </w:r>
      <w:r w:rsidR="007461F9">
        <w:rPr>
          <w:szCs w:val="24"/>
        </w:rPr>
        <w:t xml:space="preserve"> </w:t>
      </w:r>
      <w:r w:rsidR="009161C7">
        <w:rPr>
          <w:szCs w:val="24"/>
        </w:rPr>
        <w:t>contiene el mayor</w:t>
      </w:r>
      <w:r w:rsidR="007461F9">
        <w:rPr>
          <w:szCs w:val="24"/>
        </w:rPr>
        <w:t xml:space="preserve"> volumen </w:t>
      </w:r>
      <w:r w:rsidR="002938D1">
        <w:rPr>
          <w:szCs w:val="24"/>
        </w:rPr>
        <w:t xml:space="preserve">de fase interna lo cual </w:t>
      </w:r>
      <w:r w:rsidR="009161C7">
        <w:rPr>
          <w:szCs w:val="24"/>
        </w:rPr>
        <w:t xml:space="preserve">favorece el </w:t>
      </w:r>
      <w:r w:rsidR="002938D1">
        <w:rPr>
          <w:szCs w:val="24"/>
        </w:rPr>
        <w:t>increment</w:t>
      </w:r>
      <w:r w:rsidR="009161C7">
        <w:rPr>
          <w:szCs w:val="24"/>
        </w:rPr>
        <w:t>o de</w:t>
      </w:r>
      <w:r w:rsidR="002938D1">
        <w:rPr>
          <w:szCs w:val="24"/>
        </w:rPr>
        <w:t xml:space="preserve"> la viscosidad. </w:t>
      </w:r>
      <w:r w:rsidR="00B42366">
        <w:rPr>
          <w:szCs w:val="24"/>
        </w:rPr>
        <w:t>En general, al aumentar</w:t>
      </w:r>
      <w:r w:rsidR="00A40BFB" w:rsidRPr="00A94D0B">
        <w:rPr>
          <w:szCs w:val="24"/>
        </w:rPr>
        <w:t xml:space="preserve"> el volumen de la fase dispersa, incrementa el número de gotas y/o tamaño de gota</w:t>
      </w:r>
      <w:r w:rsidR="00B42366">
        <w:rPr>
          <w:szCs w:val="24"/>
        </w:rPr>
        <w:t>; s</w:t>
      </w:r>
      <w:r w:rsidR="002938D1">
        <w:rPr>
          <w:szCs w:val="24"/>
        </w:rPr>
        <w:t xml:space="preserve">in embargo, </w:t>
      </w:r>
      <w:r w:rsidR="00A40BFB">
        <w:rPr>
          <w:szCs w:val="24"/>
        </w:rPr>
        <w:t xml:space="preserve">existe </w:t>
      </w:r>
      <w:r w:rsidR="0063304F">
        <w:rPr>
          <w:szCs w:val="24"/>
        </w:rPr>
        <w:t>una relación</w:t>
      </w:r>
      <w:r w:rsidR="00A40BFB">
        <w:rPr>
          <w:szCs w:val="24"/>
        </w:rPr>
        <w:t xml:space="preserve"> entre tamaño de gota y relación de volumen de fases. Por ejemplo, la fosa que presenta gotas de menor tamaño es la fosa </w:t>
      </w:r>
      <w:r w:rsidR="007770E8">
        <w:rPr>
          <w:szCs w:val="24"/>
        </w:rPr>
        <w:t>Merey-31</w:t>
      </w:r>
      <w:r w:rsidR="00A40BFB">
        <w:rPr>
          <w:szCs w:val="24"/>
        </w:rPr>
        <w:t xml:space="preserve">, pero a diferencia de </w:t>
      </w:r>
      <w:r w:rsidR="007770E8">
        <w:rPr>
          <w:szCs w:val="24"/>
        </w:rPr>
        <w:t>Guara-2</w:t>
      </w:r>
      <w:r w:rsidR="00A40BFB">
        <w:rPr>
          <w:szCs w:val="24"/>
        </w:rPr>
        <w:t xml:space="preserve"> y </w:t>
      </w:r>
      <w:r w:rsidR="007770E8">
        <w:rPr>
          <w:szCs w:val="24"/>
        </w:rPr>
        <w:t>Acema-100</w:t>
      </w:r>
      <w:r w:rsidR="00A40BFB">
        <w:rPr>
          <w:szCs w:val="24"/>
        </w:rPr>
        <w:t xml:space="preserve"> posee la menor cantidad de agua, sin embargo, </w:t>
      </w:r>
      <w:r w:rsidR="007770E8">
        <w:rPr>
          <w:szCs w:val="24"/>
        </w:rPr>
        <w:t>Guara-2</w:t>
      </w:r>
      <w:r w:rsidR="00A40BFB">
        <w:rPr>
          <w:szCs w:val="24"/>
        </w:rPr>
        <w:t xml:space="preserve"> presenta una mayor estabilidad que </w:t>
      </w:r>
      <w:r w:rsidR="007770E8">
        <w:rPr>
          <w:szCs w:val="24"/>
        </w:rPr>
        <w:t>Merey-31</w:t>
      </w:r>
      <w:r w:rsidR="00A40BFB">
        <w:rPr>
          <w:szCs w:val="24"/>
        </w:rPr>
        <w:t>.</w:t>
      </w:r>
    </w:p>
    <w:p w:rsidR="00A40BFB" w:rsidRDefault="0063304F" w:rsidP="00176468">
      <w:pPr>
        <w:autoSpaceDE w:val="0"/>
        <w:autoSpaceDN w:val="0"/>
        <w:adjustRightInd w:val="0"/>
        <w:spacing w:line="360" w:lineRule="auto"/>
        <w:jc w:val="both"/>
        <w:rPr>
          <w:bCs/>
          <w:szCs w:val="24"/>
        </w:rPr>
      </w:pPr>
      <w:r>
        <w:rPr>
          <w:bCs/>
          <w:szCs w:val="24"/>
        </w:rPr>
        <w:tab/>
        <w:t xml:space="preserve">A diferencia de </w:t>
      </w:r>
      <w:r w:rsidR="007770E8">
        <w:rPr>
          <w:bCs/>
          <w:szCs w:val="24"/>
        </w:rPr>
        <w:t>Acema-100</w:t>
      </w:r>
      <w:r>
        <w:rPr>
          <w:bCs/>
          <w:szCs w:val="24"/>
        </w:rPr>
        <w:t xml:space="preserve">, la fosa </w:t>
      </w:r>
      <w:r w:rsidR="007770E8">
        <w:rPr>
          <w:bCs/>
          <w:szCs w:val="24"/>
        </w:rPr>
        <w:t>Guara-2</w:t>
      </w:r>
      <w:r>
        <w:rPr>
          <w:bCs/>
          <w:szCs w:val="24"/>
        </w:rPr>
        <w:t xml:space="preserve"> presenta un alto contenido de ‘‘agua libre’’. Se ha colocado entre comillas la frase agua libre debido a que una parte del agua libre en esta fosa se separa por gravedad pero otra parte requiere de cierta agitación </w:t>
      </w:r>
      <w:r w:rsidR="00D91C14">
        <w:rPr>
          <w:bCs/>
          <w:szCs w:val="24"/>
        </w:rPr>
        <w:t>o</w:t>
      </w:r>
      <w:r>
        <w:rPr>
          <w:bCs/>
          <w:szCs w:val="24"/>
        </w:rPr>
        <w:t xml:space="preserve"> calenta</w:t>
      </w:r>
      <w:r w:rsidR="00D91C14">
        <w:rPr>
          <w:bCs/>
          <w:szCs w:val="24"/>
        </w:rPr>
        <w:t>r</w:t>
      </w:r>
      <w:r>
        <w:rPr>
          <w:bCs/>
          <w:szCs w:val="24"/>
        </w:rPr>
        <w:t xml:space="preserve"> (apenas unos cuantos grados centígrados)</w:t>
      </w:r>
      <w:r w:rsidR="00D91C14">
        <w:rPr>
          <w:bCs/>
          <w:szCs w:val="24"/>
        </w:rPr>
        <w:t xml:space="preserve"> la emulsión</w:t>
      </w:r>
      <w:r>
        <w:rPr>
          <w:bCs/>
          <w:szCs w:val="24"/>
        </w:rPr>
        <w:t xml:space="preserve">. Esta agua libre remanente – si pudiese catalogársele así – que no se separa por gravedad, está contenida en el crudo formando una especie de </w:t>
      </w:r>
      <w:r w:rsidR="00B42366">
        <w:rPr>
          <w:bCs/>
          <w:szCs w:val="24"/>
        </w:rPr>
        <w:t>“</w:t>
      </w:r>
      <w:r>
        <w:rPr>
          <w:bCs/>
          <w:szCs w:val="24"/>
        </w:rPr>
        <w:t>bolsa de agua</w:t>
      </w:r>
      <w:r w:rsidR="00B42366">
        <w:rPr>
          <w:bCs/>
          <w:szCs w:val="24"/>
        </w:rPr>
        <w:t>”</w:t>
      </w:r>
      <w:r>
        <w:rPr>
          <w:bCs/>
          <w:szCs w:val="24"/>
        </w:rPr>
        <w:t xml:space="preserve"> contenida en la fase continua.</w:t>
      </w:r>
    </w:p>
    <w:p w:rsidR="00176468" w:rsidRDefault="0063304F" w:rsidP="00176468">
      <w:pPr>
        <w:autoSpaceDE w:val="0"/>
        <w:autoSpaceDN w:val="0"/>
        <w:adjustRightInd w:val="0"/>
        <w:spacing w:before="240" w:line="360" w:lineRule="auto"/>
        <w:rPr>
          <w:b/>
          <w:bCs/>
          <w:szCs w:val="24"/>
        </w:rPr>
      </w:pPr>
      <w:r w:rsidRPr="00176468">
        <w:rPr>
          <w:b/>
          <w:bCs/>
          <w:szCs w:val="24"/>
        </w:rPr>
        <w:t>Conductividad de la fase acuosa</w:t>
      </w:r>
      <w:r w:rsidR="00176468">
        <w:rPr>
          <w:b/>
          <w:bCs/>
          <w:szCs w:val="24"/>
        </w:rPr>
        <w:t xml:space="preserve"> </w:t>
      </w:r>
    </w:p>
    <w:p w:rsidR="0063304F" w:rsidRDefault="0063304F" w:rsidP="00176468">
      <w:pPr>
        <w:autoSpaceDE w:val="0"/>
        <w:autoSpaceDN w:val="0"/>
        <w:adjustRightInd w:val="0"/>
        <w:spacing w:line="360" w:lineRule="auto"/>
        <w:rPr>
          <w:bCs/>
          <w:szCs w:val="24"/>
        </w:rPr>
      </w:pPr>
      <w:r>
        <w:rPr>
          <w:bCs/>
          <w:szCs w:val="24"/>
        </w:rPr>
        <w:tab/>
      </w:r>
      <w:r w:rsidRPr="00312098">
        <w:rPr>
          <w:bCs/>
          <w:szCs w:val="24"/>
        </w:rPr>
        <w:t xml:space="preserve">Una alta conductividad de la fase acuosa </w:t>
      </w:r>
      <w:r w:rsidR="00277369">
        <w:rPr>
          <w:bCs/>
          <w:szCs w:val="24"/>
        </w:rPr>
        <w:t xml:space="preserve">disminuye la estabilidad de la emulsión lo cual se refleja en un aumento de la tensión interfacial. </w:t>
      </w:r>
    </w:p>
    <w:p w:rsidR="0063304F" w:rsidRDefault="00F21237" w:rsidP="00176468">
      <w:pPr>
        <w:autoSpaceDE w:val="0"/>
        <w:autoSpaceDN w:val="0"/>
        <w:adjustRightInd w:val="0"/>
        <w:spacing w:after="240" w:line="360" w:lineRule="auto"/>
        <w:jc w:val="both"/>
        <w:rPr>
          <w:bCs/>
          <w:szCs w:val="24"/>
        </w:rPr>
      </w:pPr>
      <w:r>
        <w:rPr>
          <w:bCs/>
          <w:szCs w:val="24"/>
        </w:rPr>
        <w:tab/>
      </w:r>
      <w:r w:rsidR="0063304F">
        <w:rPr>
          <w:bCs/>
          <w:szCs w:val="24"/>
        </w:rPr>
        <w:t xml:space="preserve">Tal y como se muestra en la tabla N° </w:t>
      </w:r>
      <w:r w:rsidR="00956E55">
        <w:rPr>
          <w:bCs/>
          <w:szCs w:val="24"/>
        </w:rPr>
        <w:t>7</w:t>
      </w:r>
      <w:r w:rsidR="0063304F">
        <w:rPr>
          <w:bCs/>
          <w:szCs w:val="24"/>
        </w:rPr>
        <w:t xml:space="preserve">, la conductividad de la fosa </w:t>
      </w:r>
      <w:r w:rsidR="007770E8">
        <w:rPr>
          <w:bCs/>
          <w:szCs w:val="24"/>
        </w:rPr>
        <w:t>Guara-2</w:t>
      </w:r>
      <w:r w:rsidR="0063304F">
        <w:rPr>
          <w:bCs/>
          <w:szCs w:val="24"/>
        </w:rPr>
        <w:t xml:space="preserve"> excede en gran proporción la conductividad de las otras dos fosas, por lo que la salinidad es bastante elevada en comparación a las otras</w:t>
      </w:r>
      <w:r w:rsidR="001D17FE">
        <w:rPr>
          <w:bCs/>
          <w:szCs w:val="24"/>
        </w:rPr>
        <w:t xml:space="preserve"> dos fosas</w:t>
      </w:r>
      <w:r w:rsidR="0063304F">
        <w:rPr>
          <w:bCs/>
          <w:szCs w:val="24"/>
        </w:rPr>
        <w:t xml:space="preserve">. Una alta conductividad sugiere una alta densidad de carga en la región interfacial que </w:t>
      </w:r>
      <w:r w:rsidR="001D17FE">
        <w:rPr>
          <w:bCs/>
          <w:szCs w:val="24"/>
        </w:rPr>
        <w:t>en presencia de un campo eléctrico altera</w:t>
      </w:r>
      <w:r w:rsidR="0063304F">
        <w:rPr>
          <w:bCs/>
          <w:szCs w:val="24"/>
        </w:rPr>
        <w:t xml:space="preserve"> drásticamente las propiedades de la película </w:t>
      </w:r>
      <w:r w:rsidR="0063304F">
        <w:rPr>
          <w:bCs/>
          <w:szCs w:val="24"/>
        </w:rPr>
        <w:lastRenderedPageBreak/>
        <w:t xml:space="preserve">interfacial debido a la generación de fuerzas repulsivas internas que afectan la tensión interfacial de la gota. </w:t>
      </w:r>
    </w:p>
    <w:p w:rsidR="0063304F" w:rsidRPr="00176468" w:rsidRDefault="00F21237" w:rsidP="00176468">
      <w:pPr>
        <w:spacing w:line="360" w:lineRule="auto"/>
        <w:jc w:val="both"/>
        <w:rPr>
          <w:b/>
          <w:szCs w:val="24"/>
        </w:rPr>
      </w:pPr>
      <w:r w:rsidRPr="00176468">
        <w:rPr>
          <w:b/>
          <w:szCs w:val="24"/>
        </w:rPr>
        <w:t>S.A.R.A.</w:t>
      </w:r>
    </w:p>
    <w:p w:rsidR="0063304F" w:rsidRPr="004A0AD9" w:rsidRDefault="0063304F" w:rsidP="00176468">
      <w:pPr>
        <w:spacing w:line="360" w:lineRule="auto"/>
        <w:jc w:val="both"/>
        <w:rPr>
          <w:szCs w:val="24"/>
        </w:rPr>
      </w:pPr>
      <w:r w:rsidRPr="004A0AD9">
        <w:rPr>
          <w:szCs w:val="24"/>
        </w:rPr>
        <w:tab/>
        <w:t>Como se mencionó previamente, el análisis S.A.R.A. es una prueba que permite medir la composición de compuestos saturados, aromáticos (bajo peso molecular)</w:t>
      </w:r>
      <w:r w:rsidR="003D2191">
        <w:rPr>
          <w:szCs w:val="24"/>
        </w:rPr>
        <w:t>, resinas</w:t>
      </w:r>
      <w:r w:rsidRPr="004A0AD9">
        <w:rPr>
          <w:szCs w:val="24"/>
        </w:rPr>
        <w:t xml:space="preserve"> y asfaltenos en porcentaje másico (% m/m). La separación se realiza en base a las diferencias de solubilidad y polaridad de cada fracción. Este análisis es de vital importancia a la hora de caracterizar un crudo dado que la caracterización molecular de los compuestos individuales aún no es posible y el análisis elemental por sí solo no provee la información suficiente para estudiar la contribución de las fracciones de compuestos a la estabilidad del agua emulsionada en el crudo. A continuación se </w:t>
      </w:r>
      <w:r w:rsidR="003E7EDD">
        <w:rPr>
          <w:szCs w:val="24"/>
        </w:rPr>
        <w:t xml:space="preserve">presenta la distribución </w:t>
      </w:r>
      <w:r w:rsidRPr="004A0AD9">
        <w:rPr>
          <w:szCs w:val="24"/>
        </w:rPr>
        <w:t>S.A.</w:t>
      </w:r>
      <w:r w:rsidR="0037197D">
        <w:rPr>
          <w:szCs w:val="24"/>
        </w:rPr>
        <w:t>R.A. de las fosas de producción</w:t>
      </w:r>
      <w:r w:rsidR="003D2191">
        <w:rPr>
          <w:szCs w:val="24"/>
        </w:rPr>
        <w:t>.</w:t>
      </w:r>
    </w:p>
    <w:p w:rsidR="0063304F" w:rsidRPr="004A0AD9" w:rsidRDefault="00555CE1" w:rsidP="0063304F">
      <w:pPr>
        <w:spacing w:line="360" w:lineRule="auto"/>
        <w:jc w:val="center"/>
        <w:rPr>
          <w:szCs w:val="24"/>
        </w:rPr>
      </w:pPr>
      <w:r>
        <w:rPr>
          <w:noProof/>
          <w:szCs w:val="24"/>
          <w:lang w:val="en-US" w:eastAsia="en-US"/>
        </w:rPr>
        <w:drawing>
          <wp:inline distT="0" distB="0" distL="0" distR="0">
            <wp:extent cx="3267888" cy="2380890"/>
            <wp:effectExtent l="19050" t="0" r="8712" b="0"/>
            <wp:docPr id="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3269157" cy="2381815"/>
                    </a:xfrm>
                    <a:prstGeom prst="rect">
                      <a:avLst/>
                    </a:prstGeom>
                    <a:noFill/>
                    <a:ln w="9525">
                      <a:noFill/>
                      <a:miter lim="800000"/>
                      <a:headEnd/>
                      <a:tailEnd/>
                    </a:ln>
                  </pic:spPr>
                </pic:pic>
              </a:graphicData>
            </a:graphic>
          </wp:inline>
        </w:drawing>
      </w:r>
    </w:p>
    <w:p w:rsidR="0063304F" w:rsidRPr="00057DA9" w:rsidRDefault="00A275D5" w:rsidP="00A275D5">
      <w:pPr>
        <w:pStyle w:val="Epgrafe"/>
        <w:spacing w:line="360" w:lineRule="auto"/>
      </w:pPr>
      <w:bookmarkStart w:id="163" w:name="_Toc327481460"/>
      <w:r>
        <w:t xml:space="preserve">Figura N° </w:t>
      </w:r>
      <w:fldSimple w:instr=" SEQ Figura_N° \* ARABIC ">
        <w:r w:rsidR="004A5F6F">
          <w:rPr>
            <w:noProof/>
          </w:rPr>
          <w:t>48</w:t>
        </w:r>
      </w:fldSimple>
      <w:r>
        <w:t>:</w:t>
      </w:r>
      <w:r w:rsidR="0063304F" w:rsidRPr="00057DA9">
        <w:t xml:space="preserve"> Análisis S.A.R.A. </w:t>
      </w:r>
      <w:r w:rsidR="00A27173">
        <w:t>de las f</w:t>
      </w:r>
      <w:r w:rsidR="0063304F" w:rsidRPr="00057DA9">
        <w:t>osas</w:t>
      </w:r>
      <w:r w:rsidR="00A27173">
        <w:t xml:space="preserve"> de producción en estudio</w:t>
      </w:r>
      <w:r w:rsidR="0063304F" w:rsidRPr="00057DA9">
        <w:t>.</w:t>
      </w:r>
      <w:r w:rsidR="00E8543D">
        <w:t xml:space="preserve"> (</w:t>
      </w:r>
      <w:r>
        <w:t>Rod</w:t>
      </w:r>
      <w:r w:rsidR="0005538D">
        <w:t>r</w:t>
      </w:r>
      <w:r>
        <w:t>íguez</w:t>
      </w:r>
      <w:r w:rsidR="0005538D">
        <w:t>, en ejecución</w:t>
      </w:r>
      <w:r w:rsidR="003D2191">
        <w:t>).</w:t>
      </w:r>
      <w:bookmarkEnd w:id="163"/>
    </w:p>
    <w:p w:rsidR="007B2F27" w:rsidRDefault="0063304F" w:rsidP="00220534">
      <w:pPr>
        <w:spacing w:line="360" w:lineRule="auto"/>
        <w:jc w:val="both"/>
        <w:rPr>
          <w:szCs w:val="24"/>
        </w:rPr>
      </w:pPr>
      <w:r>
        <w:rPr>
          <w:szCs w:val="24"/>
        </w:rPr>
        <w:tab/>
      </w:r>
      <w:r w:rsidR="00956E55">
        <w:rPr>
          <w:szCs w:val="24"/>
        </w:rPr>
        <w:t>En el gráfico</w:t>
      </w:r>
      <w:r w:rsidR="00776798">
        <w:rPr>
          <w:szCs w:val="24"/>
        </w:rPr>
        <w:t xml:space="preserve"> s</w:t>
      </w:r>
      <w:r w:rsidRPr="004A0AD9">
        <w:rPr>
          <w:szCs w:val="24"/>
        </w:rPr>
        <w:t xml:space="preserve">e observa que las fracciones de saturados, aromáticos y resinas para las fosas </w:t>
      </w:r>
      <w:r w:rsidR="007770E8">
        <w:rPr>
          <w:szCs w:val="24"/>
        </w:rPr>
        <w:t>Acema-100</w:t>
      </w:r>
      <w:r w:rsidRPr="004A0AD9">
        <w:rPr>
          <w:szCs w:val="24"/>
        </w:rPr>
        <w:t xml:space="preserve"> y </w:t>
      </w:r>
      <w:r w:rsidR="007770E8">
        <w:rPr>
          <w:szCs w:val="24"/>
        </w:rPr>
        <w:t>Guara-2</w:t>
      </w:r>
      <w:r w:rsidRPr="004A0AD9">
        <w:rPr>
          <w:szCs w:val="24"/>
        </w:rPr>
        <w:t>, so</w:t>
      </w:r>
      <w:r>
        <w:rPr>
          <w:szCs w:val="24"/>
        </w:rPr>
        <w:t xml:space="preserve">n similares entre sí. </w:t>
      </w:r>
      <w:r w:rsidRPr="004A0AD9">
        <w:rPr>
          <w:szCs w:val="24"/>
        </w:rPr>
        <w:t xml:space="preserve">La diferencia más notable yace </w:t>
      </w:r>
      <w:r w:rsidR="0000661D">
        <w:rPr>
          <w:szCs w:val="24"/>
        </w:rPr>
        <w:t>en el contenido de aromáticos de</w:t>
      </w:r>
      <w:r w:rsidR="00674C44">
        <w:rPr>
          <w:szCs w:val="24"/>
        </w:rPr>
        <w:t xml:space="preserve"> la fosa </w:t>
      </w:r>
      <w:r w:rsidR="00355A67">
        <w:rPr>
          <w:szCs w:val="24"/>
        </w:rPr>
        <w:t>Merey-31</w:t>
      </w:r>
      <w:r w:rsidR="00674C44">
        <w:rPr>
          <w:szCs w:val="24"/>
        </w:rPr>
        <w:t xml:space="preserve">. </w:t>
      </w:r>
      <w:r w:rsidR="00850B9E">
        <w:rPr>
          <w:szCs w:val="24"/>
        </w:rPr>
        <w:t>Resp</w:t>
      </w:r>
      <w:r w:rsidR="008047BB">
        <w:rPr>
          <w:szCs w:val="24"/>
        </w:rPr>
        <w:t xml:space="preserve">ecto al contenido de asfaltenos, la fracción más alta la posee </w:t>
      </w:r>
      <w:r w:rsidR="0000661D">
        <w:rPr>
          <w:szCs w:val="24"/>
        </w:rPr>
        <w:t>la fosa Guara-2, lo cual puede sugerir una mayor estabilidad para esta fosa</w:t>
      </w:r>
      <w:r w:rsidR="008047BB">
        <w:rPr>
          <w:szCs w:val="24"/>
        </w:rPr>
        <w:t>.</w:t>
      </w:r>
      <w:r w:rsidR="0000661D">
        <w:rPr>
          <w:szCs w:val="24"/>
        </w:rPr>
        <w:t xml:space="preserve"> </w:t>
      </w:r>
      <w:r w:rsidR="008047BB">
        <w:rPr>
          <w:szCs w:val="24"/>
        </w:rPr>
        <w:t>Tal y como se ha mencionado anteri</w:t>
      </w:r>
      <w:r w:rsidR="007B2F27">
        <w:rPr>
          <w:szCs w:val="24"/>
        </w:rPr>
        <w:t xml:space="preserve">ormente, cada fosa presenta un comportamiento muy distinto. La mejor recuperación se obtuvo para </w:t>
      </w:r>
      <w:r w:rsidR="00355A67">
        <w:rPr>
          <w:szCs w:val="24"/>
        </w:rPr>
        <w:lastRenderedPageBreak/>
        <w:t>Acema-100</w:t>
      </w:r>
      <w:r w:rsidR="007B2F27">
        <w:rPr>
          <w:szCs w:val="24"/>
        </w:rPr>
        <w:t xml:space="preserve">. Para </w:t>
      </w:r>
      <w:r w:rsidR="00355A67">
        <w:rPr>
          <w:szCs w:val="24"/>
        </w:rPr>
        <w:t>Merey-31</w:t>
      </w:r>
      <w:r w:rsidR="007B2F27">
        <w:rPr>
          <w:szCs w:val="24"/>
        </w:rPr>
        <w:t xml:space="preserve">, a pesar de que no se observó agua libre después del tratamiento, fue posible realizar una evaluación detallada de los resultados obtenidos en cada experiencia. Con </w:t>
      </w:r>
      <w:r w:rsidR="00355A67">
        <w:rPr>
          <w:szCs w:val="24"/>
        </w:rPr>
        <w:t>Guara-2</w:t>
      </w:r>
      <w:r w:rsidR="007B2F27">
        <w:rPr>
          <w:szCs w:val="24"/>
        </w:rPr>
        <w:t xml:space="preserve"> no fue posible dar cumplimiento a las experiencias propuestas. </w:t>
      </w:r>
    </w:p>
    <w:p w:rsidR="001D17FE" w:rsidRDefault="00355A67" w:rsidP="00B55395">
      <w:pPr>
        <w:spacing w:after="240" w:line="360" w:lineRule="auto"/>
        <w:jc w:val="both"/>
        <w:rPr>
          <w:szCs w:val="24"/>
        </w:rPr>
      </w:pPr>
      <w:r>
        <w:rPr>
          <w:szCs w:val="24"/>
        </w:rPr>
        <w:tab/>
      </w:r>
      <w:r w:rsidR="007B2F27">
        <w:rPr>
          <w:szCs w:val="24"/>
        </w:rPr>
        <w:t xml:space="preserve">Las fosas no son muy distintas entre sí en cuanto a su composición, por lo tanto la variable que determina la eficiencia de la separación debe estar relacionada con el contenido de agua, la conductividad de la fase acuosa </w:t>
      </w:r>
      <w:r w:rsidR="00B55395">
        <w:rPr>
          <w:szCs w:val="24"/>
        </w:rPr>
        <w:t xml:space="preserve">o </w:t>
      </w:r>
      <w:r w:rsidR="007B2F27">
        <w:rPr>
          <w:szCs w:val="24"/>
        </w:rPr>
        <w:t>la vi</w:t>
      </w:r>
      <w:r w:rsidR="00B55395">
        <w:rPr>
          <w:szCs w:val="24"/>
        </w:rPr>
        <w:t xml:space="preserve">scosidad de la emulsión. En </w:t>
      </w:r>
      <w:r w:rsidR="0046578D">
        <w:rPr>
          <w:szCs w:val="24"/>
        </w:rPr>
        <w:t>la tabla a continuación se presenta un resumen de las propiedades de las 3 fosas y los porcentajes de separación de agua obtenidos para esferas de polietileno y anillos de vidrio:</w:t>
      </w:r>
    </w:p>
    <w:p w:rsidR="00C94047" w:rsidRPr="00C94047" w:rsidRDefault="00956E55" w:rsidP="00956E55">
      <w:pPr>
        <w:pStyle w:val="Epgrafe"/>
      </w:pPr>
      <w:bookmarkStart w:id="164" w:name="_Toc325636325"/>
      <w:r>
        <w:t xml:space="preserve">Tabla N° </w:t>
      </w:r>
      <w:fldSimple w:instr=" SEQ Tabla_N° \* ARABIC ">
        <w:r w:rsidR="004A5F6F">
          <w:rPr>
            <w:noProof/>
          </w:rPr>
          <w:t>11</w:t>
        </w:r>
      </w:fldSimple>
      <w:r w:rsidR="00C94047" w:rsidRPr="00C94047">
        <w:t>: Resumen: Características y separación</w:t>
      </w:r>
      <w:r w:rsidR="00962EE2">
        <w:t xml:space="preserve"> obtenida</w:t>
      </w:r>
      <w:r w:rsidR="00C94047" w:rsidRPr="00C94047">
        <w:t xml:space="preserve"> para cada</w:t>
      </w:r>
      <w:r w:rsidR="00962EE2">
        <w:t xml:space="preserve"> una de las </w:t>
      </w:r>
      <w:r w:rsidR="00C94047" w:rsidRPr="00C94047">
        <w:t>fosa</w:t>
      </w:r>
      <w:r w:rsidR="00962EE2">
        <w:t>s</w:t>
      </w:r>
      <w:r w:rsidR="00C94047" w:rsidRPr="00C94047">
        <w:t>.</w:t>
      </w:r>
      <w:bookmarkEnd w:id="164"/>
    </w:p>
    <w:p w:rsidR="008047BB" w:rsidRDefault="00962EE2" w:rsidP="00962EE2">
      <w:pPr>
        <w:spacing w:line="360" w:lineRule="auto"/>
        <w:jc w:val="center"/>
        <w:rPr>
          <w:b/>
          <w:iCs/>
          <w:szCs w:val="24"/>
        </w:rPr>
      </w:pPr>
      <w:r>
        <w:rPr>
          <w:b/>
          <w:iCs/>
          <w:noProof/>
          <w:szCs w:val="24"/>
          <w:lang w:val="en-US" w:eastAsia="en-US"/>
        </w:rPr>
        <w:drawing>
          <wp:inline distT="0" distB="0" distL="0" distR="0">
            <wp:extent cx="5245100" cy="2113280"/>
            <wp:effectExtent l="19050" t="0" r="0" b="0"/>
            <wp:docPr id="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5245100" cy="2113280"/>
                    </a:xfrm>
                    <a:prstGeom prst="rect">
                      <a:avLst/>
                    </a:prstGeom>
                    <a:noFill/>
                    <a:ln w="9525">
                      <a:noFill/>
                      <a:miter lim="800000"/>
                      <a:headEnd/>
                      <a:tailEnd/>
                    </a:ln>
                  </pic:spPr>
                </pic:pic>
              </a:graphicData>
            </a:graphic>
          </wp:inline>
        </w:drawing>
      </w:r>
    </w:p>
    <w:p w:rsidR="008047BB" w:rsidRPr="00C94047" w:rsidRDefault="00C94047" w:rsidP="00962EE2">
      <w:pPr>
        <w:spacing w:before="240" w:after="240" w:line="360" w:lineRule="auto"/>
        <w:jc w:val="both"/>
        <w:rPr>
          <w:iCs/>
          <w:szCs w:val="24"/>
        </w:rPr>
      </w:pPr>
      <w:r>
        <w:rPr>
          <w:iCs/>
          <w:szCs w:val="24"/>
        </w:rPr>
        <w:tab/>
      </w:r>
      <w:r w:rsidR="00B55395" w:rsidRPr="00C94047">
        <w:rPr>
          <w:iCs/>
          <w:szCs w:val="24"/>
        </w:rPr>
        <w:t xml:space="preserve">En la tabla se aprecia claramente que el factor determinante en la separación está relacionado con la viscosidad de la emulsión, es decir, a menor viscosidad mejor es la separación y viceversa. </w:t>
      </w:r>
      <w:r w:rsidR="006336C2" w:rsidRPr="00C94047">
        <w:rPr>
          <w:iCs/>
          <w:szCs w:val="24"/>
        </w:rPr>
        <w:t>Para esto</w:t>
      </w:r>
      <w:r w:rsidR="00B55395" w:rsidRPr="00C94047">
        <w:rPr>
          <w:iCs/>
          <w:szCs w:val="24"/>
        </w:rPr>
        <w:t xml:space="preserve"> téngase en consideración que </w:t>
      </w:r>
      <w:r w:rsidR="00355A67">
        <w:rPr>
          <w:iCs/>
          <w:szCs w:val="24"/>
        </w:rPr>
        <w:t>Guara-2</w:t>
      </w:r>
      <w:r w:rsidR="00B55395" w:rsidRPr="00C94047">
        <w:rPr>
          <w:iCs/>
          <w:szCs w:val="24"/>
        </w:rPr>
        <w:t xml:space="preserve"> que es la fosa que presenta la más </w:t>
      </w:r>
      <w:r w:rsidR="006336C2" w:rsidRPr="00C94047">
        <w:rPr>
          <w:iCs/>
          <w:szCs w:val="24"/>
        </w:rPr>
        <w:t xml:space="preserve">alta </w:t>
      </w:r>
      <w:r w:rsidR="00B55395" w:rsidRPr="00C94047">
        <w:rPr>
          <w:iCs/>
          <w:szCs w:val="24"/>
        </w:rPr>
        <w:t>conductividad de fase acuosa y el mayor contenido de a</w:t>
      </w:r>
      <w:r w:rsidR="006336C2" w:rsidRPr="00C94047">
        <w:rPr>
          <w:iCs/>
          <w:szCs w:val="24"/>
        </w:rPr>
        <w:t xml:space="preserve">gua pero una mayor viscosidad, ni siquiera </w:t>
      </w:r>
      <w:r w:rsidR="00B55395" w:rsidRPr="00C94047">
        <w:rPr>
          <w:iCs/>
          <w:szCs w:val="24"/>
        </w:rPr>
        <w:t xml:space="preserve"> </w:t>
      </w:r>
      <w:r w:rsidR="006336C2" w:rsidRPr="00C94047">
        <w:rPr>
          <w:iCs/>
          <w:szCs w:val="24"/>
        </w:rPr>
        <w:t>fue posible garantizar su paso a través del sistema.</w:t>
      </w:r>
    </w:p>
    <w:p w:rsidR="00277369" w:rsidRPr="004804F9" w:rsidRDefault="00874CEA" w:rsidP="004804F9">
      <w:pPr>
        <w:pStyle w:val="Ttulo3"/>
        <w:spacing w:line="360" w:lineRule="auto"/>
        <w:jc w:val="both"/>
        <w:rPr>
          <w:rFonts w:ascii="Times New Roman" w:hAnsi="Times New Roman" w:cs="Times New Roman"/>
          <w:color w:val="auto"/>
        </w:rPr>
      </w:pPr>
      <w:bookmarkStart w:id="165" w:name="_Toc327478033"/>
      <w:r w:rsidRPr="004804F9">
        <w:rPr>
          <w:rFonts w:ascii="Times New Roman" w:hAnsi="Times New Roman" w:cs="Times New Roman"/>
          <w:color w:val="auto"/>
        </w:rPr>
        <w:lastRenderedPageBreak/>
        <w:t xml:space="preserve">4.3 </w:t>
      </w:r>
      <w:r w:rsidR="00277369" w:rsidRPr="004804F9">
        <w:rPr>
          <w:rFonts w:ascii="Times New Roman" w:hAnsi="Times New Roman" w:cs="Times New Roman"/>
          <w:color w:val="auto"/>
        </w:rPr>
        <w:t>Identifica</w:t>
      </w:r>
      <w:r w:rsidRPr="004804F9">
        <w:rPr>
          <w:rFonts w:ascii="Times New Roman" w:hAnsi="Times New Roman" w:cs="Times New Roman"/>
          <w:color w:val="auto"/>
        </w:rPr>
        <w:t>ción de</w:t>
      </w:r>
      <w:r w:rsidR="00277369" w:rsidRPr="004804F9">
        <w:rPr>
          <w:rFonts w:ascii="Times New Roman" w:hAnsi="Times New Roman" w:cs="Times New Roman"/>
          <w:color w:val="auto"/>
        </w:rPr>
        <w:t xml:space="preserve"> las limitaciones en cuanto a al sistema de tratamiento y prop</w:t>
      </w:r>
      <w:r w:rsidRPr="004804F9">
        <w:rPr>
          <w:rFonts w:ascii="Times New Roman" w:hAnsi="Times New Roman" w:cs="Times New Roman"/>
          <w:color w:val="auto"/>
        </w:rPr>
        <w:t>uestas</w:t>
      </w:r>
      <w:r w:rsidR="00277369" w:rsidRPr="004804F9">
        <w:rPr>
          <w:rFonts w:ascii="Times New Roman" w:hAnsi="Times New Roman" w:cs="Times New Roman"/>
          <w:color w:val="auto"/>
        </w:rPr>
        <w:t xml:space="preserve"> para el eventual diseño de un nuevo sistema</w:t>
      </w:r>
      <w:bookmarkEnd w:id="165"/>
    </w:p>
    <w:p w:rsidR="00277369" w:rsidRDefault="00277369" w:rsidP="00117D02">
      <w:pPr>
        <w:spacing w:line="360" w:lineRule="auto"/>
        <w:jc w:val="both"/>
        <w:rPr>
          <w:szCs w:val="24"/>
        </w:rPr>
      </w:pPr>
      <w:r>
        <w:rPr>
          <w:szCs w:val="24"/>
        </w:rPr>
        <w:tab/>
        <w:t>A continuación se listan una serie propuestas para la mejora del sistema en función a las limitaciones presentadas en cuanto al sistema y los objetivos planteados.</w:t>
      </w:r>
    </w:p>
    <w:p w:rsidR="00277369" w:rsidRPr="00874CEA" w:rsidRDefault="00277369" w:rsidP="005B74B4">
      <w:pPr>
        <w:spacing w:before="240" w:line="360" w:lineRule="auto"/>
        <w:jc w:val="both"/>
        <w:rPr>
          <w:b/>
          <w:szCs w:val="24"/>
        </w:rPr>
      </w:pPr>
      <w:r w:rsidRPr="00874CEA">
        <w:rPr>
          <w:b/>
          <w:szCs w:val="24"/>
        </w:rPr>
        <w:t>Celda de tratamiento eléctrico.</w:t>
      </w:r>
    </w:p>
    <w:p w:rsidR="003D497D" w:rsidRDefault="00277369" w:rsidP="003D497D">
      <w:pPr>
        <w:spacing w:line="360" w:lineRule="auto"/>
        <w:jc w:val="both"/>
        <w:rPr>
          <w:szCs w:val="24"/>
        </w:rPr>
      </w:pPr>
      <w:r>
        <w:rPr>
          <w:szCs w:val="24"/>
        </w:rPr>
        <w:tab/>
        <w:t>Existen dos aspectos fundamentales a los cuales debe mencionarse respecto a la celda de tratamiento eléctrico, la geometría de los electrodos y la separación entre los electrodos.</w:t>
      </w:r>
      <w:r w:rsidR="003D497D">
        <w:rPr>
          <w:szCs w:val="24"/>
        </w:rPr>
        <w:t xml:space="preserve"> De acuerdo al trabajo de Fung, E., la mejor separación se obtiene para un eléctrico no uniforme (Fung, 2011). Ciertamente la presencia de un medio coalescedor en la celda promueve la uniformidad del campo eléctrico aplicado sin embargo debe procurarse que la promoción de la uniformidad no sea solo por efectos de la presencia de un medio coalescedor. Esto se puede lograr si se varía la geometría de los electrodos. Por lo general, para electrodos de geometría cilíndrica la distorsión o uniformidad es más grande que para electrodos planos. En la figura a continuación puede apreciarse </w:t>
      </w:r>
      <w:r w:rsidR="003E7EDD">
        <w:rPr>
          <w:szCs w:val="24"/>
        </w:rPr>
        <w:t>esta diferencia:</w:t>
      </w:r>
    </w:p>
    <w:p w:rsidR="000F59DD" w:rsidRPr="000F59DD" w:rsidRDefault="000F59DD" w:rsidP="000F59DD">
      <w:pPr>
        <w:spacing w:line="360" w:lineRule="auto"/>
        <w:jc w:val="both"/>
        <w:rPr>
          <w:szCs w:val="24"/>
        </w:rPr>
      </w:pPr>
      <w:r>
        <w:rPr>
          <w:szCs w:val="24"/>
        </w:rPr>
        <w:t xml:space="preserve">                                </w:t>
      </w:r>
      <w:r w:rsidR="00117D02">
        <w:rPr>
          <w:szCs w:val="24"/>
        </w:rPr>
        <w:t xml:space="preserve"> </w:t>
      </w:r>
      <w:r w:rsidRPr="000F59DD">
        <w:rPr>
          <w:szCs w:val="24"/>
        </w:rPr>
        <w:t>(a</w:t>
      </w:r>
      <w:r>
        <w:rPr>
          <w:szCs w:val="24"/>
        </w:rPr>
        <w:t xml:space="preserve">) </w:t>
      </w:r>
      <w:r w:rsidRPr="000F59DD">
        <w:rPr>
          <w:szCs w:val="24"/>
        </w:rPr>
        <w:t xml:space="preserve">                              </w:t>
      </w:r>
      <w:r w:rsidR="00962EE2">
        <w:rPr>
          <w:szCs w:val="24"/>
        </w:rPr>
        <w:t xml:space="preserve">                  </w:t>
      </w:r>
      <w:r w:rsidRPr="000F59DD">
        <w:rPr>
          <w:szCs w:val="24"/>
        </w:rPr>
        <w:t xml:space="preserve">  </w:t>
      </w:r>
      <w:r w:rsidR="00117D02">
        <w:rPr>
          <w:szCs w:val="24"/>
        </w:rPr>
        <w:t xml:space="preserve"> </w:t>
      </w:r>
      <w:r w:rsidRPr="000F59DD">
        <w:rPr>
          <w:szCs w:val="24"/>
        </w:rPr>
        <w:t>(b)</w:t>
      </w:r>
    </w:p>
    <w:p w:rsidR="00B34371" w:rsidRDefault="00A73CD2" w:rsidP="000F59DD">
      <w:pPr>
        <w:spacing w:line="360" w:lineRule="auto"/>
        <w:jc w:val="center"/>
        <w:rPr>
          <w:szCs w:val="24"/>
        </w:rPr>
      </w:pPr>
      <w:r>
        <w:rPr>
          <w:noProof/>
          <w:szCs w:val="24"/>
          <w:lang w:val="en-US" w:eastAsia="en-US"/>
        </w:rPr>
        <w:pict>
          <v:shape id="_x0000_s1358" type="#_x0000_t202" style="position:absolute;left:0;text-align:left;margin-left:158pt;margin-top:52.8pt;width:19.2pt;height:21pt;z-index:251756032;mso-height-percent:200;mso-height-percent:200;mso-width-relative:margin;mso-height-relative:margin" filled="f" stroked="f">
            <v:textbox style="mso-next-textbox:#_x0000_s1358;mso-fit-shape-to-text:t">
              <w:txbxContent>
                <w:p w:rsidR="004134A0" w:rsidRPr="00964044" w:rsidRDefault="004134A0" w:rsidP="005B68C5">
                  <w:pPr>
                    <w:rPr>
                      <w:b/>
                      <w:lang w:val="en-US"/>
                    </w:rPr>
                  </w:pPr>
                  <w:r w:rsidRPr="00964044">
                    <w:rPr>
                      <w:b/>
                    </w:rPr>
                    <w:t>-</w:t>
                  </w:r>
                </w:p>
              </w:txbxContent>
            </v:textbox>
          </v:shape>
        </w:pict>
      </w:r>
      <w:r>
        <w:rPr>
          <w:noProof/>
          <w:szCs w:val="24"/>
          <w:lang w:val="en-US" w:eastAsia="en-US"/>
        </w:rPr>
        <w:pict>
          <v:shape id="_x0000_s1357" type="#_x0000_t202" style="position:absolute;left:0;text-align:left;margin-left:255.8pt;margin-top:50.85pt;width:19.2pt;height:21pt;z-index:251755008;mso-height-percent:200;mso-height-percent:200;mso-width-relative:margin;mso-height-relative:margin" filled="f" stroked="f">
            <v:textbox style="mso-next-textbox:#_x0000_s1357;mso-fit-shape-to-text:t">
              <w:txbxContent>
                <w:p w:rsidR="004134A0" w:rsidRPr="00117D02" w:rsidRDefault="004134A0" w:rsidP="005B68C5">
                  <w:pPr>
                    <w:rPr>
                      <w:b/>
                      <w:color w:val="FF0000"/>
                      <w:lang w:val="en-US"/>
                    </w:rPr>
                  </w:pPr>
                  <w:r w:rsidRPr="00117D02">
                    <w:rPr>
                      <w:b/>
                      <w:color w:val="FF0000"/>
                    </w:rPr>
                    <w:t>-</w:t>
                  </w:r>
                </w:p>
              </w:txbxContent>
            </v:textbox>
          </v:shape>
        </w:pict>
      </w:r>
      <w:r>
        <w:rPr>
          <w:noProof/>
          <w:szCs w:val="24"/>
          <w:lang w:val="en-US" w:eastAsia="en-US"/>
        </w:rPr>
        <w:pict>
          <v:shape id="_x0000_s1356" type="#_x0000_t202" style="position:absolute;left:0;text-align:left;margin-left:228.3pt;margin-top:14.6pt;width:19.2pt;height:21pt;z-index:251753984;mso-height-percent:200;mso-height-percent:200;mso-width-relative:margin;mso-height-relative:margin" filled="f" stroked="f">
            <v:textbox style="mso-next-textbox:#_x0000_s1356;mso-fit-shape-to-text:t">
              <w:txbxContent>
                <w:p w:rsidR="004134A0" w:rsidRPr="00964044" w:rsidRDefault="004134A0" w:rsidP="005B68C5">
                  <w:pPr>
                    <w:rPr>
                      <w:b/>
                      <w:color w:val="FF0000"/>
                      <w:lang w:val="en-US"/>
                    </w:rPr>
                  </w:pPr>
                  <w:r w:rsidRPr="00964044">
                    <w:rPr>
                      <w:b/>
                      <w:color w:val="FF0000"/>
                    </w:rPr>
                    <w:t>+</w:t>
                  </w:r>
                </w:p>
              </w:txbxContent>
            </v:textbox>
          </v:shape>
        </w:pict>
      </w:r>
      <w:r w:rsidRPr="00A73CD2">
        <w:rPr>
          <w:noProof/>
          <w:szCs w:val="24"/>
          <w:lang w:eastAsia="zh-TW"/>
        </w:rPr>
        <w:pict>
          <v:shape id="_x0000_s1355" type="#_x0000_t202" style="position:absolute;left:0;text-align:left;margin-left:98.05pt;margin-top:52.8pt;width:19.2pt;height:21.75pt;z-index:251752960;mso-height-percent:200;mso-height-percent:200;mso-width-relative:margin;mso-height-relative:margin" filled="f" stroked="f">
            <v:textbox style="mso-next-textbox:#_x0000_s1355;mso-fit-shape-to-text:t">
              <w:txbxContent>
                <w:p w:rsidR="004134A0" w:rsidRPr="00964044" w:rsidRDefault="004134A0">
                  <w:pPr>
                    <w:rPr>
                      <w:b/>
                      <w:color w:val="FF0000"/>
                      <w:lang w:val="en-US"/>
                    </w:rPr>
                  </w:pPr>
                  <w:r w:rsidRPr="00964044">
                    <w:rPr>
                      <w:b/>
                      <w:color w:val="FF0000"/>
                    </w:rPr>
                    <w:t>+</w:t>
                  </w:r>
                </w:p>
              </w:txbxContent>
            </v:textbox>
          </v:shape>
        </w:pict>
      </w:r>
      <w:r w:rsidR="00962EE2">
        <w:rPr>
          <w:noProof/>
          <w:szCs w:val="24"/>
          <w:lang w:val="en-US" w:eastAsia="en-US"/>
        </w:rPr>
        <w:drawing>
          <wp:inline distT="0" distB="0" distL="0" distR="0">
            <wp:extent cx="5245100" cy="2682875"/>
            <wp:effectExtent l="19050" t="0" r="0" b="0"/>
            <wp:docPr id="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5245100" cy="2682875"/>
                    </a:xfrm>
                    <a:prstGeom prst="rect">
                      <a:avLst/>
                    </a:prstGeom>
                    <a:noFill/>
                    <a:ln w="9525">
                      <a:noFill/>
                      <a:miter lim="800000"/>
                      <a:headEnd/>
                      <a:tailEnd/>
                    </a:ln>
                  </pic:spPr>
                </pic:pic>
              </a:graphicData>
            </a:graphic>
          </wp:inline>
        </w:drawing>
      </w:r>
    </w:p>
    <w:p w:rsidR="000F59DD" w:rsidRPr="00117D02" w:rsidRDefault="00A275D5" w:rsidP="00A275D5">
      <w:pPr>
        <w:pStyle w:val="Epgrafe"/>
        <w:spacing w:line="360" w:lineRule="auto"/>
      </w:pPr>
      <w:bookmarkStart w:id="166" w:name="_Toc327481461"/>
      <w:r>
        <w:t xml:space="preserve">Figura N° </w:t>
      </w:r>
      <w:fldSimple w:instr=" SEQ Figura_N° \* ARABIC ">
        <w:r w:rsidR="004A5F6F">
          <w:rPr>
            <w:noProof/>
          </w:rPr>
          <w:t>49</w:t>
        </w:r>
      </w:fldSimple>
      <w:r w:rsidR="000F59DD" w:rsidRPr="00117D02">
        <w:t>: Distribución de las líneas de flujo de campo eléctrico. (a) Electrodos p</w:t>
      </w:r>
      <w:r>
        <w:t>lanos. (b) Electros cilíndricos (Elaboración propia).</w:t>
      </w:r>
      <w:bookmarkEnd w:id="166"/>
    </w:p>
    <w:p w:rsidR="00D07027" w:rsidRDefault="00D07027" w:rsidP="00D07027">
      <w:pPr>
        <w:spacing w:line="360" w:lineRule="auto"/>
        <w:jc w:val="both"/>
        <w:rPr>
          <w:szCs w:val="24"/>
        </w:rPr>
      </w:pPr>
      <w:r>
        <w:rPr>
          <w:szCs w:val="24"/>
        </w:rPr>
        <w:lastRenderedPageBreak/>
        <w:tab/>
        <w:t xml:space="preserve">Para el caso de los electrodos de geometría cilíndrica la no uniformidad viene dada por una concentración de las líneas de campo alrededor del electrodo negativo. </w:t>
      </w:r>
      <w:r w:rsidR="00117D02">
        <w:rPr>
          <w:szCs w:val="24"/>
        </w:rPr>
        <w:tab/>
      </w:r>
      <w:r>
        <w:rPr>
          <w:szCs w:val="24"/>
        </w:rPr>
        <w:t>Cabe destacar que la representación de las líneas de flujo de campo varían significativamente si se considera la presencia de la emulsión junto con el medio coalescedor.</w:t>
      </w:r>
    </w:p>
    <w:p w:rsidR="00277369" w:rsidRDefault="00D07027" w:rsidP="00117D02">
      <w:pPr>
        <w:spacing w:after="240" w:line="360" w:lineRule="auto"/>
        <w:jc w:val="both"/>
        <w:rPr>
          <w:szCs w:val="24"/>
        </w:rPr>
      </w:pPr>
      <w:r>
        <w:rPr>
          <w:szCs w:val="24"/>
        </w:rPr>
        <w:tab/>
      </w:r>
      <w:r w:rsidR="00277369">
        <w:rPr>
          <w:szCs w:val="24"/>
        </w:rPr>
        <w:t xml:space="preserve">Por otro lado, una menor distancia entre electrodos induce un mayor efecto desestabilizador en la emulsión. Es posible se logren efectos más significativos en cuanto a la separación si reduce la separación entre los electrodos. Además si se considera que la intensidad de campo está determinada por el fenómeno de percolación, una manera de intensificar el efecto desestabilizador del campo eléctrico es disminuyendo la </w:t>
      </w:r>
      <w:r w:rsidR="0099542D">
        <w:rPr>
          <w:szCs w:val="24"/>
        </w:rPr>
        <w:t>separación entre los electrodos.</w:t>
      </w:r>
    </w:p>
    <w:p w:rsidR="00277369" w:rsidRPr="00117D02" w:rsidRDefault="00277369" w:rsidP="00117D02">
      <w:pPr>
        <w:spacing w:line="360" w:lineRule="auto"/>
        <w:jc w:val="both"/>
        <w:rPr>
          <w:b/>
          <w:szCs w:val="24"/>
        </w:rPr>
      </w:pPr>
      <w:r w:rsidRPr="00117D02">
        <w:rPr>
          <w:b/>
          <w:szCs w:val="24"/>
        </w:rPr>
        <w:t>Temperatura de la emulsión en el sistema</w:t>
      </w:r>
    </w:p>
    <w:p w:rsidR="00277369" w:rsidRDefault="00277369" w:rsidP="00117D02">
      <w:pPr>
        <w:spacing w:line="360" w:lineRule="auto"/>
        <w:jc w:val="both"/>
        <w:rPr>
          <w:szCs w:val="24"/>
        </w:rPr>
      </w:pPr>
      <w:r>
        <w:rPr>
          <w:szCs w:val="24"/>
        </w:rPr>
        <w:tab/>
        <w:t xml:space="preserve">Las emulsiones se calentaron a una temperatura tal que se garantizase el flujo de la emulsión a través del sistema. Ya se ha mencionado anteriormente que la temperatura a la cual se calentaron las emulsiones en el tanque de alimentación se determinó arbitrariamente. La temperatura juega un rol fundamental en el proceso de desestabilización. En este sentido sería conveniente realizar cada una de las experiencias planteadas para distintos valores de temperatura a fin de estudiar detenidamente el efecto de la temperatura en el proceso de desestabilización. </w:t>
      </w:r>
    </w:p>
    <w:p w:rsidR="00277369" w:rsidRDefault="00277369" w:rsidP="00277369">
      <w:pPr>
        <w:spacing w:line="360" w:lineRule="auto"/>
        <w:jc w:val="both"/>
        <w:rPr>
          <w:szCs w:val="24"/>
        </w:rPr>
      </w:pPr>
      <w:r>
        <w:rPr>
          <w:szCs w:val="24"/>
        </w:rPr>
        <w:tab/>
        <w:t xml:space="preserve">Sin embargo, debe hacerse una consideración especial en lo que respecta a la fosas </w:t>
      </w:r>
      <w:r w:rsidR="00355A67">
        <w:rPr>
          <w:szCs w:val="24"/>
        </w:rPr>
        <w:t>Merey-31</w:t>
      </w:r>
      <w:r>
        <w:rPr>
          <w:szCs w:val="24"/>
        </w:rPr>
        <w:t xml:space="preserve"> y </w:t>
      </w:r>
      <w:r w:rsidR="00355A67">
        <w:rPr>
          <w:szCs w:val="24"/>
        </w:rPr>
        <w:t>Guara-2</w:t>
      </w:r>
      <w:r>
        <w:rPr>
          <w:szCs w:val="24"/>
        </w:rPr>
        <w:t xml:space="preserve"> debido a que para llevar a cabo estos ensayos es necesario realizar algunas modificaciones al sistema, específicamente si se considera trabajar con la fosa </w:t>
      </w:r>
      <w:r w:rsidR="00355A67">
        <w:rPr>
          <w:szCs w:val="24"/>
        </w:rPr>
        <w:t>Guara-2</w:t>
      </w:r>
      <w:r>
        <w:rPr>
          <w:szCs w:val="24"/>
        </w:rPr>
        <w:t>.</w:t>
      </w:r>
    </w:p>
    <w:p w:rsidR="00277369" w:rsidRDefault="00277369" w:rsidP="00117D02">
      <w:pPr>
        <w:spacing w:after="240" w:line="360" w:lineRule="auto"/>
        <w:jc w:val="both"/>
        <w:rPr>
          <w:szCs w:val="24"/>
        </w:rPr>
      </w:pPr>
      <w:r>
        <w:rPr>
          <w:szCs w:val="24"/>
        </w:rPr>
        <w:tab/>
        <w:t>Lo primero que debe garantizarse es que la diferencia de temperatura de la emulsión a la entrada y salida del sistema no sea menor a los 5 °C</w:t>
      </w:r>
      <w:r w:rsidR="00117D02">
        <w:rPr>
          <w:szCs w:val="24"/>
        </w:rPr>
        <w:t xml:space="preserve"> a fin de evitar el taponamiento del sistema</w:t>
      </w:r>
      <w:r>
        <w:rPr>
          <w:szCs w:val="24"/>
        </w:rPr>
        <w:t xml:space="preserve">. Para esto se deberá necesariamente recubrir el sistema con una resistencia eléctrica similar a la usada en el tanque de alimentación y posteriormente aislarlo térmicamente. Sin embargo para la fosa </w:t>
      </w:r>
      <w:r w:rsidR="00355A67">
        <w:rPr>
          <w:szCs w:val="24"/>
        </w:rPr>
        <w:t>Guara-2</w:t>
      </w:r>
      <w:r>
        <w:rPr>
          <w:szCs w:val="24"/>
        </w:rPr>
        <w:t xml:space="preserve"> esto pudiese ocasionar que el agua contenida en la emulsión ebulla a consecuencia del </w:t>
      </w:r>
      <w:r>
        <w:rPr>
          <w:szCs w:val="24"/>
        </w:rPr>
        <w:lastRenderedPageBreak/>
        <w:t xml:space="preserve">calentamiento en la celda de aplicación de campo eléctrico. En caso de que esto ocurriese podría considerarse la instalación de un sistema que permita incrementar la presión del tanque de alimentación a fin de que la presión de la emulsión a la entrada de la celda de aplicación de campo eléctrico sea mucho mayor. El sistema de presurización podría elaborarse aumentando la presión del tanque de alimentación con nitrógeno. Esto conllevaría a presurizar el tanque alimentación. </w:t>
      </w:r>
    </w:p>
    <w:p w:rsidR="00277369" w:rsidRPr="00117D02" w:rsidRDefault="00277369" w:rsidP="00117D02">
      <w:pPr>
        <w:spacing w:line="360" w:lineRule="auto"/>
        <w:jc w:val="both"/>
        <w:rPr>
          <w:b/>
          <w:szCs w:val="24"/>
        </w:rPr>
      </w:pPr>
      <w:r w:rsidRPr="00117D02">
        <w:rPr>
          <w:b/>
          <w:szCs w:val="24"/>
        </w:rPr>
        <w:t>Volumen del tanque de alimentación</w:t>
      </w:r>
    </w:p>
    <w:p w:rsidR="00277369" w:rsidRDefault="00277369" w:rsidP="00A275D5">
      <w:pPr>
        <w:spacing w:after="240" w:line="360" w:lineRule="auto"/>
        <w:jc w:val="both"/>
        <w:rPr>
          <w:szCs w:val="24"/>
        </w:rPr>
      </w:pPr>
      <w:r>
        <w:rPr>
          <w:szCs w:val="24"/>
        </w:rPr>
        <w:tab/>
        <w:t>Aumentando el volumen del tanque de alimentación se podrían realizar pruebas en continuo que contemplen recolectar una mayor cantidad de muestra. Esto permitiría estudiar la eficiencia del medio coalescedor como una función del tiempo.</w:t>
      </w:r>
    </w:p>
    <w:p w:rsidR="00277369" w:rsidRPr="00117D02" w:rsidRDefault="00277369" w:rsidP="00277369">
      <w:pPr>
        <w:spacing w:line="360" w:lineRule="auto"/>
        <w:jc w:val="both"/>
        <w:rPr>
          <w:b/>
          <w:szCs w:val="24"/>
        </w:rPr>
      </w:pPr>
      <w:r w:rsidRPr="00117D02">
        <w:rPr>
          <w:b/>
          <w:szCs w:val="24"/>
        </w:rPr>
        <w:t>Medio coalescedor</w:t>
      </w:r>
    </w:p>
    <w:p w:rsidR="00277369" w:rsidRDefault="00277369" w:rsidP="00277369">
      <w:pPr>
        <w:spacing w:line="360" w:lineRule="auto"/>
        <w:jc w:val="both"/>
        <w:rPr>
          <w:szCs w:val="24"/>
        </w:rPr>
      </w:pPr>
      <w:r>
        <w:rPr>
          <w:szCs w:val="24"/>
        </w:rPr>
        <w:t>La eficiencia del medio coalescedor viene determinada por:</w:t>
      </w:r>
      <w:r w:rsidRPr="007D23E5">
        <w:rPr>
          <w:szCs w:val="24"/>
        </w:rPr>
        <w:t xml:space="preserve"> </w:t>
      </w:r>
    </w:p>
    <w:p w:rsidR="00277369" w:rsidRDefault="00A275D5" w:rsidP="00277369">
      <w:pPr>
        <w:spacing w:line="360" w:lineRule="auto"/>
        <w:jc w:val="both"/>
        <w:rPr>
          <w:szCs w:val="24"/>
        </w:rPr>
      </w:pPr>
      <w:r>
        <w:rPr>
          <w:szCs w:val="24"/>
        </w:rPr>
        <w:tab/>
      </w:r>
      <w:r w:rsidR="00277369">
        <w:rPr>
          <w:szCs w:val="24"/>
        </w:rPr>
        <w:t>- La mojabilidad específica del material (ángulo de contacto).</w:t>
      </w:r>
    </w:p>
    <w:p w:rsidR="00277369" w:rsidRDefault="00A275D5" w:rsidP="00277369">
      <w:pPr>
        <w:spacing w:line="360" w:lineRule="auto"/>
        <w:jc w:val="both"/>
        <w:rPr>
          <w:szCs w:val="24"/>
        </w:rPr>
      </w:pPr>
      <w:r>
        <w:rPr>
          <w:szCs w:val="24"/>
        </w:rPr>
        <w:tab/>
      </w:r>
      <w:r w:rsidR="00277369">
        <w:rPr>
          <w:szCs w:val="24"/>
        </w:rPr>
        <w:t>- El área superficial disponible (Tamaño de grano).</w:t>
      </w:r>
    </w:p>
    <w:p w:rsidR="00277369" w:rsidRDefault="00A275D5" w:rsidP="00277369">
      <w:pPr>
        <w:spacing w:line="360" w:lineRule="auto"/>
        <w:jc w:val="both"/>
        <w:rPr>
          <w:szCs w:val="24"/>
        </w:rPr>
      </w:pPr>
      <w:r>
        <w:rPr>
          <w:szCs w:val="24"/>
        </w:rPr>
        <w:tab/>
      </w:r>
      <w:r w:rsidR="00277369">
        <w:rPr>
          <w:szCs w:val="24"/>
        </w:rPr>
        <w:t>- La geometría del material.</w:t>
      </w:r>
    </w:p>
    <w:p w:rsidR="00277369" w:rsidRDefault="00277369" w:rsidP="00277369">
      <w:pPr>
        <w:spacing w:line="360" w:lineRule="auto"/>
        <w:jc w:val="both"/>
        <w:rPr>
          <w:szCs w:val="24"/>
        </w:rPr>
      </w:pPr>
      <w:r>
        <w:rPr>
          <w:szCs w:val="24"/>
        </w:rPr>
        <w:tab/>
        <w:t xml:space="preserve">Los análisis realizados se hicieron con materiales de un tamaño y una mojabilidad específica. Sería importante estudiar como cada una de las consideraciones realizadas afecta el proceso de deshidratación de la emulsión. </w:t>
      </w:r>
    </w:p>
    <w:p w:rsidR="00277369" w:rsidRDefault="00277369" w:rsidP="00277369">
      <w:pPr>
        <w:spacing w:line="360" w:lineRule="auto"/>
        <w:jc w:val="both"/>
        <w:rPr>
          <w:szCs w:val="24"/>
        </w:rPr>
      </w:pPr>
      <w:r>
        <w:rPr>
          <w:szCs w:val="24"/>
        </w:rPr>
        <w:tab/>
        <w:t>Respecto a la mojabilidad del medio coalescedor, debe estimarse el ángulo de contacto del material con el fin de tener una medida mucho más certera del grado de hidrofobicidad o hidrofilicidad del material.</w:t>
      </w:r>
    </w:p>
    <w:p w:rsidR="00277369" w:rsidRDefault="00277369" w:rsidP="00277369">
      <w:pPr>
        <w:spacing w:line="360" w:lineRule="auto"/>
        <w:jc w:val="both"/>
        <w:rPr>
          <w:szCs w:val="24"/>
        </w:rPr>
      </w:pPr>
      <w:r>
        <w:rPr>
          <w:szCs w:val="24"/>
        </w:rPr>
        <w:tab/>
        <w:t>El área superficial está relacionada con la geometría del material. Las distinción se hace porque a pesar de que una mayor cantidad de área puede promover la separación, la geometría determinará en parte la flujodinámica de la emulsión a través del sistema.</w:t>
      </w:r>
    </w:p>
    <w:p w:rsidR="00277369" w:rsidRDefault="00277369" w:rsidP="00117D02">
      <w:pPr>
        <w:spacing w:after="240" w:line="360" w:lineRule="auto"/>
        <w:jc w:val="both"/>
        <w:rPr>
          <w:szCs w:val="24"/>
        </w:rPr>
      </w:pPr>
      <w:r>
        <w:rPr>
          <w:szCs w:val="24"/>
        </w:rPr>
        <w:t xml:space="preserve">Por último, sería importante probar una mayor cantidad de materiales, a fin de ampliar el rango de estudio. Para esto considérese, la inclusión de un material poroso o un material en constitución física específica irregular, como por ejemplo una fibra. </w:t>
      </w:r>
    </w:p>
    <w:p w:rsidR="00DC2D1E" w:rsidRPr="00117D02" w:rsidRDefault="00DC2D1E" w:rsidP="00117D02">
      <w:pPr>
        <w:spacing w:line="360" w:lineRule="auto"/>
        <w:jc w:val="both"/>
        <w:rPr>
          <w:b/>
          <w:szCs w:val="24"/>
        </w:rPr>
      </w:pPr>
      <w:r w:rsidRPr="00117D02">
        <w:rPr>
          <w:b/>
          <w:szCs w:val="24"/>
        </w:rPr>
        <w:lastRenderedPageBreak/>
        <w:t>Control de flujo de la emulsión en el sistema</w:t>
      </w:r>
    </w:p>
    <w:p w:rsidR="00DC2D1E" w:rsidRDefault="00DC2D1E" w:rsidP="00117D02">
      <w:pPr>
        <w:spacing w:line="360" w:lineRule="auto"/>
        <w:jc w:val="both"/>
        <w:rPr>
          <w:szCs w:val="24"/>
        </w:rPr>
      </w:pPr>
      <w:r>
        <w:rPr>
          <w:szCs w:val="24"/>
        </w:rPr>
        <w:tab/>
        <w:t>La variación de la velocidad del flujo de la emulsión en el sistema permitió establecer distintos tiempos de residencia. Sin embargo el control de la velocidad se realizó de una manera poco precisa. La válvula de paso de la emulsión a la celda siempre permaneció abierta. Sin embargo, si se desea ser más riguroso en el cont</w:t>
      </w:r>
      <w:r w:rsidR="008A1DE5">
        <w:rPr>
          <w:szCs w:val="24"/>
        </w:rPr>
        <w:t>rol de flujo, éste debe realizarse</w:t>
      </w:r>
      <w:r>
        <w:rPr>
          <w:szCs w:val="24"/>
        </w:rPr>
        <w:t xml:space="preserve"> con la válvula de paso. Esto requerirá determinar el coeficiente de la válvula a fin de conocer para que rango de apertura es posible controlar el flujo de emulsión.</w:t>
      </w:r>
    </w:p>
    <w:p w:rsidR="00277369" w:rsidRDefault="00277369" w:rsidP="00DC2D1E">
      <w:pPr>
        <w:spacing w:line="360" w:lineRule="auto"/>
        <w:jc w:val="both"/>
        <w:rPr>
          <w:szCs w:val="24"/>
        </w:rPr>
      </w:pPr>
    </w:p>
    <w:p w:rsidR="000D6816" w:rsidRDefault="000D6816" w:rsidP="00DC2D1E">
      <w:pPr>
        <w:spacing w:line="360" w:lineRule="auto"/>
        <w:jc w:val="both"/>
        <w:rPr>
          <w:szCs w:val="24"/>
        </w:rPr>
      </w:pPr>
    </w:p>
    <w:p w:rsidR="000D6816" w:rsidRDefault="000D6816" w:rsidP="00DC2D1E">
      <w:pPr>
        <w:spacing w:line="360" w:lineRule="auto"/>
        <w:jc w:val="both"/>
        <w:rPr>
          <w:szCs w:val="24"/>
        </w:rPr>
      </w:pPr>
    </w:p>
    <w:p w:rsidR="0046578D" w:rsidRDefault="0046578D" w:rsidP="00DC2D1E">
      <w:pPr>
        <w:spacing w:line="360" w:lineRule="auto"/>
        <w:jc w:val="both"/>
        <w:rPr>
          <w:szCs w:val="24"/>
        </w:rPr>
        <w:sectPr w:rsidR="0046578D" w:rsidSect="00820F87">
          <w:pgSz w:w="12240" w:h="15840"/>
          <w:pgMar w:top="1699" w:right="1699" w:bottom="1699" w:left="2275" w:header="720" w:footer="720" w:gutter="0"/>
          <w:cols w:space="720"/>
          <w:docGrid w:linePitch="360"/>
        </w:sectPr>
      </w:pPr>
    </w:p>
    <w:p w:rsidR="000D6816" w:rsidRPr="00BA311A" w:rsidRDefault="000D6816" w:rsidP="005B74B4">
      <w:pPr>
        <w:pStyle w:val="Ttulo1"/>
      </w:pPr>
      <w:bookmarkStart w:id="167" w:name="_Toc327478034"/>
      <w:r w:rsidRPr="00BA311A">
        <w:lastRenderedPageBreak/>
        <w:t>CONCLUSIONES</w:t>
      </w:r>
      <w:bookmarkEnd w:id="167"/>
    </w:p>
    <w:p w:rsidR="00BA311A" w:rsidRDefault="00BA311A" w:rsidP="00BA311A">
      <w:pPr>
        <w:autoSpaceDE w:val="0"/>
        <w:autoSpaceDN w:val="0"/>
        <w:adjustRightInd w:val="0"/>
        <w:spacing w:before="240" w:line="360" w:lineRule="auto"/>
        <w:jc w:val="both"/>
        <w:rPr>
          <w:rFonts w:eastAsia="Calibri"/>
          <w:szCs w:val="24"/>
          <w:lang w:val="es-VE" w:eastAsia="en-US"/>
        </w:rPr>
      </w:pPr>
      <w:r>
        <w:rPr>
          <w:rFonts w:eastAsia="Calibri"/>
          <w:szCs w:val="24"/>
          <w:lang w:val="es-VE" w:eastAsia="en-US"/>
        </w:rPr>
        <w:t>En base a las discusiones realizadas se puede concluir lo siguiente:</w:t>
      </w:r>
    </w:p>
    <w:p w:rsidR="000B6608" w:rsidRPr="00BA311A" w:rsidRDefault="00053895"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BA311A">
        <w:rPr>
          <w:rFonts w:eastAsia="Calibri"/>
          <w:szCs w:val="24"/>
          <w:lang w:val="es-VE" w:eastAsia="en-US"/>
        </w:rPr>
        <w:t>Se construyó un sistema de tratamiento</w:t>
      </w:r>
      <w:r w:rsidR="000B6608" w:rsidRPr="00BA311A">
        <w:rPr>
          <w:rFonts w:eastAsia="Calibri"/>
          <w:szCs w:val="24"/>
          <w:lang w:val="es-VE" w:eastAsia="en-US"/>
        </w:rPr>
        <w:t xml:space="preserve"> de operación en continuo </w:t>
      </w:r>
      <w:r w:rsidRPr="00BA311A">
        <w:rPr>
          <w:rFonts w:eastAsia="Calibri"/>
          <w:szCs w:val="24"/>
          <w:lang w:val="es-VE" w:eastAsia="en-US"/>
        </w:rPr>
        <w:t xml:space="preserve">para la deshidratación de emulsiones W/O de fosas de producción de crudo con la </w:t>
      </w:r>
      <w:r w:rsidR="00BB56D6" w:rsidRPr="00BA311A">
        <w:rPr>
          <w:rFonts w:eastAsia="Calibri"/>
          <w:szCs w:val="24"/>
          <w:lang w:val="es-VE" w:eastAsia="en-US"/>
        </w:rPr>
        <w:t>inclusión</w:t>
      </w:r>
      <w:r w:rsidRPr="00BA311A">
        <w:rPr>
          <w:rFonts w:eastAsia="Calibri"/>
          <w:szCs w:val="24"/>
          <w:lang w:val="es-VE" w:eastAsia="en-US"/>
        </w:rPr>
        <w:t xml:space="preserve"> </w:t>
      </w:r>
      <w:r w:rsidR="0089784E" w:rsidRPr="00BA311A">
        <w:rPr>
          <w:rFonts w:eastAsia="Calibri"/>
          <w:szCs w:val="24"/>
          <w:lang w:val="es-VE" w:eastAsia="en-US"/>
        </w:rPr>
        <w:t>de un medio coalescedor</w:t>
      </w:r>
      <w:r w:rsidR="006177C4" w:rsidRPr="00BA311A">
        <w:rPr>
          <w:rFonts w:eastAsia="Calibri"/>
          <w:szCs w:val="24"/>
          <w:lang w:val="es-VE" w:eastAsia="en-US"/>
        </w:rPr>
        <w:t xml:space="preserve"> para promover </w:t>
      </w:r>
      <w:r w:rsidR="000B6608" w:rsidRPr="00BA311A">
        <w:rPr>
          <w:rFonts w:eastAsia="Calibri"/>
          <w:szCs w:val="24"/>
          <w:lang w:val="es-VE" w:eastAsia="en-US"/>
        </w:rPr>
        <w:t>la desestabilización de la emulsión</w:t>
      </w:r>
      <w:r w:rsidR="00874CEA">
        <w:rPr>
          <w:rFonts w:eastAsia="Calibri"/>
          <w:szCs w:val="24"/>
          <w:lang w:val="es-VE" w:eastAsia="en-US"/>
        </w:rPr>
        <w:t xml:space="preserve"> y aumentar la tasa de coalescencia.</w:t>
      </w:r>
    </w:p>
    <w:p w:rsidR="000B6608" w:rsidRPr="00BA311A" w:rsidRDefault="000B6608"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BA311A">
        <w:rPr>
          <w:rFonts w:eastAsia="Calibri"/>
          <w:szCs w:val="24"/>
          <w:lang w:val="es-VE" w:eastAsia="en-US"/>
        </w:rPr>
        <w:t xml:space="preserve">Debido a la diferencia composicional y de viscosidad de cada fosa fue necesario calentar las emulsiones </w:t>
      </w:r>
      <w:r w:rsidR="00355A67">
        <w:rPr>
          <w:rFonts w:eastAsia="Calibri"/>
          <w:szCs w:val="24"/>
          <w:lang w:val="es-VE" w:eastAsia="en-US"/>
        </w:rPr>
        <w:t>Acema-100</w:t>
      </w:r>
      <w:r w:rsidRPr="00BA311A">
        <w:rPr>
          <w:rFonts w:eastAsia="Calibri"/>
          <w:szCs w:val="24"/>
          <w:lang w:val="es-VE" w:eastAsia="en-US"/>
        </w:rPr>
        <w:t xml:space="preserve"> (35 °C), </w:t>
      </w:r>
      <w:r w:rsidR="00355A67">
        <w:rPr>
          <w:rFonts w:eastAsia="Calibri"/>
          <w:szCs w:val="24"/>
          <w:lang w:val="es-VE" w:eastAsia="en-US"/>
        </w:rPr>
        <w:t>Merey-31</w:t>
      </w:r>
      <w:r w:rsidRPr="00BA311A">
        <w:rPr>
          <w:rFonts w:eastAsia="Calibri"/>
          <w:szCs w:val="24"/>
          <w:lang w:val="es-VE" w:eastAsia="en-US"/>
        </w:rPr>
        <w:t xml:space="preserve"> (50 °C) y </w:t>
      </w:r>
      <w:r w:rsidR="00355A67">
        <w:rPr>
          <w:rFonts w:eastAsia="Calibri"/>
          <w:szCs w:val="24"/>
          <w:lang w:val="es-VE" w:eastAsia="en-US"/>
        </w:rPr>
        <w:t>Guara-2</w:t>
      </w:r>
      <w:r w:rsidRPr="00BA311A">
        <w:rPr>
          <w:rFonts w:eastAsia="Calibri"/>
          <w:szCs w:val="24"/>
          <w:lang w:val="es-VE" w:eastAsia="en-US"/>
        </w:rPr>
        <w:t xml:space="preserve"> (77 °C)</w:t>
      </w:r>
      <w:r w:rsidR="001C716D" w:rsidRPr="00BA311A">
        <w:rPr>
          <w:rFonts w:eastAsia="Calibri"/>
          <w:szCs w:val="24"/>
          <w:lang w:val="es-VE" w:eastAsia="en-US"/>
        </w:rPr>
        <w:t xml:space="preserve"> a fin de garantizar el flujo de </w:t>
      </w:r>
      <w:r w:rsidR="00BB56D6" w:rsidRPr="00BA311A">
        <w:rPr>
          <w:rFonts w:eastAsia="Calibri"/>
          <w:szCs w:val="24"/>
          <w:lang w:val="es-VE" w:eastAsia="en-US"/>
        </w:rPr>
        <w:t>emulsión</w:t>
      </w:r>
      <w:r w:rsidR="001C716D" w:rsidRPr="00BA311A">
        <w:rPr>
          <w:rFonts w:eastAsia="Calibri"/>
          <w:szCs w:val="24"/>
          <w:lang w:val="es-VE" w:eastAsia="en-US"/>
        </w:rPr>
        <w:t xml:space="preserve"> a través del sistema.</w:t>
      </w:r>
    </w:p>
    <w:p w:rsidR="00874CEA" w:rsidRDefault="000B6608"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874CEA">
        <w:rPr>
          <w:rFonts w:eastAsia="Calibri"/>
          <w:szCs w:val="24"/>
          <w:lang w:val="es-VE" w:eastAsia="en-US"/>
        </w:rPr>
        <w:t xml:space="preserve">El sistema en continuo, a diferencia de los sistemas de operación batch, </w:t>
      </w:r>
      <w:r w:rsidR="00BA311A" w:rsidRPr="00874CEA">
        <w:rPr>
          <w:rFonts w:eastAsia="Calibri"/>
          <w:szCs w:val="24"/>
          <w:lang w:val="es-VE" w:eastAsia="en-US"/>
        </w:rPr>
        <w:t xml:space="preserve">permitió la recolección del agua separada durante el tratamiento. </w:t>
      </w:r>
    </w:p>
    <w:p w:rsidR="00BB56D6" w:rsidRPr="00874CEA" w:rsidRDefault="00BB56D6"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874CEA">
        <w:rPr>
          <w:rFonts w:eastAsia="Calibri"/>
          <w:szCs w:val="24"/>
          <w:lang w:val="es-VE" w:eastAsia="en-US"/>
        </w:rPr>
        <w:t>La presencia de un medio coalescedor externo a la celda de aplicación de campo eléctrico no promueve la desestabilización de la emulsión. El medio coalescedor actúa como promotor de la coalescencia sólo en presencia de un campo eléctrico.</w:t>
      </w:r>
    </w:p>
    <w:p w:rsidR="006177C4" w:rsidRPr="00BA311A" w:rsidRDefault="000B6608"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BA311A">
        <w:rPr>
          <w:rFonts w:eastAsia="Calibri"/>
          <w:szCs w:val="24"/>
          <w:lang w:val="es-VE" w:eastAsia="en-US"/>
        </w:rPr>
        <w:t xml:space="preserve">El empleo de un campo eléctrico de corriente </w:t>
      </w:r>
      <w:r w:rsidR="001C716D" w:rsidRPr="00BA311A">
        <w:rPr>
          <w:rFonts w:eastAsia="Calibri"/>
          <w:szCs w:val="24"/>
          <w:lang w:val="es-VE" w:eastAsia="en-US"/>
        </w:rPr>
        <w:t xml:space="preserve">continua </w:t>
      </w:r>
      <w:r w:rsidRPr="00BA311A">
        <w:rPr>
          <w:rFonts w:eastAsia="Calibri"/>
          <w:szCs w:val="24"/>
          <w:lang w:val="es-VE" w:eastAsia="en-US"/>
        </w:rPr>
        <w:t xml:space="preserve">tiene una importante contribución en la desestabilización de emulsiones agua-crudo. La separación lograda con campo AC fue despreciable en comparación a </w:t>
      </w:r>
      <w:r w:rsidR="00BB56D6" w:rsidRPr="00BA311A">
        <w:rPr>
          <w:rFonts w:eastAsia="Calibri"/>
          <w:szCs w:val="24"/>
          <w:lang w:val="es-VE" w:eastAsia="en-US"/>
        </w:rPr>
        <w:t>la separación obtenida</w:t>
      </w:r>
      <w:r w:rsidR="001C716D" w:rsidRPr="00BA311A">
        <w:rPr>
          <w:rFonts w:eastAsia="Calibri"/>
          <w:szCs w:val="24"/>
          <w:lang w:val="es-VE" w:eastAsia="en-US"/>
        </w:rPr>
        <w:t xml:space="preserve"> cuando se empl</w:t>
      </w:r>
      <w:r w:rsidR="00176468">
        <w:rPr>
          <w:rFonts w:eastAsia="Calibri"/>
          <w:szCs w:val="24"/>
          <w:lang w:val="es-VE" w:eastAsia="en-US"/>
        </w:rPr>
        <w:t>eó</w:t>
      </w:r>
      <w:r w:rsidR="001C716D" w:rsidRPr="00BA311A">
        <w:rPr>
          <w:rFonts w:eastAsia="Calibri"/>
          <w:szCs w:val="24"/>
          <w:lang w:val="es-VE" w:eastAsia="en-US"/>
        </w:rPr>
        <w:t xml:space="preserve"> campo DC</w:t>
      </w:r>
      <w:r w:rsidRPr="00BA311A">
        <w:rPr>
          <w:rFonts w:eastAsia="Calibri"/>
          <w:szCs w:val="24"/>
          <w:lang w:val="es-VE" w:eastAsia="en-US"/>
        </w:rPr>
        <w:t xml:space="preserve">. </w:t>
      </w:r>
    </w:p>
    <w:p w:rsidR="006B3828" w:rsidRDefault="006B3828"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6B3828">
        <w:rPr>
          <w:rFonts w:eastAsia="Calibri"/>
          <w:szCs w:val="24"/>
          <w:lang w:val="es-VE" w:eastAsia="en-US"/>
        </w:rPr>
        <w:t>El tiempo de residencia afecta el proceso de deshidratación de la emulsión. A mayor tiempo de residencia de la emulsión en la celda de aplicación de campo eléctrico mejor es la separación.</w:t>
      </w:r>
    </w:p>
    <w:p w:rsidR="001C716D" w:rsidRPr="00BA311A" w:rsidRDefault="006B3828"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6B3828">
        <w:rPr>
          <w:rFonts w:eastAsia="Calibri"/>
          <w:szCs w:val="24"/>
          <w:lang w:val="es-VE" w:eastAsia="en-US"/>
        </w:rPr>
        <w:t xml:space="preserve"> </w:t>
      </w:r>
      <w:r w:rsidR="00D65FE2" w:rsidRPr="006B3828">
        <w:rPr>
          <w:rFonts w:eastAsia="Calibri"/>
          <w:szCs w:val="24"/>
          <w:lang w:val="es-VE" w:eastAsia="en-US"/>
        </w:rPr>
        <w:t xml:space="preserve">La </w:t>
      </w:r>
      <w:r w:rsidR="00A374A3" w:rsidRPr="006B3828">
        <w:rPr>
          <w:rFonts w:eastAsia="Calibri"/>
          <w:szCs w:val="24"/>
          <w:lang w:val="es-VE" w:eastAsia="en-US"/>
        </w:rPr>
        <w:t>inclusión</w:t>
      </w:r>
      <w:r w:rsidR="00D65FE2" w:rsidRPr="006B3828">
        <w:rPr>
          <w:rFonts w:eastAsia="Calibri"/>
          <w:szCs w:val="24"/>
          <w:lang w:val="es-VE" w:eastAsia="en-US"/>
        </w:rPr>
        <w:t xml:space="preserve"> de un medio coalescedor en el sistema de tratamiento favorece </w:t>
      </w:r>
      <w:r w:rsidR="00A374A3" w:rsidRPr="006B3828">
        <w:rPr>
          <w:rFonts w:eastAsia="Calibri"/>
          <w:szCs w:val="24"/>
          <w:lang w:val="es-VE" w:eastAsia="en-US"/>
        </w:rPr>
        <w:t>enormemente</w:t>
      </w:r>
      <w:r w:rsidR="00D65FE2" w:rsidRPr="006B3828">
        <w:rPr>
          <w:rFonts w:eastAsia="Calibri"/>
          <w:szCs w:val="24"/>
          <w:lang w:val="es-VE" w:eastAsia="en-US"/>
        </w:rPr>
        <w:t xml:space="preserve"> la separación de fases de la emulsión</w:t>
      </w:r>
      <w:r w:rsidR="00A374A3" w:rsidRPr="006B3828">
        <w:rPr>
          <w:rFonts w:eastAsia="Calibri"/>
          <w:szCs w:val="24"/>
          <w:lang w:val="es-VE" w:eastAsia="en-US"/>
        </w:rPr>
        <w:t xml:space="preserve"> </w:t>
      </w:r>
      <w:r w:rsidR="00BB56D6" w:rsidRPr="006B3828">
        <w:rPr>
          <w:rFonts w:eastAsia="Calibri"/>
          <w:szCs w:val="24"/>
          <w:lang w:val="es-VE" w:eastAsia="en-US"/>
        </w:rPr>
        <w:t xml:space="preserve">ya que representa una resistencia al flujo, lo cual </w:t>
      </w:r>
      <w:r w:rsidR="00D65FE2" w:rsidRPr="006B3828">
        <w:rPr>
          <w:rFonts w:eastAsia="Calibri"/>
          <w:szCs w:val="24"/>
          <w:lang w:val="es-VE" w:eastAsia="en-US"/>
        </w:rPr>
        <w:t>garantiza un mayor tiempo de residencia</w:t>
      </w:r>
      <w:r w:rsidR="00A374A3" w:rsidRPr="006B3828">
        <w:rPr>
          <w:rFonts w:eastAsia="Calibri"/>
          <w:szCs w:val="24"/>
          <w:lang w:val="es-VE" w:eastAsia="en-US"/>
        </w:rPr>
        <w:t xml:space="preserve"> de la emulsión en el ca</w:t>
      </w:r>
      <w:r w:rsidR="00BB56D6" w:rsidRPr="006B3828">
        <w:rPr>
          <w:rFonts w:eastAsia="Calibri"/>
          <w:szCs w:val="24"/>
          <w:lang w:val="es-VE" w:eastAsia="en-US"/>
        </w:rPr>
        <w:t>mpo eléctrico. También</w:t>
      </w:r>
      <w:r w:rsidR="00D65FE2" w:rsidRPr="006B3828">
        <w:rPr>
          <w:rFonts w:eastAsia="Calibri"/>
          <w:szCs w:val="24"/>
          <w:lang w:val="es-VE" w:eastAsia="en-US"/>
        </w:rPr>
        <w:t xml:space="preserve"> promueve la no uniformidad del campo eléctrico aplicado</w:t>
      </w:r>
      <w:r w:rsidR="00BB56D6" w:rsidRPr="006B3828">
        <w:rPr>
          <w:rFonts w:eastAsia="Calibri"/>
          <w:szCs w:val="24"/>
          <w:lang w:val="es-VE" w:eastAsia="en-US"/>
        </w:rPr>
        <w:t xml:space="preserve"> lo cual favorece la desestabilización.</w:t>
      </w:r>
    </w:p>
    <w:p w:rsidR="00176468" w:rsidRDefault="00D65FE2"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BA311A">
        <w:rPr>
          <w:rFonts w:eastAsia="Calibri"/>
          <w:szCs w:val="24"/>
          <w:lang w:val="es-VE" w:eastAsia="en-US"/>
        </w:rPr>
        <w:lastRenderedPageBreak/>
        <w:t xml:space="preserve">La mojabilidad del sólido </w:t>
      </w:r>
      <w:r w:rsidR="003514AA" w:rsidRPr="00BA311A">
        <w:rPr>
          <w:rFonts w:eastAsia="Calibri"/>
          <w:szCs w:val="24"/>
          <w:lang w:val="es-VE" w:eastAsia="en-US"/>
        </w:rPr>
        <w:t>que se emplea</w:t>
      </w:r>
      <w:r w:rsidRPr="00BA311A">
        <w:rPr>
          <w:rFonts w:eastAsia="Calibri"/>
          <w:szCs w:val="24"/>
          <w:lang w:val="es-VE" w:eastAsia="en-US"/>
        </w:rPr>
        <w:t xml:space="preserve"> como medio coalescedor tiene un efecto </w:t>
      </w:r>
      <w:r w:rsidR="003514AA" w:rsidRPr="00BA311A">
        <w:rPr>
          <w:rFonts w:eastAsia="Calibri"/>
          <w:szCs w:val="24"/>
          <w:lang w:val="es-VE" w:eastAsia="en-US"/>
        </w:rPr>
        <w:t>determinante</w:t>
      </w:r>
      <w:r w:rsidRPr="00BA311A">
        <w:rPr>
          <w:rFonts w:eastAsia="Calibri"/>
          <w:szCs w:val="24"/>
          <w:lang w:val="es-VE" w:eastAsia="en-US"/>
        </w:rPr>
        <w:t xml:space="preserve"> en el proceso de deshidratación de la emulsi</w:t>
      </w:r>
      <w:r w:rsidR="00A374A3" w:rsidRPr="00BA311A">
        <w:rPr>
          <w:rFonts w:eastAsia="Calibri"/>
          <w:szCs w:val="24"/>
          <w:lang w:val="es-VE" w:eastAsia="en-US"/>
        </w:rPr>
        <w:t>ó</w:t>
      </w:r>
      <w:r w:rsidRPr="00BA311A">
        <w:rPr>
          <w:rFonts w:eastAsia="Calibri"/>
          <w:szCs w:val="24"/>
          <w:lang w:val="es-VE" w:eastAsia="en-US"/>
        </w:rPr>
        <w:t xml:space="preserve">n. Sólidos hidrofóbicos, mojables a la fase continua, permiten alcanzar </w:t>
      </w:r>
      <w:r w:rsidR="003514AA" w:rsidRPr="00BA311A">
        <w:rPr>
          <w:rFonts w:eastAsia="Calibri"/>
          <w:szCs w:val="24"/>
          <w:lang w:val="es-VE" w:eastAsia="en-US"/>
        </w:rPr>
        <w:t xml:space="preserve">mayores </w:t>
      </w:r>
      <w:r w:rsidR="00176468">
        <w:rPr>
          <w:rFonts w:eastAsia="Calibri"/>
          <w:szCs w:val="24"/>
          <w:lang w:val="es-VE" w:eastAsia="en-US"/>
        </w:rPr>
        <w:t xml:space="preserve">velocidades de </w:t>
      </w:r>
      <w:r w:rsidRPr="00BA311A">
        <w:rPr>
          <w:rFonts w:eastAsia="Calibri"/>
          <w:szCs w:val="24"/>
          <w:lang w:val="es-VE" w:eastAsia="en-US"/>
        </w:rPr>
        <w:t xml:space="preserve">recuperación </w:t>
      </w:r>
      <w:r w:rsidR="003514AA" w:rsidRPr="00BA311A">
        <w:rPr>
          <w:rFonts w:eastAsia="Calibri"/>
          <w:szCs w:val="24"/>
          <w:lang w:val="es-VE" w:eastAsia="en-US"/>
        </w:rPr>
        <w:t xml:space="preserve">de agua en comparación a sólidos hidrofílicos, mojables al agua. </w:t>
      </w:r>
    </w:p>
    <w:p w:rsidR="001B2CF7" w:rsidRDefault="001B2CF7"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Pr>
          <w:rFonts w:eastAsia="Calibri"/>
          <w:szCs w:val="24"/>
          <w:lang w:val="es-VE" w:eastAsia="en-US"/>
        </w:rPr>
        <w:t xml:space="preserve">El efecto desestabilizador del medio coalescedor </w:t>
      </w:r>
      <w:r w:rsidR="00874CEA">
        <w:rPr>
          <w:rFonts w:eastAsia="Calibri"/>
          <w:szCs w:val="24"/>
          <w:lang w:val="es-VE" w:eastAsia="en-US"/>
        </w:rPr>
        <w:t xml:space="preserve">parece estar </w:t>
      </w:r>
      <w:r>
        <w:rPr>
          <w:rFonts w:eastAsia="Calibri"/>
          <w:szCs w:val="24"/>
          <w:lang w:val="es-VE" w:eastAsia="en-US"/>
        </w:rPr>
        <w:t xml:space="preserve">asociado a la adsorción de las moléculas de surfactante alojadas en las interfases agua-crudo sobre la superficie del material. </w:t>
      </w:r>
    </w:p>
    <w:p w:rsidR="00BB56D6" w:rsidRDefault="00A374A3"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BA311A">
        <w:rPr>
          <w:rFonts w:eastAsia="Calibri"/>
          <w:szCs w:val="24"/>
          <w:lang w:val="es-VE" w:eastAsia="en-US"/>
        </w:rPr>
        <w:t xml:space="preserve">Sólidos mojables a la fase continua (crudo) </w:t>
      </w:r>
      <w:r w:rsidR="001B2CF7">
        <w:rPr>
          <w:rFonts w:eastAsia="Calibri"/>
          <w:szCs w:val="24"/>
          <w:lang w:val="es-VE" w:eastAsia="en-US"/>
        </w:rPr>
        <w:t>favor</w:t>
      </w:r>
      <w:r w:rsidR="00163AB3">
        <w:rPr>
          <w:rFonts w:eastAsia="Calibri"/>
          <w:szCs w:val="24"/>
          <w:lang w:val="es-VE" w:eastAsia="en-US"/>
        </w:rPr>
        <w:t>ec</w:t>
      </w:r>
      <w:r w:rsidR="001B2CF7">
        <w:rPr>
          <w:rFonts w:eastAsia="Calibri"/>
          <w:szCs w:val="24"/>
          <w:lang w:val="es-VE" w:eastAsia="en-US"/>
        </w:rPr>
        <w:t>en</w:t>
      </w:r>
      <w:r w:rsidRPr="00BA311A">
        <w:rPr>
          <w:rFonts w:eastAsia="Calibri"/>
          <w:szCs w:val="24"/>
          <w:lang w:val="es-VE" w:eastAsia="en-US"/>
        </w:rPr>
        <w:t xml:space="preserve"> el escurrimiento del agua coalescida a lo largo del m</w:t>
      </w:r>
      <w:r w:rsidR="00BB56D6" w:rsidRPr="00BA311A">
        <w:rPr>
          <w:rFonts w:eastAsia="Calibri"/>
          <w:szCs w:val="24"/>
          <w:lang w:val="es-VE" w:eastAsia="en-US"/>
        </w:rPr>
        <w:t xml:space="preserve">edio coalescedor. Esté fenómeno es de gran importancia en el proceso de separación-recuperación del agua coalescida, sin embargo es necesario </w:t>
      </w:r>
      <w:r w:rsidR="00163AB3">
        <w:rPr>
          <w:rFonts w:eastAsia="Calibri"/>
          <w:szCs w:val="24"/>
          <w:lang w:val="es-VE" w:eastAsia="en-US"/>
        </w:rPr>
        <w:t>realizar más investigaciones al respecto</w:t>
      </w:r>
      <w:r w:rsidR="00BB56D6" w:rsidRPr="00BA311A">
        <w:rPr>
          <w:rFonts w:eastAsia="Calibri"/>
          <w:szCs w:val="24"/>
          <w:lang w:val="es-VE" w:eastAsia="en-US"/>
        </w:rPr>
        <w:t>.</w:t>
      </w:r>
    </w:p>
    <w:p w:rsidR="00163AB3" w:rsidRPr="00BA311A" w:rsidRDefault="00163AB3"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Pr>
          <w:rFonts w:eastAsia="Calibri"/>
          <w:szCs w:val="24"/>
          <w:lang w:val="es-VE" w:eastAsia="en-US"/>
        </w:rPr>
        <w:t>El efecto del medio coalescedor disminuye significativamente</w:t>
      </w:r>
      <w:r w:rsidR="00874CEA">
        <w:rPr>
          <w:rFonts w:eastAsia="Calibri"/>
          <w:szCs w:val="24"/>
          <w:lang w:val="es-VE" w:eastAsia="en-US"/>
        </w:rPr>
        <w:t xml:space="preserve"> con el tiempo, lo que puede deberse a que el medio</w:t>
      </w:r>
      <w:r>
        <w:rPr>
          <w:rFonts w:eastAsia="Calibri"/>
          <w:szCs w:val="24"/>
          <w:lang w:val="es-VE" w:eastAsia="en-US"/>
        </w:rPr>
        <w:t xml:space="preserve"> se ha saturado completamente de  surfactante lo cual desmejora el proceso de desestabilización y coalescencia de las gotas.</w:t>
      </w:r>
    </w:p>
    <w:p w:rsidR="003514AA" w:rsidRDefault="00A45ABC"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BA311A">
        <w:rPr>
          <w:rFonts w:eastAsia="Calibri"/>
          <w:szCs w:val="24"/>
          <w:lang w:val="es-VE" w:eastAsia="en-US"/>
        </w:rPr>
        <w:t>La centrifugación, a las condiciones aplicadas (5 minutos, 2700 rpm), promueve la separació</w:t>
      </w:r>
      <w:r w:rsidR="002E47A2" w:rsidRPr="00BA311A">
        <w:rPr>
          <w:rFonts w:eastAsia="Calibri"/>
          <w:szCs w:val="24"/>
          <w:lang w:val="es-VE" w:eastAsia="en-US"/>
        </w:rPr>
        <w:t>n de fases solo si se ha tratado previamente</w:t>
      </w:r>
      <w:r w:rsidR="00FC3AEF" w:rsidRPr="00BA311A">
        <w:rPr>
          <w:rFonts w:eastAsia="Calibri"/>
          <w:szCs w:val="24"/>
          <w:lang w:val="es-VE" w:eastAsia="en-US"/>
        </w:rPr>
        <w:t xml:space="preserve"> la muestra con campo eléctrico.</w:t>
      </w:r>
      <w:r w:rsidR="00AB0B96">
        <w:rPr>
          <w:rFonts w:eastAsia="Calibri"/>
          <w:szCs w:val="24"/>
          <w:lang w:val="es-VE" w:eastAsia="en-US"/>
        </w:rPr>
        <w:t xml:space="preserve"> La centrifugación por lo tanto, no tiene un efecto desestabilizante sobre la emulsión, simplemente ayuda a la recuperación de la fase acuosa ya desestabilizada.</w:t>
      </w:r>
    </w:p>
    <w:p w:rsidR="00163AB3" w:rsidRDefault="00163AB3"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163AB3">
        <w:rPr>
          <w:rFonts w:eastAsia="Calibri"/>
          <w:szCs w:val="24"/>
          <w:lang w:val="es-VE" w:eastAsia="en-US"/>
        </w:rPr>
        <w:t xml:space="preserve">El contenido en agua y la conductividad de la fase acuosa no fueron determinantes en las en cada una de las experiencias realizadas. </w:t>
      </w:r>
      <w:r w:rsidR="00D75CC2">
        <w:rPr>
          <w:rFonts w:eastAsia="Calibri"/>
          <w:szCs w:val="24"/>
          <w:lang w:val="es-VE" w:eastAsia="en-US"/>
        </w:rPr>
        <w:t>L</w:t>
      </w:r>
      <w:r w:rsidR="00D75CC2" w:rsidRPr="00D75CC2">
        <w:rPr>
          <w:rFonts w:eastAsia="Calibri"/>
          <w:szCs w:val="24"/>
          <w:lang w:val="es-VE" w:eastAsia="en-US"/>
        </w:rPr>
        <w:t>a variable fundamental que determinó el grado de separación o desestabilización de las emul</w:t>
      </w:r>
      <w:r w:rsidR="00D75CC2">
        <w:rPr>
          <w:rFonts w:eastAsia="Calibri"/>
          <w:szCs w:val="24"/>
          <w:lang w:val="es-VE" w:eastAsia="en-US"/>
        </w:rPr>
        <w:t>siones fue la viscosidad. El proceso de deshidratación se verá favorecido considerablemente conforme disminuya la viscosidad de la emulsión.</w:t>
      </w:r>
    </w:p>
    <w:p w:rsidR="00AB0B96" w:rsidRPr="00AB0B96" w:rsidRDefault="00E1686D"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AB0B96">
        <w:rPr>
          <w:rFonts w:eastAsia="Calibri"/>
          <w:szCs w:val="24"/>
          <w:lang w:val="es-VE" w:eastAsia="en-US"/>
        </w:rPr>
        <w:t xml:space="preserve">Se empleó la técnica de microscopía óptica para evaluar el la eficiencia del tratamiento de la fosa </w:t>
      </w:r>
      <w:r w:rsidR="00355A67">
        <w:rPr>
          <w:rFonts w:eastAsia="Calibri"/>
          <w:szCs w:val="24"/>
          <w:lang w:val="es-VE" w:eastAsia="en-US"/>
        </w:rPr>
        <w:t>Merey-31</w:t>
      </w:r>
      <w:r w:rsidRPr="00AB0B96">
        <w:rPr>
          <w:rFonts w:eastAsia="Calibri"/>
          <w:szCs w:val="24"/>
          <w:lang w:val="es-VE" w:eastAsia="en-US"/>
        </w:rPr>
        <w:t>, debido a que no se observó separación de agua en los tubos de recolecc</w:t>
      </w:r>
      <w:r w:rsidR="009A38F8" w:rsidRPr="00AB0B96">
        <w:rPr>
          <w:rFonts w:eastAsia="Calibri"/>
          <w:szCs w:val="24"/>
          <w:lang w:val="es-VE" w:eastAsia="en-US"/>
        </w:rPr>
        <w:t xml:space="preserve">ión. El estudió se focalizó estudiar la evolución de tamaño de gotas antes y después de aplicar campo eléctrico y </w:t>
      </w:r>
      <w:r w:rsidR="009A38F8" w:rsidRPr="00AB0B96">
        <w:rPr>
          <w:rFonts w:eastAsia="Calibri"/>
          <w:szCs w:val="24"/>
          <w:lang w:val="es-VE" w:eastAsia="en-US"/>
        </w:rPr>
        <w:lastRenderedPageBreak/>
        <w:t>centrifugación.</w:t>
      </w:r>
      <w:r w:rsidR="00AB0B96" w:rsidRPr="00AB0B96">
        <w:rPr>
          <w:rFonts w:eastAsia="Calibri"/>
          <w:szCs w:val="24"/>
          <w:lang w:val="es-VE" w:eastAsia="en-US"/>
        </w:rPr>
        <w:t xml:space="preserve"> Las pruebas realizadas con anillos de vidrio y esferas de polietileno como medio coalescedor permitieron alcanzar factores de desestabilización mayores a 6 para la emulsión </w:t>
      </w:r>
      <w:r w:rsidR="00355A67">
        <w:rPr>
          <w:rFonts w:eastAsia="Calibri"/>
          <w:szCs w:val="24"/>
          <w:lang w:val="es-VE" w:eastAsia="en-US"/>
        </w:rPr>
        <w:t>Merey-31</w:t>
      </w:r>
      <w:r w:rsidR="00AB0B96" w:rsidRPr="00AB0B96">
        <w:rPr>
          <w:rFonts w:eastAsia="Calibri"/>
          <w:szCs w:val="24"/>
          <w:lang w:val="es-VE" w:eastAsia="en-US"/>
        </w:rPr>
        <w:t xml:space="preserve">. </w:t>
      </w:r>
    </w:p>
    <w:p w:rsidR="00BA311A" w:rsidRPr="00BA311A" w:rsidRDefault="005C42A9" w:rsidP="00BA311A">
      <w:pPr>
        <w:pStyle w:val="Prrafodelista"/>
        <w:numPr>
          <w:ilvl w:val="0"/>
          <w:numId w:val="12"/>
        </w:numPr>
        <w:autoSpaceDE w:val="0"/>
        <w:autoSpaceDN w:val="0"/>
        <w:adjustRightInd w:val="0"/>
        <w:spacing w:before="240" w:line="360" w:lineRule="auto"/>
        <w:jc w:val="both"/>
        <w:rPr>
          <w:rFonts w:eastAsia="Calibri"/>
          <w:szCs w:val="24"/>
          <w:lang w:val="es-VE" w:eastAsia="en-US"/>
        </w:rPr>
      </w:pPr>
      <w:r w:rsidRPr="00BA311A">
        <w:rPr>
          <w:rFonts w:eastAsia="Calibri"/>
          <w:szCs w:val="24"/>
          <w:lang w:val="es-VE" w:eastAsia="en-US"/>
        </w:rPr>
        <w:t xml:space="preserve">La microscopía óptica permitió recopilar información imprescindible para el estudio de la emulsión </w:t>
      </w:r>
      <w:r w:rsidR="00355A67">
        <w:rPr>
          <w:rFonts w:eastAsia="Calibri"/>
          <w:szCs w:val="24"/>
          <w:lang w:val="es-VE" w:eastAsia="en-US"/>
        </w:rPr>
        <w:t>Merey-31</w:t>
      </w:r>
      <w:r w:rsidRPr="00BA311A">
        <w:rPr>
          <w:rFonts w:eastAsia="Calibri"/>
          <w:szCs w:val="24"/>
          <w:lang w:val="es-VE" w:eastAsia="en-US"/>
        </w:rPr>
        <w:t xml:space="preserve">. </w:t>
      </w:r>
      <w:r w:rsidR="006B3828">
        <w:rPr>
          <w:rFonts w:eastAsia="Calibri"/>
          <w:szCs w:val="24"/>
          <w:lang w:val="es-VE" w:eastAsia="en-US"/>
        </w:rPr>
        <w:t>El</w:t>
      </w:r>
      <w:r w:rsidRPr="00BA311A">
        <w:rPr>
          <w:rFonts w:eastAsia="Calibri"/>
          <w:szCs w:val="24"/>
          <w:lang w:val="es-VE" w:eastAsia="en-US"/>
        </w:rPr>
        <w:t xml:space="preserve"> Factor de Desestabilización (FD)</w:t>
      </w:r>
      <w:r w:rsidR="006B3828">
        <w:rPr>
          <w:rFonts w:eastAsia="Calibri"/>
          <w:szCs w:val="24"/>
          <w:lang w:val="es-VE" w:eastAsia="en-US"/>
        </w:rPr>
        <w:t xml:space="preserve">, calculado a partir de la información suministrada de los conteos realizados, </w:t>
      </w:r>
      <w:r w:rsidRPr="00BA311A">
        <w:rPr>
          <w:rFonts w:eastAsia="Calibri"/>
          <w:szCs w:val="24"/>
          <w:lang w:val="es-VE" w:eastAsia="en-US"/>
        </w:rPr>
        <w:t xml:space="preserve"> permitió estudiar y comparar los efectos</w:t>
      </w:r>
      <w:r w:rsidR="00BA311A" w:rsidRPr="00BA311A">
        <w:rPr>
          <w:rFonts w:eastAsia="Calibri"/>
          <w:szCs w:val="24"/>
          <w:lang w:val="es-VE" w:eastAsia="en-US"/>
        </w:rPr>
        <w:t xml:space="preserve"> del tratamiento aplicado.</w:t>
      </w:r>
    </w:p>
    <w:p w:rsidR="00BA311A" w:rsidRDefault="00BA311A" w:rsidP="00BA311A">
      <w:pPr>
        <w:autoSpaceDE w:val="0"/>
        <w:autoSpaceDN w:val="0"/>
        <w:adjustRightInd w:val="0"/>
        <w:spacing w:before="240"/>
        <w:rPr>
          <w:rFonts w:ascii="Arial" w:eastAsia="Calibri" w:hAnsi="Arial" w:cs="Arial"/>
          <w:sz w:val="22"/>
          <w:szCs w:val="22"/>
          <w:lang w:val="es-VE" w:eastAsia="en-US"/>
        </w:rPr>
      </w:pPr>
    </w:p>
    <w:p w:rsidR="000D6816" w:rsidRDefault="000D6816" w:rsidP="00DC2D1E">
      <w:pPr>
        <w:spacing w:line="360" w:lineRule="auto"/>
        <w:jc w:val="both"/>
        <w:rPr>
          <w:szCs w:val="24"/>
        </w:rPr>
      </w:pPr>
    </w:p>
    <w:p w:rsidR="000D6816" w:rsidRDefault="000D6816" w:rsidP="00DC2D1E">
      <w:pPr>
        <w:spacing w:line="360" w:lineRule="auto"/>
        <w:jc w:val="both"/>
        <w:rPr>
          <w:szCs w:val="24"/>
        </w:rPr>
      </w:pPr>
    </w:p>
    <w:p w:rsidR="000D6816" w:rsidRDefault="000D6816" w:rsidP="00DC2D1E">
      <w:pPr>
        <w:spacing w:line="360" w:lineRule="auto"/>
        <w:jc w:val="both"/>
        <w:rPr>
          <w:szCs w:val="24"/>
        </w:rPr>
      </w:pPr>
    </w:p>
    <w:p w:rsidR="000D6816" w:rsidRDefault="000D6816" w:rsidP="00DC2D1E">
      <w:pPr>
        <w:spacing w:line="360" w:lineRule="auto"/>
        <w:jc w:val="both"/>
        <w:rPr>
          <w:szCs w:val="24"/>
        </w:rPr>
      </w:pPr>
    </w:p>
    <w:p w:rsidR="000D6816" w:rsidRDefault="000D6816" w:rsidP="00DC2D1E">
      <w:pPr>
        <w:spacing w:line="360" w:lineRule="auto"/>
        <w:jc w:val="both"/>
        <w:rPr>
          <w:szCs w:val="24"/>
        </w:rPr>
      </w:pPr>
    </w:p>
    <w:p w:rsidR="000D6816" w:rsidRDefault="000D6816" w:rsidP="00DC2D1E">
      <w:pPr>
        <w:spacing w:line="360" w:lineRule="auto"/>
        <w:jc w:val="both"/>
        <w:rPr>
          <w:szCs w:val="24"/>
        </w:rPr>
      </w:pPr>
    </w:p>
    <w:p w:rsidR="000D6816" w:rsidRDefault="000D6816" w:rsidP="00DC2D1E">
      <w:pPr>
        <w:spacing w:line="360" w:lineRule="auto"/>
        <w:jc w:val="both"/>
        <w:rPr>
          <w:szCs w:val="24"/>
        </w:rPr>
      </w:pPr>
    </w:p>
    <w:p w:rsidR="00964044" w:rsidRDefault="00964044" w:rsidP="00DC2D1E">
      <w:pPr>
        <w:spacing w:line="360" w:lineRule="auto"/>
        <w:jc w:val="both"/>
        <w:rPr>
          <w:szCs w:val="24"/>
        </w:rPr>
      </w:pPr>
    </w:p>
    <w:p w:rsidR="00964044" w:rsidRDefault="00964044" w:rsidP="00DC2D1E">
      <w:pPr>
        <w:spacing w:line="360" w:lineRule="auto"/>
        <w:jc w:val="both"/>
        <w:rPr>
          <w:szCs w:val="24"/>
        </w:rPr>
      </w:pPr>
    </w:p>
    <w:p w:rsidR="00964044" w:rsidRDefault="00964044" w:rsidP="00DC2D1E">
      <w:pPr>
        <w:spacing w:line="360" w:lineRule="auto"/>
        <w:jc w:val="both"/>
        <w:rPr>
          <w:szCs w:val="24"/>
        </w:rPr>
      </w:pPr>
    </w:p>
    <w:p w:rsidR="00BA311A" w:rsidRPr="006426B4" w:rsidRDefault="00BA311A" w:rsidP="0046578D">
      <w:pPr>
        <w:spacing w:line="360" w:lineRule="auto"/>
        <w:jc w:val="both"/>
        <w:rPr>
          <w:szCs w:val="24"/>
          <w:lang w:val="es-VE"/>
        </w:rPr>
      </w:pPr>
    </w:p>
    <w:p w:rsidR="00BA311A" w:rsidRPr="006426B4" w:rsidRDefault="00BA311A" w:rsidP="0046578D">
      <w:pPr>
        <w:spacing w:line="360" w:lineRule="auto"/>
        <w:jc w:val="both"/>
        <w:rPr>
          <w:szCs w:val="24"/>
          <w:lang w:val="es-VE"/>
        </w:rPr>
      </w:pPr>
    </w:p>
    <w:p w:rsidR="00BA311A" w:rsidRPr="006426B4" w:rsidRDefault="00BA311A" w:rsidP="0046578D">
      <w:pPr>
        <w:spacing w:line="360" w:lineRule="auto"/>
        <w:jc w:val="both"/>
        <w:rPr>
          <w:szCs w:val="24"/>
          <w:lang w:val="es-VE"/>
        </w:rPr>
      </w:pPr>
    </w:p>
    <w:p w:rsidR="00BA311A" w:rsidRPr="006426B4" w:rsidRDefault="00BA311A" w:rsidP="0046578D">
      <w:pPr>
        <w:spacing w:line="360" w:lineRule="auto"/>
        <w:jc w:val="both"/>
        <w:rPr>
          <w:szCs w:val="24"/>
          <w:lang w:val="es-VE"/>
        </w:rPr>
      </w:pPr>
    </w:p>
    <w:p w:rsidR="00AB0B96" w:rsidRPr="006B3828" w:rsidRDefault="00AB0B96" w:rsidP="0046578D">
      <w:pPr>
        <w:spacing w:line="360" w:lineRule="auto"/>
        <w:jc w:val="both"/>
        <w:rPr>
          <w:szCs w:val="24"/>
          <w:lang w:val="es-VE"/>
        </w:rPr>
      </w:pPr>
    </w:p>
    <w:p w:rsidR="00AB0B96" w:rsidRPr="006B3828" w:rsidRDefault="00AB0B96" w:rsidP="0046578D">
      <w:pPr>
        <w:spacing w:line="360" w:lineRule="auto"/>
        <w:jc w:val="both"/>
        <w:rPr>
          <w:szCs w:val="24"/>
          <w:lang w:val="es-VE"/>
        </w:rPr>
      </w:pPr>
    </w:p>
    <w:p w:rsidR="00AB0B96" w:rsidRPr="006B3828" w:rsidRDefault="00AB0B96" w:rsidP="0046578D">
      <w:pPr>
        <w:spacing w:line="360" w:lineRule="auto"/>
        <w:jc w:val="both"/>
        <w:rPr>
          <w:szCs w:val="24"/>
          <w:lang w:val="es-VE"/>
        </w:rPr>
      </w:pPr>
    </w:p>
    <w:p w:rsidR="00AB0B96" w:rsidRPr="006B3828" w:rsidRDefault="00AB0B96" w:rsidP="0046578D">
      <w:pPr>
        <w:spacing w:line="360" w:lineRule="auto"/>
        <w:jc w:val="both"/>
        <w:rPr>
          <w:szCs w:val="24"/>
          <w:lang w:val="es-VE"/>
        </w:rPr>
      </w:pPr>
    </w:p>
    <w:p w:rsidR="00AB0B96" w:rsidRPr="006B3828" w:rsidRDefault="00AB0B96" w:rsidP="0046578D">
      <w:pPr>
        <w:spacing w:line="360" w:lineRule="auto"/>
        <w:jc w:val="both"/>
        <w:rPr>
          <w:szCs w:val="24"/>
          <w:lang w:val="es-VE"/>
        </w:rPr>
      </w:pPr>
    </w:p>
    <w:p w:rsidR="00AB0B96" w:rsidRPr="006B3828" w:rsidRDefault="00AB0B96" w:rsidP="0046578D">
      <w:pPr>
        <w:spacing w:line="360" w:lineRule="auto"/>
        <w:jc w:val="both"/>
        <w:rPr>
          <w:szCs w:val="24"/>
          <w:lang w:val="es-VE"/>
        </w:rPr>
      </w:pPr>
    </w:p>
    <w:p w:rsidR="00CB788D" w:rsidRDefault="00CB788D" w:rsidP="000D6816">
      <w:pPr>
        <w:spacing w:line="360" w:lineRule="auto"/>
        <w:jc w:val="center"/>
        <w:rPr>
          <w:szCs w:val="24"/>
          <w:lang w:val="es-VE"/>
        </w:rPr>
        <w:sectPr w:rsidR="00CB788D" w:rsidSect="00820F87">
          <w:pgSz w:w="12240" w:h="15840"/>
          <w:pgMar w:top="1699" w:right="1699" w:bottom="1699" w:left="2275" w:header="720" w:footer="720" w:gutter="0"/>
          <w:cols w:space="720"/>
          <w:docGrid w:linePitch="360"/>
        </w:sectPr>
      </w:pPr>
    </w:p>
    <w:p w:rsidR="000D6816" w:rsidRPr="00CB788D" w:rsidRDefault="000D6816" w:rsidP="005B74B4">
      <w:pPr>
        <w:pStyle w:val="Ttulo1"/>
      </w:pPr>
      <w:bookmarkStart w:id="168" w:name="_Toc327478035"/>
      <w:r w:rsidRPr="00CB788D">
        <w:lastRenderedPageBreak/>
        <w:t>RECOMENDACIONES</w:t>
      </w:r>
      <w:bookmarkEnd w:id="168"/>
    </w:p>
    <w:p w:rsidR="000D6816" w:rsidRDefault="00634D3C" w:rsidP="002F595D">
      <w:pPr>
        <w:spacing w:line="360" w:lineRule="auto"/>
        <w:jc w:val="both"/>
        <w:rPr>
          <w:szCs w:val="24"/>
          <w:lang w:val="es-VE"/>
        </w:rPr>
      </w:pPr>
      <w:r>
        <w:rPr>
          <w:szCs w:val="24"/>
          <w:lang w:val="es-VE"/>
        </w:rPr>
        <w:tab/>
      </w:r>
      <w:r w:rsidR="00F52FA7">
        <w:rPr>
          <w:szCs w:val="24"/>
          <w:lang w:val="es-VE"/>
        </w:rPr>
        <w:t>E</w:t>
      </w:r>
      <w:r w:rsidR="00F52FA7" w:rsidRPr="00CB788D">
        <w:rPr>
          <w:szCs w:val="24"/>
          <w:lang w:val="es-VE"/>
        </w:rPr>
        <w:t>n funci</w:t>
      </w:r>
      <w:r w:rsidR="00F52FA7">
        <w:rPr>
          <w:szCs w:val="24"/>
          <w:lang w:val="es-VE"/>
        </w:rPr>
        <w:t>ón de los resultados y las limitaciones identificadas durante el desarrollo de este trabajo especial de grado, a</w:t>
      </w:r>
      <w:r w:rsidR="00CB788D" w:rsidRPr="00CB788D">
        <w:rPr>
          <w:szCs w:val="24"/>
          <w:lang w:val="es-VE"/>
        </w:rPr>
        <w:t xml:space="preserve"> continuación se listan una serie de recomendaciones</w:t>
      </w:r>
      <w:r w:rsidR="00F52FA7">
        <w:rPr>
          <w:szCs w:val="24"/>
          <w:lang w:val="es-VE"/>
        </w:rPr>
        <w:t>:</w:t>
      </w:r>
    </w:p>
    <w:p w:rsidR="00F52FA7" w:rsidRDefault="00F52FA7" w:rsidP="002F595D">
      <w:pPr>
        <w:pStyle w:val="Prrafodelista"/>
        <w:numPr>
          <w:ilvl w:val="0"/>
          <w:numId w:val="26"/>
        </w:numPr>
        <w:spacing w:line="360" w:lineRule="auto"/>
        <w:jc w:val="both"/>
        <w:rPr>
          <w:szCs w:val="24"/>
          <w:lang w:val="es-VE"/>
        </w:rPr>
      </w:pPr>
      <w:r>
        <w:rPr>
          <w:szCs w:val="24"/>
          <w:lang w:val="es-VE"/>
        </w:rPr>
        <w:t xml:space="preserve">Debido a la alta viscosidad de las fosas </w:t>
      </w:r>
      <w:r w:rsidR="00355A67">
        <w:rPr>
          <w:szCs w:val="24"/>
          <w:lang w:val="es-VE"/>
        </w:rPr>
        <w:t>Merey-31</w:t>
      </w:r>
      <w:r>
        <w:rPr>
          <w:szCs w:val="24"/>
          <w:lang w:val="es-VE"/>
        </w:rPr>
        <w:t xml:space="preserve"> y </w:t>
      </w:r>
      <w:r w:rsidR="00355A67">
        <w:rPr>
          <w:szCs w:val="24"/>
          <w:lang w:val="es-VE"/>
        </w:rPr>
        <w:t>Guara-2</w:t>
      </w:r>
      <w:r>
        <w:rPr>
          <w:szCs w:val="24"/>
          <w:lang w:val="es-VE"/>
        </w:rPr>
        <w:t xml:space="preserve">, </w:t>
      </w:r>
      <w:r w:rsidR="00634D3C">
        <w:rPr>
          <w:szCs w:val="24"/>
          <w:lang w:val="es-VE"/>
        </w:rPr>
        <w:t xml:space="preserve">se deberá incrementar la presión en el tanque de </w:t>
      </w:r>
      <w:r>
        <w:rPr>
          <w:szCs w:val="24"/>
          <w:lang w:val="es-VE"/>
        </w:rPr>
        <w:t>alimentación del sistema</w:t>
      </w:r>
      <w:r w:rsidR="00634D3C">
        <w:rPr>
          <w:szCs w:val="24"/>
          <w:lang w:val="es-VE"/>
        </w:rPr>
        <w:t xml:space="preserve">. </w:t>
      </w:r>
      <w:r>
        <w:rPr>
          <w:szCs w:val="24"/>
          <w:lang w:val="es-VE"/>
        </w:rPr>
        <w:t>Considérese para esto el uso de nitrógeno como gas presurizante.</w:t>
      </w:r>
    </w:p>
    <w:p w:rsidR="00634D3C" w:rsidRDefault="00634D3C" w:rsidP="002F595D">
      <w:pPr>
        <w:pStyle w:val="Prrafodelista"/>
        <w:numPr>
          <w:ilvl w:val="0"/>
          <w:numId w:val="26"/>
        </w:numPr>
        <w:spacing w:line="360" w:lineRule="auto"/>
        <w:jc w:val="both"/>
        <w:rPr>
          <w:szCs w:val="24"/>
          <w:lang w:val="es-VE"/>
        </w:rPr>
      </w:pPr>
      <w:r>
        <w:rPr>
          <w:szCs w:val="24"/>
          <w:lang w:val="es-VE"/>
        </w:rPr>
        <w:t>Procurar realizar el control de</w:t>
      </w:r>
      <w:r w:rsidR="00F52FA7">
        <w:rPr>
          <w:szCs w:val="24"/>
          <w:lang w:val="es-VE"/>
        </w:rPr>
        <w:t xml:space="preserve"> flujo de</w:t>
      </w:r>
      <w:r>
        <w:rPr>
          <w:szCs w:val="24"/>
          <w:lang w:val="es-VE"/>
        </w:rPr>
        <w:t xml:space="preserve"> la</w:t>
      </w:r>
      <w:r w:rsidR="00F52FA7">
        <w:rPr>
          <w:szCs w:val="24"/>
          <w:lang w:val="es-VE"/>
        </w:rPr>
        <w:t xml:space="preserve"> emulsión con la válvula de paso instalada. </w:t>
      </w:r>
    </w:p>
    <w:p w:rsidR="00634D3C" w:rsidRDefault="00634D3C" w:rsidP="002F595D">
      <w:pPr>
        <w:pStyle w:val="Prrafodelista"/>
        <w:numPr>
          <w:ilvl w:val="0"/>
          <w:numId w:val="26"/>
        </w:numPr>
        <w:spacing w:line="360" w:lineRule="auto"/>
        <w:jc w:val="both"/>
        <w:rPr>
          <w:szCs w:val="24"/>
          <w:lang w:val="es-VE"/>
        </w:rPr>
      </w:pPr>
      <w:r>
        <w:rPr>
          <w:szCs w:val="24"/>
          <w:lang w:val="es-VE"/>
        </w:rPr>
        <w:t>Emplear una ce</w:t>
      </w:r>
      <w:r w:rsidR="00742F78">
        <w:rPr>
          <w:szCs w:val="24"/>
          <w:lang w:val="es-VE"/>
        </w:rPr>
        <w:t>lda de tratamiento eléctrico de electrodos cilíndricos.</w:t>
      </w:r>
    </w:p>
    <w:p w:rsidR="00742F78" w:rsidRDefault="00742F78" w:rsidP="002F595D">
      <w:pPr>
        <w:pStyle w:val="Prrafodelista"/>
        <w:numPr>
          <w:ilvl w:val="0"/>
          <w:numId w:val="26"/>
        </w:numPr>
        <w:spacing w:line="360" w:lineRule="auto"/>
        <w:jc w:val="both"/>
        <w:rPr>
          <w:szCs w:val="24"/>
          <w:lang w:val="es-VE"/>
        </w:rPr>
      </w:pPr>
      <w:r>
        <w:rPr>
          <w:szCs w:val="24"/>
          <w:lang w:val="es-VE"/>
        </w:rPr>
        <w:t>Estimar el ángulo de contacto de los materiales empleados como medio coalescedor.</w:t>
      </w:r>
    </w:p>
    <w:p w:rsidR="00742F78" w:rsidRDefault="002F595D" w:rsidP="002F595D">
      <w:pPr>
        <w:pStyle w:val="Prrafodelista"/>
        <w:numPr>
          <w:ilvl w:val="0"/>
          <w:numId w:val="26"/>
        </w:numPr>
        <w:spacing w:line="360" w:lineRule="auto"/>
        <w:jc w:val="both"/>
        <w:rPr>
          <w:szCs w:val="24"/>
          <w:lang w:val="es-VE"/>
        </w:rPr>
      </w:pPr>
      <w:r>
        <w:rPr>
          <w:szCs w:val="24"/>
          <w:lang w:val="es-VE"/>
        </w:rPr>
        <w:t>Variar</w:t>
      </w:r>
      <w:r w:rsidR="008A1DE5">
        <w:rPr>
          <w:szCs w:val="24"/>
          <w:lang w:val="es-VE"/>
        </w:rPr>
        <w:t xml:space="preserve"> el tamaño de partícula y geometría del material que se emplee como medio coalescedor.</w:t>
      </w:r>
    </w:p>
    <w:p w:rsidR="008A1DE5" w:rsidRDefault="008A1DE5" w:rsidP="002F595D">
      <w:pPr>
        <w:pStyle w:val="Prrafodelista"/>
        <w:numPr>
          <w:ilvl w:val="0"/>
          <w:numId w:val="26"/>
        </w:numPr>
        <w:spacing w:line="360" w:lineRule="auto"/>
        <w:jc w:val="both"/>
        <w:rPr>
          <w:szCs w:val="24"/>
          <w:lang w:val="es-VE"/>
        </w:rPr>
      </w:pPr>
      <w:r>
        <w:rPr>
          <w:szCs w:val="24"/>
          <w:lang w:val="es-VE"/>
        </w:rPr>
        <w:t>Determinar el voltaje óptimo de aplicación. Esto requerirá realizar pruebas a distintos voltajes y evaluar posteriormente el grado de desestabilización-separación de la emulsión.</w:t>
      </w:r>
    </w:p>
    <w:p w:rsidR="00742F78" w:rsidRDefault="008A1DE5" w:rsidP="002F595D">
      <w:pPr>
        <w:pStyle w:val="Prrafodelista"/>
        <w:numPr>
          <w:ilvl w:val="0"/>
          <w:numId w:val="26"/>
        </w:numPr>
        <w:spacing w:line="360" w:lineRule="auto"/>
        <w:jc w:val="both"/>
        <w:rPr>
          <w:szCs w:val="24"/>
          <w:lang w:val="es-VE"/>
        </w:rPr>
      </w:pPr>
      <w:r w:rsidRPr="008A1DE5">
        <w:rPr>
          <w:szCs w:val="24"/>
          <w:lang w:val="es-VE"/>
        </w:rPr>
        <w:t>Recubrir</w:t>
      </w:r>
      <w:r>
        <w:rPr>
          <w:szCs w:val="24"/>
          <w:lang w:val="es-VE"/>
        </w:rPr>
        <w:t xml:space="preserve"> los electrodos a fin de disminuir, en la medida de lo posible, la presencia de corto eléctrico en el sistema.</w:t>
      </w:r>
    </w:p>
    <w:p w:rsidR="00492495" w:rsidRDefault="008A1DE5" w:rsidP="002F595D">
      <w:pPr>
        <w:pStyle w:val="Prrafodelista"/>
        <w:numPr>
          <w:ilvl w:val="0"/>
          <w:numId w:val="26"/>
        </w:numPr>
        <w:spacing w:line="360" w:lineRule="auto"/>
        <w:jc w:val="both"/>
        <w:rPr>
          <w:color w:val="000000" w:themeColor="text1"/>
        </w:rPr>
      </w:pPr>
      <w:r w:rsidRPr="00492495">
        <w:rPr>
          <w:color w:val="000000" w:themeColor="text1"/>
        </w:rPr>
        <w:t xml:space="preserve">Automatizar la captura de las imágenes </w:t>
      </w:r>
      <w:r w:rsidR="00492495" w:rsidRPr="00492495">
        <w:rPr>
          <w:color w:val="000000" w:themeColor="text1"/>
        </w:rPr>
        <w:t>con</w:t>
      </w:r>
      <w:r w:rsidRPr="00492495">
        <w:rPr>
          <w:color w:val="000000" w:themeColor="text1"/>
        </w:rPr>
        <w:t xml:space="preserve"> el microscopio. Esto garantizará </w:t>
      </w:r>
      <w:r w:rsidR="00492495" w:rsidRPr="00492495">
        <w:rPr>
          <w:color w:val="000000" w:themeColor="text1"/>
        </w:rPr>
        <w:t xml:space="preserve">adquirir un gran número de imágenes de la muestra a fin de que la caracterización realizada sea representativa de la muestra que se analiza. </w:t>
      </w:r>
    </w:p>
    <w:p w:rsidR="002F595D" w:rsidRPr="002F595D" w:rsidRDefault="002F595D" w:rsidP="002F595D">
      <w:pPr>
        <w:pStyle w:val="Prrafodelista"/>
        <w:numPr>
          <w:ilvl w:val="0"/>
          <w:numId w:val="26"/>
        </w:numPr>
        <w:spacing w:line="360" w:lineRule="auto"/>
        <w:jc w:val="both"/>
        <w:rPr>
          <w:color w:val="000000" w:themeColor="text1"/>
        </w:rPr>
      </w:pPr>
      <w:r>
        <w:rPr>
          <w:color w:val="000000" w:themeColor="text1"/>
        </w:rPr>
        <w:t>Actualizar el software de análisis de imágenes Image Pro Plus a una versión más reciente.</w:t>
      </w:r>
    </w:p>
    <w:p w:rsidR="00634D3C" w:rsidRDefault="00492495" w:rsidP="002F595D">
      <w:pPr>
        <w:pStyle w:val="Prrafodelista"/>
        <w:numPr>
          <w:ilvl w:val="0"/>
          <w:numId w:val="26"/>
        </w:numPr>
        <w:spacing w:line="360" w:lineRule="auto"/>
        <w:jc w:val="both"/>
        <w:rPr>
          <w:szCs w:val="24"/>
          <w:lang w:val="es-VE"/>
        </w:rPr>
      </w:pPr>
      <w:r w:rsidRPr="00492495">
        <w:rPr>
          <w:szCs w:val="24"/>
          <w:lang w:val="es-VE"/>
        </w:rPr>
        <w:t>Centrifugar las muestras</w:t>
      </w:r>
      <w:r w:rsidR="002F595D">
        <w:rPr>
          <w:szCs w:val="24"/>
          <w:lang w:val="es-VE"/>
        </w:rPr>
        <w:t xml:space="preserve"> tratadas</w:t>
      </w:r>
      <w:r w:rsidRPr="00492495">
        <w:rPr>
          <w:szCs w:val="24"/>
          <w:lang w:val="es-VE"/>
        </w:rPr>
        <w:t xml:space="preserve"> a t</w:t>
      </w:r>
      <w:r>
        <w:rPr>
          <w:szCs w:val="24"/>
          <w:lang w:val="es-VE"/>
        </w:rPr>
        <w:t>emperatura.</w:t>
      </w:r>
    </w:p>
    <w:p w:rsidR="00782E70" w:rsidRDefault="00782E70" w:rsidP="00782E70">
      <w:pPr>
        <w:pStyle w:val="Prrafodelista"/>
        <w:spacing w:line="360" w:lineRule="auto"/>
        <w:jc w:val="both"/>
        <w:rPr>
          <w:szCs w:val="24"/>
          <w:lang w:val="es-VE"/>
        </w:rPr>
      </w:pPr>
    </w:p>
    <w:p w:rsidR="00492495" w:rsidRPr="00492495" w:rsidRDefault="00492495" w:rsidP="002F595D">
      <w:pPr>
        <w:pStyle w:val="Prrafodelista"/>
        <w:spacing w:line="360" w:lineRule="auto"/>
        <w:jc w:val="both"/>
        <w:rPr>
          <w:szCs w:val="24"/>
          <w:lang w:val="es-VE"/>
        </w:rPr>
      </w:pPr>
    </w:p>
    <w:p w:rsidR="00F52FA7" w:rsidRPr="00F52FA7" w:rsidRDefault="00F52FA7" w:rsidP="002F595D">
      <w:pPr>
        <w:pStyle w:val="Prrafodelista"/>
        <w:spacing w:line="360" w:lineRule="auto"/>
        <w:jc w:val="both"/>
        <w:rPr>
          <w:szCs w:val="24"/>
          <w:lang w:val="es-VE"/>
        </w:rPr>
      </w:pPr>
    </w:p>
    <w:p w:rsidR="000D6816" w:rsidRPr="00CB788D" w:rsidRDefault="00634D3C" w:rsidP="00634D3C">
      <w:pPr>
        <w:tabs>
          <w:tab w:val="left" w:pos="5167"/>
        </w:tabs>
        <w:spacing w:line="360" w:lineRule="auto"/>
        <w:jc w:val="both"/>
        <w:rPr>
          <w:szCs w:val="24"/>
          <w:lang w:val="es-VE"/>
        </w:rPr>
      </w:pPr>
      <w:r>
        <w:rPr>
          <w:szCs w:val="24"/>
          <w:lang w:val="es-VE"/>
        </w:rPr>
        <w:tab/>
      </w:r>
    </w:p>
    <w:p w:rsidR="000D6816" w:rsidRPr="005E6149" w:rsidRDefault="000D6816" w:rsidP="005B74B4">
      <w:pPr>
        <w:pStyle w:val="Ttulo1"/>
        <w:rPr>
          <w:lang w:val="en-US"/>
        </w:rPr>
      </w:pPr>
      <w:bookmarkStart w:id="169" w:name="_Toc327478036"/>
      <w:r w:rsidRPr="005E6149">
        <w:rPr>
          <w:lang w:val="en-US"/>
        </w:rPr>
        <w:lastRenderedPageBreak/>
        <w:t>BIBLIOGRAFÍA</w:t>
      </w:r>
      <w:bookmarkEnd w:id="169"/>
    </w:p>
    <w:p w:rsidR="00F32A3F" w:rsidRDefault="00F32A3F" w:rsidP="00F32A3F">
      <w:pPr>
        <w:tabs>
          <w:tab w:val="left" w:pos="360"/>
        </w:tabs>
        <w:autoSpaceDE w:val="0"/>
        <w:autoSpaceDN w:val="0"/>
        <w:adjustRightInd w:val="0"/>
        <w:spacing w:after="240" w:line="360" w:lineRule="auto"/>
        <w:ind w:left="360" w:hanging="360"/>
        <w:jc w:val="both"/>
        <w:rPr>
          <w:b/>
          <w:szCs w:val="24"/>
          <w:lang w:val="es-VE"/>
        </w:rPr>
      </w:pPr>
      <w:r w:rsidRPr="00F32A3F">
        <w:rPr>
          <w:szCs w:val="24"/>
          <w:lang w:val="en-US"/>
        </w:rPr>
        <w:t xml:space="preserve">Anderson W. (1986). Wettability literature survey – Part 1: Rock/oil/brine interactions and the effect of core handling on Wettability. </w:t>
      </w:r>
      <w:r w:rsidRPr="00F32A3F">
        <w:rPr>
          <w:iCs/>
          <w:szCs w:val="24"/>
          <w:lang w:val="es-VE"/>
        </w:rPr>
        <w:t>Journal of Petroleum Technology</w:t>
      </w:r>
      <w:r w:rsidRPr="00F32A3F">
        <w:rPr>
          <w:szCs w:val="24"/>
          <w:lang w:val="es-VE"/>
        </w:rPr>
        <w:t>. Pág. 1125-1144.</w:t>
      </w:r>
    </w:p>
    <w:p w:rsidR="00F32A3F" w:rsidRPr="00A374A3" w:rsidRDefault="00F32A3F" w:rsidP="00F32A3F">
      <w:pPr>
        <w:tabs>
          <w:tab w:val="left" w:pos="360"/>
        </w:tabs>
        <w:autoSpaceDE w:val="0"/>
        <w:autoSpaceDN w:val="0"/>
        <w:adjustRightInd w:val="0"/>
        <w:spacing w:after="240" w:line="360" w:lineRule="auto"/>
        <w:ind w:left="360" w:hanging="360"/>
        <w:jc w:val="both"/>
        <w:rPr>
          <w:b/>
          <w:szCs w:val="24"/>
          <w:lang w:val="en-US"/>
        </w:rPr>
      </w:pPr>
      <w:r w:rsidRPr="00643B62">
        <w:rPr>
          <w:szCs w:val="24"/>
        </w:rPr>
        <w:t>Bauer, J</w:t>
      </w:r>
      <w:r>
        <w:rPr>
          <w:szCs w:val="24"/>
        </w:rPr>
        <w:t>.</w:t>
      </w:r>
      <w:r w:rsidRPr="00643B62">
        <w:rPr>
          <w:szCs w:val="24"/>
        </w:rPr>
        <w:t xml:space="preserve"> (2007). Influencia del campo eléctrico D.C. en la distribución de tamaño de partícula de sistemas dispersos de agua, crudo y sólidos provenientes de lodos petrolizados.</w:t>
      </w:r>
      <w:r w:rsidRPr="00643B62">
        <w:rPr>
          <w:szCs w:val="24"/>
          <w:lang w:val="es-ES_tradnl"/>
        </w:rPr>
        <w:t xml:space="preserve"> Trabajo Especial de Grado. Facultad de Ingeniería</w:t>
      </w:r>
      <w:r>
        <w:rPr>
          <w:szCs w:val="24"/>
          <w:lang w:val="es-ES_tradnl"/>
        </w:rPr>
        <w:t>.</w:t>
      </w:r>
      <w:r w:rsidRPr="00643B62">
        <w:rPr>
          <w:szCs w:val="24"/>
          <w:lang w:val="es-ES_tradnl"/>
        </w:rPr>
        <w:t xml:space="preserve"> Universidad de Central de Venezuela. </w:t>
      </w:r>
      <w:r w:rsidRPr="00A374A3">
        <w:rPr>
          <w:szCs w:val="24"/>
          <w:lang w:val="en-US"/>
        </w:rPr>
        <w:t>Caracas.</w:t>
      </w:r>
    </w:p>
    <w:p w:rsidR="00F32A3F" w:rsidRPr="00A374A3" w:rsidRDefault="00F52344" w:rsidP="00F32A3F">
      <w:pPr>
        <w:autoSpaceDE w:val="0"/>
        <w:autoSpaceDN w:val="0"/>
        <w:adjustRightInd w:val="0"/>
        <w:spacing w:line="360" w:lineRule="auto"/>
        <w:ind w:left="360" w:hanging="360"/>
        <w:jc w:val="both"/>
        <w:rPr>
          <w:szCs w:val="24"/>
          <w:lang w:val="en-US"/>
        </w:rPr>
      </w:pPr>
      <w:r w:rsidRPr="00A374A3">
        <w:rPr>
          <w:szCs w:val="24"/>
          <w:lang w:val="en-US"/>
        </w:rPr>
        <w:t xml:space="preserve">Burris D. (1977). </w:t>
      </w:r>
      <w:r w:rsidRPr="00A374A3">
        <w:rPr>
          <w:iCs/>
          <w:szCs w:val="24"/>
          <w:lang w:val="en-US"/>
        </w:rPr>
        <w:t>Dual Polarity Oil dehydration</w:t>
      </w:r>
      <w:r w:rsidRPr="00A374A3">
        <w:rPr>
          <w:szCs w:val="24"/>
          <w:lang w:val="en-US"/>
        </w:rPr>
        <w:t xml:space="preserve">. Associate Chief Engineer, NATCO, </w:t>
      </w:r>
    </w:p>
    <w:p w:rsidR="00F52344" w:rsidRPr="00A275D5" w:rsidRDefault="00F52344" w:rsidP="00AC1F0F">
      <w:pPr>
        <w:autoSpaceDE w:val="0"/>
        <w:autoSpaceDN w:val="0"/>
        <w:adjustRightInd w:val="0"/>
        <w:spacing w:after="240" w:line="360" w:lineRule="auto"/>
        <w:ind w:left="360" w:hanging="360"/>
        <w:jc w:val="both"/>
        <w:rPr>
          <w:szCs w:val="24"/>
          <w:lang w:val="es-VE"/>
        </w:rPr>
      </w:pPr>
      <w:r w:rsidRPr="004A5F6F">
        <w:rPr>
          <w:szCs w:val="24"/>
          <w:lang w:val="es-VE"/>
        </w:rPr>
        <w:t xml:space="preserve">Tulsa. </w:t>
      </w:r>
      <w:r w:rsidRPr="00A275D5">
        <w:rPr>
          <w:szCs w:val="24"/>
          <w:lang w:val="es-VE"/>
        </w:rPr>
        <w:t>E.E.U.U.</w:t>
      </w:r>
    </w:p>
    <w:p w:rsidR="00F32A3F" w:rsidRPr="001D17FE" w:rsidRDefault="00AC1F0F" w:rsidP="00AC1F0F">
      <w:pPr>
        <w:autoSpaceDE w:val="0"/>
        <w:autoSpaceDN w:val="0"/>
        <w:adjustRightInd w:val="0"/>
        <w:spacing w:after="240" w:line="360" w:lineRule="auto"/>
        <w:ind w:left="360" w:hanging="360"/>
        <w:jc w:val="both"/>
        <w:rPr>
          <w:szCs w:val="24"/>
          <w:lang w:val="es-VE"/>
        </w:rPr>
      </w:pPr>
      <w:r w:rsidRPr="004A5F6F">
        <w:rPr>
          <w:szCs w:val="24"/>
          <w:lang w:val="es-VE"/>
        </w:rPr>
        <w:t xml:space="preserve">Carey, V. (1992). </w:t>
      </w:r>
      <w:r w:rsidR="00F32A3F" w:rsidRPr="00AC1F0F">
        <w:rPr>
          <w:iCs/>
          <w:szCs w:val="24"/>
          <w:lang w:val="en-US"/>
        </w:rPr>
        <w:t>Liquid-Vapor Phases Change Phenomena</w:t>
      </w:r>
      <w:r w:rsidRPr="00AC1F0F">
        <w:rPr>
          <w:szCs w:val="24"/>
          <w:lang w:val="en-US"/>
        </w:rPr>
        <w:t xml:space="preserve">. </w:t>
      </w:r>
      <w:r w:rsidRPr="00A275D5">
        <w:rPr>
          <w:bCs/>
          <w:szCs w:val="24"/>
          <w:lang w:val="es-VE"/>
        </w:rPr>
        <w:t xml:space="preserve">Hemisphere Publishing Corp. </w:t>
      </w:r>
      <w:r w:rsidRPr="001D17FE">
        <w:rPr>
          <w:bCs/>
          <w:szCs w:val="24"/>
          <w:lang w:val="es-VE"/>
        </w:rPr>
        <w:t>Nueva York. E.E.U.U. Capítulo N° 2.</w:t>
      </w:r>
    </w:p>
    <w:p w:rsidR="00F52344" w:rsidRPr="009E6A88" w:rsidRDefault="00F52344" w:rsidP="00F32A3F">
      <w:pPr>
        <w:autoSpaceDE w:val="0"/>
        <w:autoSpaceDN w:val="0"/>
        <w:adjustRightInd w:val="0"/>
        <w:spacing w:after="240" w:line="360" w:lineRule="auto"/>
        <w:ind w:left="360" w:hanging="360"/>
        <w:jc w:val="both"/>
        <w:rPr>
          <w:szCs w:val="24"/>
        </w:rPr>
      </w:pPr>
      <w:r w:rsidRPr="001D17FE">
        <w:rPr>
          <w:szCs w:val="24"/>
          <w:lang w:val="es-VE"/>
        </w:rPr>
        <w:t xml:space="preserve">Delgado, J. (2006). </w:t>
      </w:r>
      <w:r w:rsidRPr="00A275D5">
        <w:rPr>
          <w:szCs w:val="24"/>
          <w:lang w:val="es-VE"/>
        </w:rPr>
        <w:t>Asfaltenos. Composición, a</w:t>
      </w:r>
      <w:r w:rsidRPr="00D43B14">
        <w:rPr>
          <w:szCs w:val="24"/>
        </w:rPr>
        <w:t>gregación y precipitación. Cuaderno FIRP S369-A. Laboratorio de Formulación, Interfases, Reología y Procesos. Primera revisión. Universidad de Los Andes, Mérida.</w:t>
      </w:r>
    </w:p>
    <w:p w:rsidR="00F32A3F" w:rsidRPr="005075F5" w:rsidRDefault="00F32A3F" w:rsidP="00F32A3F">
      <w:pPr>
        <w:tabs>
          <w:tab w:val="left" w:pos="360"/>
          <w:tab w:val="left" w:pos="450"/>
        </w:tabs>
        <w:autoSpaceDE w:val="0"/>
        <w:autoSpaceDN w:val="0"/>
        <w:adjustRightInd w:val="0"/>
        <w:spacing w:after="240" w:line="360" w:lineRule="auto"/>
        <w:ind w:left="360" w:hanging="360"/>
        <w:rPr>
          <w:szCs w:val="24"/>
          <w:lang w:val="en-US"/>
        </w:rPr>
      </w:pPr>
      <w:r w:rsidRPr="004A5F6F">
        <w:rPr>
          <w:szCs w:val="24"/>
          <w:lang w:val="es-VE"/>
        </w:rPr>
        <w:t xml:space="preserve">Eow, J., Ghadiri, M. (2003). </w:t>
      </w:r>
      <w:r w:rsidRPr="005075F5">
        <w:rPr>
          <w:rFonts w:eastAsia="Calibri"/>
          <w:szCs w:val="24"/>
          <w:lang w:val="en-US" w:eastAsia="en-US"/>
        </w:rPr>
        <w:t xml:space="preserve">Motion, deformation and break-up of aqueous drops in oils under high electric field strengths. </w:t>
      </w:r>
      <w:r w:rsidRPr="005075F5">
        <w:rPr>
          <w:szCs w:val="24"/>
          <w:lang w:val="en-US"/>
        </w:rPr>
        <w:t xml:space="preserve"> </w:t>
      </w:r>
      <w:r w:rsidRPr="005075F5">
        <w:rPr>
          <w:rFonts w:eastAsia="Calibri"/>
          <w:color w:val="000000"/>
          <w:szCs w:val="24"/>
          <w:lang w:val="en-US" w:eastAsia="en-US"/>
        </w:rPr>
        <w:t>Chemical Engineering and Processing. N° 42. Pág. 259-</w:t>
      </w:r>
      <w:r w:rsidRPr="005075F5">
        <w:rPr>
          <w:rFonts w:eastAsia="Calibri"/>
          <w:color w:val="FFFFFF"/>
          <w:szCs w:val="24"/>
          <w:lang w:val="en-US" w:eastAsia="en-US"/>
        </w:rPr>
        <w:t>/</w:t>
      </w:r>
      <w:r w:rsidRPr="005075F5">
        <w:rPr>
          <w:rFonts w:eastAsia="Calibri"/>
          <w:color w:val="000000"/>
          <w:szCs w:val="24"/>
          <w:lang w:val="en-US" w:eastAsia="en-US"/>
        </w:rPr>
        <w:t>272.</w:t>
      </w:r>
    </w:p>
    <w:p w:rsidR="00F32A3F" w:rsidRDefault="00F32A3F" w:rsidP="00F32A3F">
      <w:pPr>
        <w:autoSpaceDE w:val="0"/>
        <w:autoSpaceDN w:val="0"/>
        <w:adjustRightInd w:val="0"/>
        <w:spacing w:before="240" w:after="240" w:line="360" w:lineRule="auto"/>
        <w:ind w:left="360" w:hanging="360"/>
        <w:jc w:val="both"/>
        <w:rPr>
          <w:szCs w:val="24"/>
          <w:lang w:val="en-US"/>
        </w:rPr>
      </w:pPr>
      <w:r w:rsidRPr="008B3E23">
        <w:rPr>
          <w:szCs w:val="24"/>
          <w:lang w:val="en-US"/>
        </w:rPr>
        <w:t xml:space="preserve">Eow, J. Ghadiri, M. (2002). Electrostatic enhancement of coalescence of water droplets in oil: a review of the technology’’. Chemical Engineering Journal N° 85. Elsiever. </w:t>
      </w:r>
      <w:r>
        <w:rPr>
          <w:szCs w:val="24"/>
          <w:lang w:val="en-US"/>
        </w:rPr>
        <w:t>Pág</w:t>
      </w:r>
      <w:r w:rsidRPr="008B3E23">
        <w:rPr>
          <w:szCs w:val="24"/>
          <w:lang w:val="en-US"/>
        </w:rPr>
        <w:t>.  357–368.</w:t>
      </w:r>
    </w:p>
    <w:p w:rsidR="00F52344" w:rsidRPr="006426B4" w:rsidRDefault="00F52344" w:rsidP="00F53FE3">
      <w:pPr>
        <w:autoSpaceDE w:val="0"/>
        <w:autoSpaceDN w:val="0"/>
        <w:adjustRightInd w:val="0"/>
        <w:spacing w:after="240" w:line="360" w:lineRule="auto"/>
        <w:ind w:left="360" w:hanging="360"/>
        <w:jc w:val="both"/>
        <w:rPr>
          <w:szCs w:val="24"/>
          <w:lang w:val="es-VE"/>
        </w:rPr>
      </w:pPr>
      <w:r w:rsidRPr="008B3E23">
        <w:rPr>
          <w:szCs w:val="24"/>
          <w:lang w:val="en-US"/>
        </w:rPr>
        <w:t>E</w:t>
      </w:r>
      <w:r>
        <w:rPr>
          <w:szCs w:val="24"/>
          <w:lang w:val="en-US"/>
        </w:rPr>
        <w:t>ow, S., Ghadiri, M., Sharif, A.,</w:t>
      </w:r>
      <w:r w:rsidRPr="008B3E23">
        <w:rPr>
          <w:szCs w:val="24"/>
          <w:lang w:val="en-US"/>
        </w:rPr>
        <w:t xml:space="preserve"> Williams, T. (2001). Electrostatic Enhancement of water droplets in oil: a review of the current understanding. </w:t>
      </w:r>
      <w:r w:rsidRPr="006426B4">
        <w:rPr>
          <w:szCs w:val="24"/>
          <w:lang w:val="es-VE"/>
        </w:rPr>
        <w:t>Chemichal Engineering Journal 84. Elsiever. Pág.173-192.</w:t>
      </w:r>
    </w:p>
    <w:p w:rsidR="00712D89" w:rsidRPr="006426B4" w:rsidRDefault="00712D89" w:rsidP="00712D89">
      <w:pPr>
        <w:spacing w:after="240" w:line="360" w:lineRule="auto"/>
        <w:ind w:left="450" w:hanging="450"/>
        <w:jc w:val="both"/>
        <w:rPr>
          <w:szCs w:val="24"/>
          <w:lang w:val="en-US"/>
        </w:rPr>
      </w:pPr>
      <w:r w:rsidRPr="004119F9">
        <w:rPr>
          <w:szCs w:val="24"/>
        </w:rPr>
        <w:lastRenderedPageBreak/>
        <w:t>Fung, E</w:t>
      </w:r>
      <w:r>
        <w:rPr>
          <w:szCs w:val="24"/>
        </w:rPr>
        <w:t>.</w:t>
      </w:r>
      <w:r w:rsidRPr="004119F9">
        <w:rPr>
          <w:szCs w:val="24"/>
        </w:rPr>
        <w:t xml:space="preserve"> (</w:t>
      </w:r>
      <w:r>
        <w:rPr>
          <w:szCs w:val="24"/>
        </w:rPr>
        <w:t>2011</w:t>
      </w:r>
      <w:r w:rsidRPr="004119F9">
        <w:rPr>
          <w:szCs w:val="24"/>
        </w:rPr>
        <w:t xml:space="preserve">). </w:t>
      </w:r>
      <w:r w:rsidRPr="00712D89">
        <w:rPr>
          <w:szCs w:val="24"/>
        </w:rPr>
        <w:t xml:space="preserve">Separación electrostática con corriente directa para la desestabilización de emulsiones agua-crudo de distintas fosas de producción mezcladas con solvente. </w:t>
      </w:r>
      <w:r w:rsidRPr="004119F9">
        <w:rPr>
          <w:szCs w:val="24"/>
        </w:rPr>
        <w:t>Trabajo especial de grado.</w:t>
      </w:r>
      <w:r>
        <w:rPr>
          <w:szCs w:val="24"/>
        </w:rPr>
        <w:t xml:space="preserve"> Facultad de Ingeniería.</w:t>
      </w:r>
      <w:r w:rsidRPr="004119F9">
        <w:rPr>
          <w:szCs w:val="24"/>
        </w:rPr>
        <w:t xml:space="preserve"> Universidad Central de Venezuela.</w:t>
      </w:r>
      <w:r>
        <w:rPr>
          <w:szCs w:val="24"/>
        </w:rPr>
        <w:t xml:space="preserve"> </w:t>
      </w:r>
      <w:r w:rsidRPr="006426B4">
        <w:rPr>
          <w:szCs w:val="24"/>
          <w:lang w:val="en-US"/>
        </w:rPr>
        <w:t>Caracas.</w:t>
      </w:r>
    </w:p>
    <w:p w:rsidR="00F32A3F" w:rsidRPr="00A374A3" w:rsidRDefault="00F32A3F" w:rsidP="00F53FE3">
      <w:pPr>
        <w:autoSpaceDE w:val="0"/>
        <w:autoSpaceDN w:val="0"/>
        <w:adjustRightInd w:val="0"/>
        <w:spacing w:after="240" w:line="360" w:lineRule="auto"/>
        <w:ind w:left="360" w:hanging="360"/>
        <w:jc w:val="both"/>
        <w:rPr>
          <w:rFonts w:eastAsia="Calibri"/>
          <w:color w:val="000000"/>
          <w:szCs w:val="24"/>
          <w:lang w:val="es-VE" w:eastAsia="en-US"/>
        </w:rPr>
      </w:pPr>
      <w:r w:rsidRPr="006426B4">
        <w:rPr>
          <w:rFonts w:eastAsia="Calibri"/>
          <w:color w:val="000000"/>
          <w:szCs w:val="24"/>
          <w:lang w:val="en-US" w:eastAsia="en-US"/>
        </w:rPr>
        <w:t>Havre, T., Sjöblom, J. (2003). Emulsion stabilization by means of combined surfact</w:t>
      </w:r>
      <w:r w:rsidRPr="004B4AE6">
        <w:rPr>
          <w:rFonts w:eastAsia="Calibri"/>
          <w:color w:val="000000"/>
          <w:szCs w:val="24"/>
          <w:lang w:val="en-US" w:eastAsia="en-US"/>
        </w:rPr>
        <w:t>ant multilayer (D-phase) and asphaltene particles.</w:t>
      </w:r>
      <w:r w:rsidRPr="004B4AE6">
        <w:rPr>
          <w:rFonts w:eastAsia="Calibri"/>
          <w:szCs w:val="24"/>
          <w:lang w:val="en-US" w:eastAsia="en-US"/>
        </w:rPr>
        <w:t xml:space="preserve"> </w:t>
      </w:r>
      <w:r w:rsidRPr="00A374A3">
        <w:rPr>
          <w:rFonts w:eastAsia="Calibri"/>
          <w:szCs w:val="24"/>
          <w:lang w:val="es-VE" w:eastAsia="en-US"/>
        </w:rPr>
        <w:t>Colloids and Surfaces A: Physicochem. Eng. Aspects. N°  228. Pág. 131–142.</w:t>
      </w:r>
    </w:p>
    <w:p w:rsidR="00F52344" w:rsidRPr="00F52344" w:rsidRDefault="00F52344" w:rsidP="00F53FE3">
      <w:pPr>
        <w:autoSpaceDE w:val="0"/>
        <w:autoSpaceDN w:val="0"/>
        <w:adjustRightInd w:val="0"/>
        <w:spacing w:after="240" w:line="360" w:lineRule="auto"/>
        <w:ind w:left="360" w:hanging="360"/>
        <w:jc w:val="both"/>
        <w:rPr>
          <w:szCs w:val="24"/>
          <w:lang w:val="es-VE"/>
        </w:rPr>
      </w:pPr>
      <w:r w:rsidRPr="00D43B14">
        <w:rPr>
          <w:szCs w:val="24"/>
        </w:rPr>
        <w:t>Instituto Mexicano de Transporte (2001).</w:t>
      </w:r>
      <w:r>
        <w:rPr>
          <w:szCs w:val="24"/>
        </w:rPr>
        <w:t xml:space="preserve"> </w:t>
      </w:r>
      <w:r w:rsidRPr="00D43B14">
        <w:rPr>
          <w:bCs/>
          <w:szCs w:val="24"/>
        </w:rPr>
        <w:t>Emulsiones Asfálticas</w:t>
      </w:r>
      <w:r w:rsidRPr="00D43B14">
        <w:rPr>
          <w:szCs w:val="24"/>
        </w:rPr>
        <w:t>. Documento Técnico N</w:t>
      </w:r>
      <w:r>
        <w:rPr>
          <w:szCs w:val="24"/>
        </w:rPr>
        <w:t xml:space="preserve">° </w:t>
      </w:r>
      <w:r w:rsidRPr="00D43B14">
        <w:rPr>
          <w:szCs w:val="24"/>
        </w:rPr>
        <w:t>23.</w:t>
      </w:r>
      <w:r>
        <w:rPr>
          <w:szCs w:val="24"/>
        </w:rPr>
        <w:t xml:space="preserve"> </w:t>
      </w:r>
      <w:r w:rsidRPr="00F52344">
        <w:rPr>
          <w:szCs w:val="24"/>
          <w:lang w:val="es-VE"/>
        </w:rPr>
        <w:t>Sanfandila. Rodríguez, R., Martínez, C.</w:t>
      </w:r>
    </w:p>
    <w:p w:rsidR="00F32A3F" w:rsidRPr="00A374A3" w:rsidRDefault="00F32A3F" w:rsidP="00F53FE3">
      <w:pPr>
        <w:autoSpaceDE w:val="0"/>
        <w:autoSpaceDN w:val="0"/>
        <w:adjustRightInd w:val="0"/>
        <w:spacing w:after="240" w:line="360" w:lineRule="auto"/>
        <w:ind w:left="360" w:hanging="360"/>
        <w:jc w:val="both"/>
        <w:rPr>
          <w:szCs w:val="24"/>
        </w:rPr>
      </w:pPr>
      <w:r w:rsidRPr="00A374A3">
        <w:rPr>
          <w:szCs w:val="24"/>
        </w:rPr>
        <w:t>Jefreys, G., Davies J. (1971). Coalescence of liquid droplets and liquid dispersion, Hason C. Nueva York, Pág.495-584.</w:t>
      </w:r>
    </w:p>
    <w:p w:rsidR="00F52344" w:rsidRDefault="00F52344" w:rsidP="00F53FE3">
      <w:pPr>
        <w:autoSpaceDE w:val="0"/>
        <w:autoSpaceDN w:val="0"/>
        <w:adjustRightInd w:val="0"/>
        <w:spacing w:after="240" w:line="360" w:lineRule="auto"/>
        <w:ind w:left="360" w:hanging="360"/>
        <w:jc w:val="both"/>
        <w:rPr>
          <w:szCs w:val="24"/>
          <w:lang w:val="en-US"/>
        </w:rPr>
      </w:pPr>
      <w:r w:rsidRPr="008B3E23">
        <w:rPr>
          <w:szCs w:val="24"/>
          <w:lang w:val="en-US"/>
        </w:rPr>
        <w:t xml:space="preserve">Jones, T., Neustadter, E., Wittingham, K. (1978). Water-in-Crude Oil Emulsion Stability and Emulsion Destabilization by Chemical Demulsifiers. Journal of Canadian Petroleum Technology. </w:t>
      </w:r>
      <w:r w:rsidRPr="008B3E23">
        <w:rPr>
          <w:iCs/>
          <w:szCs w:val="24"/>
          <w:lang w:val="en-US"/>
        </w:rPr>
        <w:t xml:space="preserve">Volumen </w:t>
      </w:r>
      <w:r w:rsidRPr="008B3E23">
        <w:rPr>
          <w:szCs w:val="24"/>
          <w:lang w:val="en-US"/>
        </w:rPr>
        <w:t>100</w:t>
      </w:r>
      <w:r w:rsidRPr="008B3E23">
        <w:rPr>
          <w:iCs/>
          <w:szCs w:val="24"/>
          <w:lang w:val="en-US"/>
        </w:rPr>
        <w:t xml:space="preserve"> (</w:t>
      </w:r>
      <w:r w:rsidRPr="008B3E23">
        <w:rPr>
          <w:szCs w:val="24"/>
          <w:lang w:val="en-US"/>
        </w:rPr>
        <w:t>Abril–Junio).</w:t>
      </w:r>
    </w:p>
    <w:p w:rsidR="00F52344" w:rsidRDefault="00F52344" w:rsidP="00F53FE3">
      <w:pPr>
        <w:spacing w:after="240" w:line="360" w:lineRule="auto"/>
        <w:ind w:left="360" w:hanging="360"/>
        <w:jc w:val="both"/>
        <w:rPr>
          <w:szCs w:val="24"/>
          <w:lang w:val="en-US"/>
        </w:rPr>
      </w:pPr>
      <w:r w:rsidRPr="00323F52">
        <w:rPr>
          <w:bCs/>
          <w:szCs w:val="24"/>
          <w:lang w:val="en-US"/>
        </w:rPr>
        <w:t xml:space="preserve">Kilpatrick, P., Spiecker, </w:t>
      </w:r>
      <w:r>
        <w:rPr>
          <w:bCs/>
          <w:szCs w:val="24"/>
          <w:lang w:val="en-US"/>
        </w:rPr>
        <w:t>M</w:t>
      </w:r>
      <w:r w:rsidRPr="00323F52">
        <w:rPr>
          <w:bCs/>
          <w:szCs w:val="24"/>
          <w:lang w:val="en-US"/>
        </w:rPr>
        <w:t>. (2001).</w:t>
      </w:r>
      <w:r>
        <w:rPr>
          <w:bCs/>
          <w:szCs w:val="24"/>
          <w:lang w:val="en-US"/>
        </w:rPr>
        <w:t xml:space="preserve"> </w:t>
      </w:r>
      <w:r w:rsidRPr="00323F52">
        <w:rPr>
          <w:szCs w:val="24"/>
          <w:lang w:val="en-US"/>
        </w:rPr>
        <w:t xml:space="preserve">Encyclopedic Handbook of Emulsion Technology. J. Sjöblom Ed. </w:t>
      </w:r>
      <w:r w:rsidRPr="00323F52">
        <w:rPr>
          <w:iCs/>
          <w:szCs w:val="24"/>
          <w:lang w:val="en-US"/>
        </w:rPr>
        <w:t>North Carolina State University, Raleigh, North Carolina</w:t>
      </w:r>
      <w:r w:rsidRPr="00323F52">
        <w:rPr>
          <w:szCs w:val="24"/>
          <w:lang w:val="en-US"/>
        </w:rPr>
        <w:t xml:space="preserve"> Capítulo 30, pág. 707-730.</w:t>
      </w:r>
    </w:p>
    <w:p w:rsidR="00F52344" w:rsidRPr="00D43B14" w:rsidRDefault="00F52344" w:rsidP="00F53FE3">
      <w:pPr>
        <w:spacing w:after="240" w:line="360" w:lineRule="auto"/>
        <w:ind w:left="360" w:hanging="360"/>
        <w:jc w:val="both"/>
        <w:rPr>
          <w:szCs w:val="24"/>
          <w:lang w:val="en-US"/>
        </w:rPr>
      </w:pPr>
      <w:r w:rsidRPr="00D43B14">
        <w:rPr>
          <w:szCs w:val="24"/>
          <w:lang w:val="en-US"/>
        </w:rPr>
        <w:t>Kimbler, O., Reed, R.</w:t>
      </w:r>
      <w:r>
        <w:rPr>
          <w:szCs w:val="24"/>
          <w:lang w:val="en-US"/>
        </w:rPr>
        <w:t>,</w:t>
      </w:r>
      <w:r w:rsidRPr="00D43B14">
        <w:rPr>
          <w:szCs w:val="24"/>
          <w:lang w:val="en-US"/>
        </w:rPr>
        <w:t xml:space="preserve"> Silberberg, I</w:t>
      </w:r>
      <w:r>
        <w:rPr>
          <w:szCs w:val="24"/>
          <w:lang w:val="en-US"/>
        </w:rPr>
        <w:t xml:space="preserve">. (1966).  </w:t>
      </w:r>
      <w:r w:rsidRPr="00D43B14">
        <w:rPr>
          <w:szCs w:val="24"/>
          <w:lang w:val="en-US"/>
        </w:rPr>
        <w:t>Physical Characteristics of Natural Films Formed at the Crude Oil-Water Interfaces</w:t>
      </w:r>
      <w:r>
        <w:rPr>
          <w:szCs w:val="24"/>
          <w:lang w:val="en-US"/>
        </w:rPr>
        <w:t>. Journal of Petroleum Technology. Volumen</w:t>
      </w:r>
      <w:r w:rsidRPr="00D43B14">
        <w:rPr>
          <w:iCs/>
          <w:szCs w:val="24"/>
          <w:lang w:val="en-US"/>
        </w:rPr>
        <w:t xml:space="preserve"> </w:t>
      </w:r>
      <w:r w:rsidRPr="00D43B14">
        <w:rPr>
          <w:szCs w:val="24"/>
          <w:lang w:val="en-US"/>
        </w:rPr>
        <w:t>153</w:t>
      </w:r>
      <w:r>
        <w:rPr>
          <w:iCs/>
          <w:szCs w:val="24"/>
          <w:lang w:val="en-US"/>
        </w:rPr>
        <w:t xml:space="preserve"> (Junio). </w:t>
      </w:r>
      <w:r w:rsidRPr="00D43B14">
        <w:rPr>
          <w:iCs/>
          <w:szCs w:val="24"/>
          <w:lang w:val="en-US"/>
        </w:rPr>
        <w:t xml:space="preserve"> </w:t>
      </w:r>
    </w:p>
    <w:p w:rsidR="00F52344" w:rsidRPr="00A374A3" w:rsidRDefault="00F52344" w:rsidP="00F53FE3">
      <w:pPr>
        <w:autoSpaceDE w:val="0"/>
        <w:autoSpaceDN w:val="0"/>
        <w:adjustRightInd w:val="0"/>
        <w:spacing w:after="240" w:line="360" w:lineRule="auto"/>
        <w:ind w:left="360" w:hanging="360"/>
        <w:jc w:val="both"/>
        <w:rPr>
          <w:rFonts w:eastAsia="Calibri"/>
          <w:szCs w:val="24"/>
          <w:lang w:val="es-VE" w:eastAsia="en-US"/>
        </w:rPr>
      </w:pPr>
      <w:r w:rsidRPr="00E12857">
        <w:rPr>
          <w:rFonts w:eastAsia="Calibri"/>
          <w:szCs w:val="24"/>
          <w:lang w:val="en-US" w:eastAsia="en-US"/>
        </w:rPr>
        <w:t>Less,</w:t>
      </w:r>
      <w:r>
        <w:rPr>
          <w:rFonts w:eastAsia="Calibri"/>
          <w:szCs w:val="24"/>
          <w:lang w:val="en-US" w:eastAsia="en-US"/>
        </w:rPr>
        <w:t xml:space="preserve"> </w:t>
      </w:r>
      <w:r w:rsidRPr="00E12857">
        <w:rPr>
          <w:rFonts w:eastAsia="Calibri"/>
          <w:szCs w:val="24"/>
          <w:lang w:val="en-US" w:eastAsia="en-US"/>
        </w:rPr>
        <w:t>S., Hannisdal</w:t>
      </w:r>
      <w:r>
        <w:rPr>
          <w:rFonts w:eastAsia="Calibri"/>
          <w:szCs w:val="24"/>
          <w:lang w:val="en-US" w:eastAsia="en-US"/>
        </w:rPr>
        <w:t xml:space="preserve">, </w:t>
      </w:r>
      <w:r w:rsidRPr="00E12857">
        <w:rPr>
          <w:rFonts w:eastAsia="Calibri"/>
          <w:szCs w:val="24"/>
          <w:lang w:val="en-US" w:eastAsia="en-US"/>
        </w:rPr>
        <w:t xml:space="preserve">A., Bjørklund, E., Sjöblom, J. (2008). </w:t>
      </w:r>
      <w:r>
        <w:rPr>
          <w:rFonts w:eastAsia="Calibri"/>
          <w:szCs w:val="24"/>
          <w:lang w:val="en-US" w:eastAsia="en-US"/>
        </w:rPr>
        <w:t xml:space="preserve">Electrostatic </w:t>
      </w:r>
      <w:r w:rsidRPr="00E12857">
        <w:rPr>
          <w:rFonts w:eastAsia="Calibri"/>
          <w:szCs w:val="24"/>
          <w:lang w:val="en-US" w:eastAsia="en-US"/>
        </w:rPr>
        <w:t>destabilization of water-in-crude oil emulsions: Application to a</w:t>
      </w:r>
      <w:r>
        <w:rPr>
          <w:rFonts w:eastAsia="Calibri"/>
          <w:szCs w:val="24"/>
          <w:lang w:val="en-US" w:eastAsia="en-US"/>
        </w:rPr>
        <w:t xml:space="preserve"> </w:t>
      </w:r>
      <w:r w:rsidRPr="00E12857">
        <w:rPr>
          <w:rFonts w:eastAsia="Calibri"/>
          <w:szCs w:val="24"/>
          <w:lang w:val="en-US" w:eastAsia="en-US"/>
        </w:rPr>
        <w:t xml:space="preserve">real case and evaluation of the Aibel VIEC technology. </w:t>
      </w:r>
      <w:r w:rsidRPr="00A374A3">
        <w:rPr>
          <w:rFonts w:eastAsia="Calibri"/>
          <w:szCs w:val="24"/>
          <w:lang w:val="es-VE" w:eastAsia="en-US"/>
        </w:rPr>
        <w:t>Elsiever. Fuel. N° 87. Pág. 2572-2581.</w:t>
      </w:r>
    </w:p>
    <w:p w:rsidR="00F52344" w:rsidRPr="00A374A3" w:rsidRDefault="00F52344" w:rsidP="00F53FE3">
      <w:pPr>
        <w:autoSpaceDE w:val="0"/>
        <w:autoSpaceDN w:val="0"/>
        <w:adjustRightInd w:val="0"/>
        <w:spacing w:after="240" w:line="360" w:lineRule="auto"/>
        <w:ind w:left="360" w:hanging="360"/>
        <w:jc w:val="both"/>
        <w:rPr>
          <w:szCs w:val="24"/>
          <w:lang w:val="en-US"/>
        </w:rPr>
      </w:pPr>
      <w:r w:rsidRPr="00D43B14">
        <w:rPr>
          <w:szCs w:val="24"/>
        </w:rPr>
        <w:t xml:space="preserve">Licón, O. (2003). Selección de un agente inhibidor de la precipitación de los asfaltenos de los crudos provenientes de los campos Quiriquire y Jusepín del </w:t>
      </w:r>
      <w:r w:rsidRPr="00D43B14">
        <w:rPr>
          <w:szCs w:val="24"/>
        </w:rPr>
        <w:lastRenderedPageBreak/>
        <w:t xml:space="preserve">estado </w:t>
      </w:r>
      <w:r w:rsidR="00F32A3F">
        <w:rPr>
          <w:szCs w:val="24"/>
        </w:rPr>
        <w:t>Monagas</w:t>
      </w:r>
      <w:r w:rsidRPr="00D43B14">
        <w:rPr>
          <w:szCs w:val="24"/>
        </w:rPr>
        <w:t xml:space="preserve">. Trabajo especial de grado. Facultad de Ingeniería. Universidad Central de Venezuela. </w:t>
      </w:r>
      <w:r w:rsidRPr="00A374A3">
        <w:rPr>
          <w:szCs w:val="24"/>
          <w:lang w:val="en-US"/>
        </w:rPr>
        <w:t xml:space="preserve">Caracas. </w:t>
      </w:r>
    </w:p>
    <w:p w:rsidR="00F32A3F" w:rsidRPr="006426B4" w:rsidRDefault="00F32A3F" w:rsidP="00F53FE3">
      <w:pPr>
        <w:spacing w:after="240" w:line="360" w:lineRule="auto"/>
        <w:ind w:left="360" w:hanging="360"/>
        <w:jc w:val="both"/>
        <w:rPr>
          <w:szCs w:val="24"/>
          <w:lang w:val="en-US"/>
        </w:rPr>
      </w:pPr>
      <w:r>
        <w:rPr>
          <w:szCs w:val="24"/>
          <w:lang w:val="en-US"/>
        </w:rPr>
        <w:t>L</w:t>
      </w:r>
      <w:r w:rsidRPr="004B4AE6">
        <w:rPr>
          <w:szCs w:val="24"/>
          <w:lang w:val="en-US"/>
        </w:rPr>
        <w:t xml:space="preserve">undgaard L., Berg G., Ingebrigtsen S., Atten P.  (2006). Electrocoalescence for oil–water separation: fundamental aspects. </w:t>
      </w:r>
      <w:r w:rsidRPr="006426B4">
        <w:rPr>
          <w:szCs w:val="24"/>
          <w:lang w:val="en-US"/>
        </w:rPr>
        <w:t>Taylor &amp; Francis. Capítulo 15, Pág. 549–92.</w:t>
      </w:r>
    </w:p>
    <w:p w:rsidR="00A71EEC" w:rsidRPr="006426B4" w:rsidRDefault="00A71EEC" w:rsidP="00A71EEC">
      <w:pPr>
        <w:pStyle w:val="Textocomentario"/>
        <w:spacing w:before="240" w:after="240" w:line="360" w:lineRule="auto"/>
        <w:ind w:left="360" w:hanging="360"/>
        <w:jc w:val="both"/>
        <w:rPr>
          <w:sz w:val="24"/>
          <w:szCs w:val="24"/>
          <w:lang w:val="en-US"/>
        </w:rPr>
      </w:pPr>
      <w:r w:rsidRPr="006426B4">
        <w:rPr>
          <w:sz w:val="24"/>
          <w:szCs w:val="24"/>
          <w:lang w:val="en-US"/>
        </w:rPr>
        <w:t xml:space="preserve">Madia, J. R. et al. </w:t>
      </w:r>
      <w:r w:rsidRPr="004119F9">
        <w:rPr>
          <w:sz w:val="24"/>
          <w:szCs w:val="24"/>
          <w:lang w:val="en-US"/>
        </w:rPr>
        <w:t xml:space="preserve">(1976). </w:t>
      </w:r>
      <w:r w:rsidRPr="00A71EEC">
        <w:rPr>
          <w:sz w:val="24"/>
          <w:szCs w:val="24"/>
          <w:lang w:val="en-US"/>
        </w:rPr>
        <w:t>Granular Packed Bed Coalescer: Influence of Packing Wettability on Coalescence.</w:t>
      </w:r>
      <w:r w:rsidRPr="004119F9">
        <w:rPr>
          <w:sz w:val="24"/>
          <w:szCs w:val="24"/>
          <w:lang w:val="en-US"/>
        </w:rPr>
        <w:t xml:space="preserve"> </w:t>
      </w:r>
      <w:r w:rsidRPr="006426B4">
        <w:rPr>
          <w:sz w:val="24"/>
          <w:szCs w:val="24"/>
          <w:lang w:val="en-US"/>
        </w:rPr>
        <w:t>Environmental Science Technology. ACS Publications. N° 10.</w:t>
      </w:r>
    </w:p>
    <w:p w:rsidR="00F52344" w:rsidRPr="009E6A88" w:rsidRDefault="00F52344" w:rsidP="00A71EEC">
      <w:pPr>
        <w:spacing w:after="240" w:line="360" w:lineRule="auto"/>
        <w:ind w:left="360" w:hanging="360"/>
        <w:jc w:val="both"/>
        <w:rPr>
          <w:szCs w:val="24"/>
        </w:rPr>
      </w:pPr>
      <w:r w:rsidRPr="006426B4">
        <w:rPr>
          <w:szCs w:val="24"/>
          <w:lang w:val="en-US"/>
        </w:rPr>
        <w:t xml:space="preserve">Marfisi, S. y Salaguer, J.L. (2004). </w:t>
      </w:r>
      <w:r>
        <w:rPr>
          <w:szCs w:val="24"/>
        </w:rPr>
        <w:t xml:space="preserve">Deshidratación de crudos. </w:t>
      </w:r>
      <w:r w:rsidRPr="009E6A88">
        <w:rPr>
          <w:szCs w:val="24"/>
        </w:rPr>
        <w:t>Fen</w:t>
      </w:r>
      <w:r>
        <w:rPr>
          <w:szCs w:val="24"/>
        </w:rPr>
        <w:t>omenología y aspectos prácticos. Cuaderno FIRP S853-PP.</w:t>
      </w:r>
      <w:r w:rsidRPr="009E6A88">
        <w:rPr>
          <w:szCs w:val="24"/>
        </w:rPr>
        <w:t xml:space="preserve"> Laboratorio de Formulación, </w:t>
      </w:r>
      <w:r>
        <w:rPr>
          <w:szCs w:val="24"/>
        </w:rPr>
        <w:t>Interfases, Reología y Procesos. Universidad de Los Andes, Mérida.</w:t>
      </w:r>
    </w:p>
    <w:p w:rsidR="00F52344" w:rsidRDefault="00F52344" w:rsidP="00A71EEC">
      <w:pPr>
        <w:autoSpaceDE w:val="0"/>
        <w:autoSpaceDN w:val="0"/>
        <w:adjustRightInd w:val="0"/>
        <w:spacing w:after="240" w:line="360" w:lineRule="auto"/>
        <w:ind w:left="360" w:hanging="360"/>
        <w:jc w:val="both"/>
        <w:rPr>
          <w:szCs w:val="24"/>
        </w:rPr>
      </w:pPr>
      <w:r w:rsidRPr="00D43B14">
        <w:rPr>
          <w:szCs w:val="24"/>
        </w:rPr>
        <w:t>Marfisi, S. (2006). Estabilidad de emulsiones relacionadas con el proceso de deshidratación de crudo. Tesis Doctoral. Universidad de Los Andes. Mérida. Pág. 36.</w:t>
      </w:r>
    </w:p>
    <w:p w:rsidR="00F52344" w:rsidRPr="006426B4" w:rsidRDefault="00F52344" w:rsidP="00F53FE3">
      <w:pPr>
        <w:autoSpaceDE w:val="0"/>
        <w:autoSpaceDN w:val="0"/>
        <w:adjustRightInd w:val="0"/>
        <w:spacing w:after="240" w:line="360" w:lineRule="auto"/>
        <w:ind w:left="360" w:hanging="360"/>
        <w:jc w:val="both"/>
        <w:rPr>
          <w:szCs w:val="24"/>
          <w:lang w:val="es-VE"/>
        </w:rPr>
      </w:pPr>
      <w:r w:rsidRPr="004A5F6F">
        <w:rPr>
          <w:szCs w:val="24"/>
          <w:lang w:val="es-VE"/>
        </w:rPr>
        <w:t xml:space="preserve">McLean, J., Kilpatrick, P. (1997). </w:t>
      </w:r>
      <w:r w:rsidRPr="00D43B14">
        <w:rPr>
          <w:szCs w:val="24"/>
          <w:lang w:val="en-US"/>
        </w:rPr>
        <w:t xml:space="preserve">Effects of Asphaltene Aggregation in Model Heptane-Toluene Mixtures on Stability of Water-in-Oil Emulsions. </w:t>
      </w:r>
      <w:r w:rsidRPr="006426B4">
        <w:rPr>
          <w:iCs/>
          <w:szCs w:val="24"/>
          <w:lang w:val="es-VE"/>
        </w:rPr>
        <w:t>North Carolina State University, Raleigh, North Carolina. Número 196, pág. 23-24.</w:t>
      </w:r>
    </w:p>
    <w:p w:rsidR="008113C9" w:rsidRDefault="008113C9" w:rsidP="008113C9">
      <w:pPr>
        <w:pStyle w:val="Textocomentario"/>
        <w:spacing w:before="240" w:line="360" w:lineRule="auto"/>
        <w:ind w:left="360" w:hanging="360"/>
        <w:jc w:val="both"/>
        <w:rPr>
          <w:sz w:val="24"/>
          <w:szCs w:val="24"/>
        </w:rPr>
      </w:pPr>
      <w:r w:rsidRPr="004119F9">
        <w:rPr>
          <w:sz w:val="24"/>
          <w:szCs w:val="24"/>
        </w:rPr>
        <w:t>MINCI (Miniesterio del Poder Popular para la Comunición y la Información).</w:t>
      </w:r>
      <w:r>
        <w:rPr>
          <w:sz w:val="24"/>
          <w:szCs w:val="24"/>
        </w:rPr>
        <w:t xml:space="preserve"> (2006).</w:t>
      </w:r>
      <w:r w:rsidRPr="004119F9">
        <w:rPr>
          <w:sz w:val="24"/>
          <w:szCs w:val="24"/>
        </w:rPr>
        <w:t xml:space="preserve"> </w:t>
      </w:r>
      <w:r w:rsidRPr="004119F9">
        <w:rPr>
          <w:i/>
          <w:sz w:val="24"/>
          <w:szCs w:val="24"/>
        </w:rPr>
        <w:t>Rusia y Venezuela realizaron prueba piloto en macrofosa de Orocual.</w:t>
      </w:r>
      <w:r w:rsidRPr="004119F9">
        <w:rPr>
          <w:color w:val="990000"/>
          <w:sz w:val="24"/>
          <w:szCs w:val="24"/>
        </w:rPr>
        <w:t xml:space="preserve"> </w:t>
      </w:r>
      <w:r w:rsidRPr="004119F9">
        <w:rPr>
          <w:sz w:val="24"/>
          <w:szCs w:val="24"/>
        </w:rPr>
        <w:t xml:space="preserve">PDVSA/MINCI, 11 de Diciembre de 2006. </w:t>
      </w:r>
      <w:hyperlink r:id="rId83" w:history="1">
        <w:r w:rsidRPr="007B6FFB">
          <w:rPr>
            <w:rStyle w:val="Hipervnculo"/>
            <w:sz w:val="24"/>
            <w:szCs w:val="24"/>
          </w:rPr>
          <w:t>http://www.minci.gob.ve/a_r_r/1/11303/rusia_y_venezuela.html</w:t>
        </w:r>
      </w:hyperlink>
    </w:p>
    <w:p w:rsidR="00712D89" w:rsidRPr="004A5F6F" w:rsidRDefault="00712D89" w:rsidP="00712D89">
      <w:pPr>
        <w:pStyle w:val="Textocomentario"/>
        <w:spacing w:before="240" w:line="360" w:lineRule="auto"/>
        <w:ind w:left="360" w:hanging="360"/>
        <w:jc w:val="both"/>
        <w:rPr>
          <w:sz w:val="24"/>
          <w:szCs w:val="24"/>
          <w:lang w:val="en-US"/>
        </w:rPr>
      </w:pPr>
      <w:r w:rsidRPr="004119F9">
        <w:rPr>
          <w:sz w:val="24"/>
          <w:szCs w:val="24"/>
        </w:rPr>
        <w:t>Morales, Carlos</w:t>
      </w:r>
      <w:r>
        <w:rPr>
          <w:sz w:val="24"/>
          <w:szCs w:val="24"/>
        </w:rPr>
        <w:t>.</w:t>
      </w:r>
      <w:r w:rsidRPr="004119F9">
        <w:rPr>
          <w:sz w:val="24"/>
          <w:szCs w:val="24"/>
        </w:rPr>
        <w:t xml:space="preserve"> (2009). </w:t>
      </w:r>
      <w:r w:rsidRPr="00712D89">
        <w:rPr>
          <w:sz w:val="24"/>
          <w:szCs w:val="24"/>
        </w:rPr>
        <w:t>Formulación, Caracterización y Desestabilización de emulsiones agua-aceite</w:t>
      </w:r>
      <w:r w:rsidRPr="004119F9">
        <w:rPr>
          <w:i/>
          <w:sz w:val="24"/>
          <w:szCs w:val="24"/>
        </w:rPr>
        <w:t xml:space="preserve">. </w:t>
      </w:r>
      <w:r w:rsidRPr="004A5F6F">
        <w:rPr>
          <w:sz w:val="24"/>
          <w:szCs w:val="24"/>
          <w:lang w:val="en-US"/>
        </w:rPr>
        <w:t>Tesis Doctoral</w:t>
      </w:r>
      <w:r w:rsidRPr="004A5F6F">
        <w:rPr>
          <w:i/>
          <w:sz w:val="24"/>
          <w:szCs w:val="24"/>
          <w:lang w:val="en-US"/>
        </w:rPr>
        <w:t xml:space="preserve">. </w:t>
      </w:r>
      <w:r w:rsidRPr="004A5F6F">
        <w:rPr>
          <w:sz w:val="24"/>
          <w:szCs w:val="24"/>
          <w:lang w:val="en-US"/>
        </w:rPr>
        <w:t>Universidad de Cottbus. Cottbus. Alemania.</w:t>
      </w:r>
    </w:p>
    <w:p w:rsidR="00712D89" w:rsidRPr="004A5F6F" w:rsidRDefault="00712D89" w:rsidP="00F53FE3">
      <w:pPr>
        <w:spacing w:after="240" w:line="360" w:lineRule="auto"/>
        <w:ind w:left="360" w:hanging="360"/>
        <w:jc w:val="both"/>
        <w:rPr>
          <w:szCs w:val="24"/>
          <w:lang w:val="en-US"/>
        </w:rPr>
      </w:pPr>
    </w:p>
    <w:p w:rsidR="00F52344" w:rsidRPr="00323F52" w:rsidRDefault="00F52344" w:rsidP="00F53FE3">
      <w:pPr>
        <w:spacing w:after="240" w:line="360" w:lineRule="auto"/>
        <w:ind w:left="360" w:hanging="360"/>
        <w:jc w:val="both"/>
        <w:rPr>
          <w:szCs w:val="24"/>
          <w:lang w:val="en-US"/>
        </w:rPr>
      </w:pPr>
      <w:r w:rsidRPr="004A5F6F">
        <w:rPr>
          <w:szCs w:val="24"/>
          <w:lang w:val="en-US"/>
        </w:rPr>
        <w:lastRenderedPageBreak/>
        <w:t xml:space="preserve">Mullins, O., Sheu, E. , Hammami, A., Marschall, A.  (2007). </w:t>
      </w:r>
      <w:r w:rsidRPr="006426B4">
        <w:rPr>
          <w:iCs/>
          <w:szCs w:val="24"/>
          <w:lang w:val="en-US"/>
        </w:rPr>
        <w:t>Asphaltenes, Hea</w:t>
      </w:r>
      <w:r w:rsidRPr="006426B4">
        <w:rPr>
          <w:szCs w:val="24"/>
          <w:lang w:val="en-US"/>
        </w:rPr>
        <w:t>v</w:t>
      </w:r>
      <w:r w:rsidRPr="006426B4">
        <w:rPr>
          <w:iCs/>
          <w:szCs w:val="24"/>
          <w:lang w:val="en-US"/>
        </w:rPr>
        <w:t>y Oils, and Petroleomics</w:t>
      </w:r>
      <w:r w:rsidRPr="006426B4">
        <w:rPr>
          <w:szCs w:val="24"/>
          <w:lang w:val="en-US"/>
        </w:rPr>
        <w:t xml:space="preserve">. </w:t>
      </w:r>
      <w:r w:rsidRPr="00A275D5">
        <w:rPr>
          <w:szCs w:val="24"/>
          <w:lang w:val="en-US"/>
        </w:rPr>
        <w:t xml:space="preserve">Ediciones Springer. New </w:t>
      </w:r>
      <w:r w:rsidRPr="00323F52">
        <w:rPr>
          <w:szCs w:val="24"/>
          <w:lang w:val="en-US"/>
        </w:rPr>
        <w:t xml:space="preserve">York Pág. 1 - 16. </w:t>
      </w:r>
    </w:p>
    <w:p w:rsidR="00F32A3F" w:rsidRPr="00A275D5" w:rsidRDefault="00F32A3F" w:rsidP="00A275D5">
      <w:pPr>
        <w:spacing w:after="240" w:line="360" w:lineRule="auto"/>
        <w:ind w:left="360" w:hanging="360"/>
        <w:jc w:val="both"/>
      </w:pPr>
      <w:r w:rsidRPr="00A275D5">
        <w:rPr>
          <w:lang w:val="en-US"/>
        </w:rPr>
        <w:t xml:space="preserve">Oren, P., and Pinczewski, W. (1995). </w:t>
      </w:r>
      <w:hyperlink r:id="rId84" w:tooltip="Link to Article" w:history="1">
        <w:r w:rsidR="001D17FE" w:rsidRPr="00A275D5">
          <w:rPr>
            <w:rStyle w:val="Hipervnculo"/>
            <w:bCs/>
            <w:color w:val="auto"/>
            <w:u w:val="none"/>
            <w:bdr w:val="none" w:sz="0" w:space="0" w:color="auto" w:frame="1"/>
            <w:lang w:val="en-US"/>
          </w:rPr>
          <w:t>Fluid distribution and pore-scale displacement mechanisms in drainage dominated three-phase flow</w:t>
        </w:r>
      </w:hyperlink>
      <w:r w:rsidR="008F267B" w:rsidRPr="00A275D5">
        <w:rPr>
          <w:lang w:val="en-US"/>
        </w:rPr>
        <w:t xml:space="preserve">. </w:t>
      </w:r>
      <w:r w:rsidR="008F267B" w:rsidRPr="00A275D5">
        <w:t xml:space="preserve">Transport in Porous Media. N° 20. Págs. </w:t>
      </w:r>
      <w:r w:rsidRPr="00A275D5">
        <w:t xml:space="preserve">105-133. </w:t>
      </w:r>
    </w:p>
    <w:p w:rsidR="00F52344" w:rsidRPr="00471EF3" w:rsidRDefault="00F52344" w:rsidP="00F53FE3">
      <w:pPr>
        <w:shd w:val="clear" w:color="auto" w:fill="FFFFFF"/>
        <w:spacing w:after="240" w:line="360" w:lineRule="auto"/>
        <w:ind w:left="360" w:hanging="360"/>
        <w:jc w:val="both"/>
        <w:rPr>
          <w:szCs w:val="24"/>
        </w:rPr>
      </w:pPr>
      <w:r>
        <w:rPr>
          <w:szCs w:val="24"/>
        </w:rPr>
        <w:t xml:space="preserve">Padrón, A. y Zúñiga P. (2005). </w:t>
      </w:r>
      <w:r w:rsidRPr="00471EF3">
        <w:rPr>
          <w:szCs w:val="24"/>
        </w:rPr>
        <w:t>Aplicación de la técnica de microscopía óptica para la caracterización de sistemas dispersos for</w:t>
      </w:r>
      <w:r>
        <w:rPr>
          <w:szCs w:val="24"/>
        </w:rPr>
        <w:t>mados por crudo, agua y sólidos</w:t>
      </w:r>
      <w:r w:rsidRPr="00471EF3">
        <w:rPr>
          <w:szCs w:val="24"/>
        </w:rPr>
        <w:t>. Trabajo especial de grado.</w:t>
      </w:r>
      <w:r>
        <w:rPr>
          <w:szCs w:val="24"/>
        </w:rPr>
        <w:t xml:space="preserve"> </w:t>
      </w:r>
      <w:r w:rsidRPr="00471EF3">
        <w:rPr>
          <w:szCs w:val="24"/>
        </w:rPr>
        <w:t>Universidad Central de Venezuela</w:t>
      </w:r>
      <w:r>
        <w:rPr>
          <w:szCs w:val="24"/>
        </w:rPr>
        <w:t>,</w:t>
      </w:r>
      <w:r w:rsidRPr="00471EF3">
        <w:rPr>
          <w:szCs w:val="24"/>
        </w:rPr>
        <w:t xml:space="preserve"> </w:t>
      </w:r>
      <w:r>
        <w:rPr>
          <w:szCs w:val="24"/>
        </w:rPr>
        <w:t>Caracas.</w:t>
      </w:r>
    </w:p>
    <w:p w:rsidR="00F32A3F" w:rsidRPr="008B3E23" w:rsidRDefault="00F32A3F" w:rsidP="00F53FE3">
      <w:pPr>
        <w:autoSpaceDE w:val="0"/>
        <w:autoSpaceDN w:val="0"/>
        <w:adjustRightInd w:val="0"/>
        <w:spacing w:after="240" w:line="360" w:lineRule="auto"/>
        <w:ind w:left="360" w:hanging="360"/>
        <w:jc w:val="both"/>
        <w:rPr>
          <w:szCs w:val="24"/>
          <w:lang w:val="en-US"/>
        </w:rPr>
      </w:pPr>
      <w:r w:rsidRPr="004A5F6F">
        <w:rPr>
          <w:szCs w:val="24"/>
          <w:lang w:val="es-VE"/>
        </w:rPr>
        <w:t xml:space="preserve">Pankow y Cherry. </w:t>
      </w:r>
      <w:r w:rsidRPr="008F267B">
        <w:rPr>
          <w:szCs w:val="24"/>
          <w:lang w:val="en-US"/>
        </w:rPr>
        <w:t>“Surface and Interfacial Tension” (1996).</w:t>
      </w:r>
    </w:p>
    <w:p w:rsidR="00B650A3" w:rsidRDefault="00B650A3" w:rsidP="00F53FE3">
      <w:pPr>
        <w:shd w:val="clear" w:color="auto" w:fill="FFFFFF"/>
        <w:spacing w:after="240" w:line="360" w:lineRule="auto"/>
        <w:ind w:left="360" w:hanging="360"/>
        <w:jc w:val="both"/>
        <w:rPr>
          <w:szCs w:val="24"/>
        </w:rPr>
      </w:pPr>
      <w:r w:rsidRPr="004A5F6F">
        <w:rPr>
          <w:szCs w:val="24"/>
          <w:lang w:val="en-US"/>
        </w:rPr>
        <w:t xml:space="preserve">PDVSA – INTEVEP. </w:t>
      </w:r>
      <w:r>
        <w:rPr>
          <w:szCs w:val="24"/>
        </w:rPr>
        <w:t>(</w:t>
      </w:r>
      <w:r w:rsidRPr="00471EF3">
        <w:rPr>
          <w:szCs w:val="24"/>
        </w:rPr>
        <w:t>2004</w:t>
      </w:r>
      <w:r>
        <w:rPr>
          <w:szCs w:val="24"/>
        </w:rPr>
        <w:t>)</w:t>
      </w:r>
      <w:r w:rsidRPr="00471EF3">
        <w:rPr>
          <w:szCs w:val="24"/>
        </w:rPr>
        <w:t>.</w:t>
      </w:r>
      <w:r>
        <w:rPr>
          <w:szCs w:val="24"/>
        </w:rPr>
        <w:t xml:space="preserve"> </w:t>
      </w:r>
      <w:r w:rsidRPr="00471EF3">
        <w:rPr>
          <w:szCs w:val="24"/>
        </w:rPr>
        <w:t>Documento Técnico N˚ SIT-0345</w:t>
      </w:r>
      <w:r>
        <w:rPr>
          <w:szCs w:val="24"/>
        </w:rPr>
        <w:t>. Caracas</w:t>
      </w:r>
      <w:r w:rsidR="00D43B14">
        <w:rPr>
          <w:szCs w:val="24"/>
        </w:rPr>
        <w:t>.</w:t>
      </w:r>
      <w:r>
        <w:rPr>
          <w:szCs w:val="24"/>
        </w:rPr>
        <w:t xml:space="preserve"> Morfes, G.</w:t>
      </w:r>
    </w:p>
    <w:p w:rsidR="00F32A3F" w:rsidRPr="00F32A3F" w:rsidRDefault="00F32A3F" w:rsidP="00F53FE3">
      <w:pPr>
        <w:autoSpaceDE w:val="0"/>
        <w:autoSpaceDN w:val="0"/>
        <w:adjustRightInd w:val="0"/>
        <w:spacing w:after="240" w:line="360" w:lineRule="auto"/>
        <w:ind w:left="360" w:hanging="360"/>
        <w:jc w:val="both"/>
        <w:rPr>
          <w:rFonts w:eastAsia="Calibri"/>
          <w:szCs w:val="24"/>
          <w:lang w:val="en-US" w:eastAsia="en-US"/>
        </w:rPr>
      </w:pPr>
      <w:r w:rsidRPr="00747A86">
        <w:rPr>
          <w:rFonts w:eastAsia="Calibri"/>
          <w:szCs w:val="24"/>
          <w:lang w:val="es-VE" w:eastAsia="en-US"/>
        </w:rPr>
        <w:t>Pérez, B., Garfias, F. (2002). Deshidratación del crudo Maya mediante un campo el</w:t>
      </w:r>
      <w:r>
        <w:rPr>
          <w:rFonts w:eastAsia="Calibri"/>
          <w:szCs w:val="24"/>
          <w:lang w:val="es-VE" w:eastAsia="en-US"/>
        </w:rPr>
        <w:t xml:space="preserve">éctrico de corriente continua. </w:t>
      </w:r>
      <w:r w:rsidRPr="00F32A3F">
        <w:rPr>
          <w:rFonts w:eastAsia="Calibri"/>
          <w:szCs w:val="24"/>
          <w:lang w:val="en-US" w:eastAsia="en-US"/>
        </w:rPr>
        <w:t>Journal of the Mexican Chemical Society. Año/vol. 46, N° 003. Pág. 227-234.</w:t>
      </w:r>
    </w:p>
    <w:p w:rsidR="00712D89" w:rsidRPr="001D17FE" w:rsidRDefault="00712D89" w:rsidP="00712D89">
      <w:pPr>
        <w:spacing w:after="240" w:line="360" w:lineRule="auto"/>
        <w:ind w:left="360" w:hanging="360"/>
        <w:jc w:val="both"/>
        <w:rPr>
          <w:szCs w:val="24"/>
          <w:lang w:val="en-US"/>
        </w:rPr>
      </w:pPr>
      <w:r w:rsidRPr="004119F9">
        <w:rPr>
          <w:szCs w:val="24"/>
        </w:rPr>
        <w:t>Pérez, V</w:t>
      </w:r>
      <w:r>
        <w:rPr>
          <w:szCs w:val="24"/>
        </w:rPr>
        <w:t xml:space="preserve">. </w:t>
      </w:r>
      <w:r w:rsidRPr="004119F9">
        <w:rPr>
          <w:szCs w:val="24"/>
        </w:rPr>
        <w:t xml:space="preserve">(En ejecución). </w:t>
      </w:r>
      <w:r w:rsidRPr="00712D89">
        <w:rPr>
          <w:szCs w:val="24"/>
        </w:rPr>
        <w:t xml:space="preserve">Separación electrostática con corriente alterna para la desestabilización de emulsiones agua-crudo de distintas fosas de producción mezcladas con solvente. Trabajo especial de grado. </w:t>
      </w:r>
      <w:r>
        <w:rPr>
          <w:szCs w:val="24"/>
        </w:rPr>
        <w:t xml:space="preserve">Facultad de Ingeniería. </w:t>
      </w:r>
      <w:r w:rsidRPr="00712D89">
        <w:rPr>
          <w:szCs w:val="24"/>
        </w:rPr>
        <w:t xml:space="preserve">Universidad Central de Venezuela. </w:t>
      </w:r>
      <w:r w:rsidRPr="001D17FE">
        <w:rPr>
          <w:szCs w:val="24"/>
          <w:lang w:val="en-US"/>
        </w:rPr>
        <w:t>Caracas.</w:t>
      </w:r>
    </w:p>
    <w:p w:rsidR="00F32A3F" w:rsidRPr="001D17FE" w:rsidRDefault="00F32A3F" w:rsidP="00712D89">
      <w:pPr>
        <w:tabs>
          <w:tab w:val="left" w:pos="360"/>
        </w:tabs>
        <w:spacing w:after="240" w:line="360" w:lineRule="auto"/>
        <w:ind w:left="360" w:hanging="360"/>
        <w:jc w:val="both"/>
        <w:rPr>
          <w:rFonts w:eastAsia="Microsoft YaHei"/>
          <w:szCs w:val="24"/>
          <w:lang w:val="en-US"/>
        </w:rPr>
      </w:pPr>
      <w:r w:rsidRPr="001D17FE">
        <w:rPr>
          <w:szCs w:val="24"/>
          <w:lang w:val="en-US"/>
        </w:rPr>
        <w:t>Taylor</w:t>
      </w:r>
      <w:r w:rsidR="001D17FE" w:rsidRPr="001D17FE">
        <w:rPr>
          <w:szCs w:val="24"/>
          <w:lang w:val="en-US"/>
        </w:rPr>
        <w:t>,</w:t>
      </w:r>
      <w:r w:rsidRPr="001D17FE">
        <w:rPr>
          <w:szCs w:val="24"/>
          <w:lang w:val="en-US"/>
        </w:rPr>
        <w:t xml:space="preserve"> S</w:t>
      </w:r>
      <w:r w:rsidR="001D17FE" w:rsidRPr="001D17FE">
        <w:rPr>
          <w:szCs w:val="24"/>
          <w:lang w:val="en-US"/>
        </w:rPr>
        <w:t>. (1988)</w:t>
      </w:r>
      <w:r w:rsidRPr="001D17FE">
        <w:rPr>
          <w:szCs w:val="24"/>
          <w:lang w:val="en-US"/>
        </w:rPr>
        <w:t>.</w:t>
      </w:r>
      <w:r w:rsidR="001D17FE" w:rsidRPr="001D17FE">
        <w:rPr>
          <w:szCs w:val="24"/>
          <w:lang w:val="en-US"/>
        </w:rPr>
        <w:t xml:space="preserve"> </w:t>
      </w:r>
      <w:r w:rsidR="001D17FE" w:rsidRPr="001D17FE">
        <w:rPr>
          <w:lang w:val="en-US"/>
        </w:rPr>
        <w:t xml:space="preserve">Investigations into the electrical and coalescence behavior of water-in-crude oil emulsions in high voltage gradients. </w:t>
      </w:r>
      <w:r w:rsidRPr="001D17FE">
        <w:rPr>
          <w:szCs w:val="24"/>
          <w:lang w:val="en-US"/>
        </w:rPr>
        <w:t>Colloid</w:t>
      </w:r>
      <w:r w:rsidR="001D17FE" w:rsidRPr="001D17FE">
        <w:rPr>
          <w:szCs w:val="24"/>
          <w:lang w:val="en-US"/>
        </w:rPr>
        <w:t>s and</w:t>
      </w:r>
      <w:r w:rsidRPr="001D17FE">
        <w:rPr>
          <w:szCs w:val="24"/>
          <w:lang w:val="en-US"/>
        </w:rPr>
        <w:t xml:space="preserve"> Surface</w:t>
      </w:r>
      <w:r w:rsidR="001D17FE" w:rsidRPr="001D17FE">
        <w:rPr>
          <w:szCs w:val="24"/>
          <w:lang w:val="en-US"/>
        </w:rPr>
        <w:t>s</w:t>
      </w:r>
      <w:r w:rsidRPr="001D17FE">
        <w:rPr>
          <w:szCs w:val="24"/>
          <w:lang w:val="en-US"/>
        </w:rPr>
        <w:t xml:space="preserve"> </w:t>
      </w:r>
      <w:r w:rsidR="001D17FE" w:rsidRPr="001D17FE">
        <w:rPr>
          <w:szCs w:val="24"/>
          <w:lang w:val="en-US"/>
        </w:rPr>
        <w:t xml:space="preserve">N° </w:t>
      </w:r>
      <w:r w:rsidR="001D17FE">
        <w:rPr>
          <w:szCs w:val="24"/>
          <w:lang w:val="en-US"/>
        </w:rPr>
        <w:t>2</w:t>
      </w:r>
      <w:r w:rsidR="001D17FE" w:rsidRPr="001D17FE">
        <w:rPr>
          <w:szCs w:val="24"/>
          <w:lang w:val="en-US"/>
        </w:rPr>
        <w:t>9. Págs. 29-</w:t>
      </w:r>
      <w:r w:rsidRPr="001D17FE">
        <w:rPr>
          <w:szCs w:val="24"/>
          <w:lang w:val="en-US"/>
        </w:rPr>
        <w:t xml:space="preserve">51. </w:t>
      </w:r>
    </w:p>
    <w:p w:rsidR="00712D89" w:rsidRPr="006426B4" w:rsidRDefault="00712D89" w:rsidP="00712D89">
      <w:pPr>
        <w:tabs>
          <w:tab w:val="left" w:pos="360"/>
        </w:tabs>
        <w:autoSpaceDE w:val="0"/>
        <w:autoSpaceDN w:val="0"/>
        <w:adjustRightInd w:val="0"/>
        <w:spacing w:before="240" w:after="240" w:line="360" w:lineRule="auto"/>
        <w:ind w:left="360" w:hanging="360"/>
        <w:jc w:val="both"/>
        <w:rPr>
          <w:szCs w:val="24"/>
          <w:lang w:val="en-US"/>
        </w:rPr>
      </w:pPr>
      <w:r w:rsidRPr="006426B4">
        <w:rPr>
          <w:szCs w:val="24"/>
          <w:lang w:val="en-US"/>
        </w:rPr>
        <w:t xml:space="preserve">Renouf, G., Kurucz  L., </w:t>
      </w:r>
      <w:r w:rsidRPr="00712D89">
        <w:rPr>
          <w:szCs w:val="24"/>
          <w:lang w:val="en-US"/>
        </w:rPr>
        <w:t>Soveran</w:t>
      </w:r>
      <w:r>
        <w:rPr>
          <w:szCs w:val="24"/>
          <w:lang w:val="en-US"/>
        </w:rPr>
        <w:t>, D.</w:t>
      </w:r>
      <w:r w:rsidRPr="00712D89">
        <w:rPr>
          <w:szCs w:val="24"/>
          <w:lang w:val="en-US"/>
        </w:rPr>
        <w:t xml:space="preserve"> (2006). Produced fluids separation using a coalescer column.</w:t>
      </w:r>
      <w:r w:rsidRPr="001F4ACF">
        <w:rPr>
          <w:szCs w:val="24"/>
          <w:lang w:val="en-US"/>
        </w:rPr>
        <w:t xml:space="preserve"> </w:t>
      </w:r>
      <w:r w:rsidRPr="006426B4">
        <w:rPr>
          <w:rStyle w:val="googqs-tidbit"/>
          <w:lang w:val="en-US"/>
        </w:rPr>
        <w:t>Journal of</w:t>
      </w:r>
      <w:r w:rsidRPr="006426B4">
        <w:rPr>
          <w:lang w:val="en-US"/>
        </w:rPr>
        <w:t xml:space="preserve"> Canadian Petroleum Technology, N° 65. Pág. 23-30.</w:t>
      </w:r>
    </w:p>
    <w:p w:rsidR="00F52344" w:rsidRPr="009E6A88" w:rsidRDefault="00F52344" w:rsidP="00712D89">
      <w:pPr>
        <w:tabs>
          <w:tab w:val="left" w:pos="360"/>
        </w:tabs>
        <w:spacing w:after="240" w:line="360" w:lineRule="auto"/>
        <w:ind w:left="360" w:hanging="360"/>
        <w:jc w:val="both"/>
        <w:rPr>
          <w:szCs w:val="24"/>
        </w:rPr>
      </w:pPr>
      <w:r w:rsidRPr="006426B4">
        <w:rPr>
          <w:szCs w:val="24"/>
          <w:lang w:val="en-US"/>
        </w:rPr>
        <w:t xml:space="preserve">Salaguer, J.L. (2002). </w:t>
      </w:r>
      <w:r w:rsidRPr="0098574D">
        <w:rPr>
          <w:bCs/>
          <w:szCs w:val="24"/>
          <w:lang w:val="es-VE"/>
        </w:rPr>
        <w:t>Fenómenos Interfaciales en Dispersiones Polifásicas y en Medios Porosos</w:t>
      </w:r>
      <w:r w:rsidRPr="0098574D">
        <w:rPr>
          <w:szCs w:val="24"/>
        </w:rPr>
        <w:t xml:space="preserve">. </w:t>
      </w:r>
      <w:r>
        <w:rPr>
          <w:szCs w:val="24"/>
        </w:rPr>
        <w:t>Cuaderno FIRP S122-N.</w:t>
      </w:r>
      <w:r w:rsidRPr="009E6A88">
        <w:rPr>
          <w:szCs w:val="24"/>
        </w:rPr>
        <w:t xml:space="preserve"> Laboratorio de Formulación, </w:t>
      </w:r>
      <w:r>
        <w:rPr>
          <w:szCs w:val="24"/>
        </w:rPr>
        <w:t>Interfases, Reología y Procesos. Quinta revisión. Universidad de Los Andes, Mérida.</w:t>
      </w:r>
    </w:p>
    <w:p w:rsidR="00F52344" w:rsidRPr="00F32A3F" w:rsidRDefault="00F52344" w:rsidP="00712D89">
      <w:pPr>
        <w:tabs>
          <w:tab w:val="left" w:pos="360"/>
        </w:tabs>
        <w:spacing w:after="240" w:line="360" w:lineRule="auto"/>
        <w:ind w:left="360" w:hanging="360"/>
        <w:jc w:val="both"/>
        <w:rPr>
          <w:szCs w:val="24"/>
          <w:lang w:val="en-US"/>
        </w:rPr>
      </w:pPr>
      <w:r>
        <w:rPr>
          <w:szCs w:val="24"/>
        </w:rPr>
        <w:lastRenderedPageBreak/>
        <w:t>Salaguer, J.L. (1992). El mundo de los surfactantes. Cuaderno FIRP S311-A.</w:t>
      </w:r>
      <w:r w:rsidRPr="009E6A88">
        <w:rPr>
          <w:szCs w:val="24"/>
        </w:rPr>
        <w:t xml:space="preserve"> Laboratorio de Formulación, </w:t>
      </w:r>
      <w:r>
        <w:rPr>
          <w:szCs w:val="24"/>
        </w:rPr>
        <w:t xml:space="preserve">Interfases, Reología y Procesos. </w:t>
      </w:r>
      <w:r w:rsidRPr="00F32A3F">
        <w:rPr>
          <w:szCs w:val="24"/>
          <w:lang w:val="en-US"/>
        </w:rPr>
        <w:t>Primera revisión. Universidad de Los Andes</w:t>
      </w:r>
      <w:r w:rsidR="008113C9">
        <w:rPr>
          <w:szCs w:val="24"/>
          <w:lang w:val="en-US"/>
        </w:rPr>
        <w:t>.</w:t>
      </w:r>
      <w:r w:rsidRPr="00F32A3F">
        <w:rPr>
          <w:szCs w:val="24"/>
          <w:lang w:val="en-US"/>
        </w:rPr>
        <w:t xml:space="preserve"> Mérida.</w:t>
      </w:r>
    </w:p>
    <w:p w:rsidR="00F32A3F" w:rsidRPr="00D43B14" w:rsidRDefault="00F32A3F" w:rsidP="00F53FE3">
      <w:pPr>
        <w:tabs>
          <w:tab w:val="left" w:pos="360"/>
        </w:tabs>
        <w:autoSpaceDE w:val="0"/>
        <w:autoSpaceDN w:val="0"/>
        <w:adjustRightInd w:val="0"/>
        <w:spacing w:after="240" w:line="360" w:lineRule="auto"/>
        <w:ind w:left="360" w:hanging="360"/>
        <w:jc w:val="both"/>
        <w:rPr>
          <w:szCs w:val="24"/>
          <w:lang w:val="en-US"/>
        </w:rPr>
      </w:pPr>
      <w:r w:rsidRPr="00D43B14">
        <w:rPr>
          <w:szCs w:val="24"/>
          <w:lang w:val="en-US"/>
        </w:rPr>
        <w:t xml:space="preserve">Salaguer, J. (1990). The fundamental basis for the action of chemical dehydrant. Influence of the physical and chemical formulation on the stability of an emulsion. International Chemical Engineering. Volumen 30, pág. 103-116. </w:t>
      </w:r>
    </w:p>
    <w:p w:rsidR="00471EF3" w:rsidRPr="00A374A3" w:rsidRDefault="00D878A0" w:rsidP="00F53FE3">
      <w:pPr>
        <w:tabs>
          <w:tab w:val="left" w:pos="360"/>
        </w:tabs>
        <w:spacing w:after="240" w:line="360" w:lineRule="auto"/>
        <w:ind w:left="360" w:hanging="360"/>
        <w:jc w:val="both"/>
        <w:rPr>
          <w:szCs w:val="24"/>
          <w:lang w:val="es-VE"/>
        </w:rPr>
      </w:pPr>
      <w:r w:rsidRPr="00D878A0">
        <w:rPr>
          <w:szCs w:val="24"/>
          <w:lang w:val="en-US"/>
        </w:rPr>
        <w:t xml:space="preserve">Schramm, L. (1992). Emulsions: Fundamentals And Applications In The Petroleum Industry. </w:t>
      </w:r>
      <w:r w:rsidRPr="00A374A3">
        <w:rPr>
          <w:szCs w:val="24"/>
          <w:lang w:val="es-VE"/>
        </w:rPr>
        <w:t>Primera edición.  Washington, D.C. American Chemical Society Books.</w:t>
      </w:r>
    </w:p>
    <w:p w:rsidR="00F32A3F" w:rsidRPr="00A374A3" w:rsidRDefault="00F32A3F" w:rsidP="00F53FE3">
      <w:pPr>
        <w:tabs>
          <w:tab w:val="left" w:pos="360"/>
        </w:tabs>
        <w:autoSpaceDE w:val="0"/>
        <w:autoSpaceDN w:val="0"/>
        <w:adjustRightInd w:val="0"/>
        <w:spacing w:after="240" w:line="360" w:lineRule="auto"/>
        <w:ind w:left="360" w:hanging="360"/>
        <w:jc w:val="both"/>
        <w:rPr>
          <w:rFonts w:eastAsia="Calibri"/>
          <w:bCs/>
          <w:color w:val="003300"/>
          <w:szCs w:val="24"/>
          <w:lang w:val="en-US" w:eastAsia="en-US"/>
        </w:rPr>
      </w:pPr>
      <w:r w:rsidRPr="00F52344">
        <w:rPr>
          <w:szCs w:val="24"/>
          <w:lang w:val="es-VE"/>
        </w:rPr>
        <w:t>Serrano, E. (2002).</w:t>
      </w:r>
      <w:r w:rsidRPr="00F52344">
        <w:rPr>
          <w:rFonts w:eastAsia="Calibri"/>
          <w:bCs/>
          <w:color w:val="003300"/>
          <w:szCs w:val="24"/>
          <w:lang w:val="es-VE" w:eastAsia="en-US"/>
        </w:rPr>
        <w:t xml:space="preserve"> Tensión interfacial y mojabilidad de sistemas sólido/salmuera/n-</w:t>
      </w:r>
      <w:r>
        <w:rPr>
          <w:rFonts w:eastAsia="Calibri"/>
          <w:bCs/>
          <w:color w:val="003300"/>
          <w:szCs w:val="24"/>
          <w:lang w:val="es-VE" w:eastAsia="en-US"/>
        </w:rPr>
        <w:t>d</w:t>
      </w:r>
      <w:r w:rsidRPr="00F52344">
        <w:rPr>
          <w:rFonts w:eastAsia="Calibri"/>
          <w:bCs/>
          <w:color w:val="003300"/>
          <w:szCs w:val="24"/>
          <w:lang w:val="es-VE" w:eastAsia="en-US"/>
        </w:rPr>
        <w:t xml:space="preserve">odecano: Estudio experimental del efecto de la fuerza iónica y de la concentración de surfactante. Tesis de maestría. División de Ciencias Básicas de Ingeniería. Universidad Autónoma Metropolitana. </w:t>
      </w:r>
      <w:r w:rsidRPr="00A374A3">
        <w:rPr>
          <w:rFonts w:eastAsia="Calibri"/>
          <w:bCs/>
          <w:color w:val="003300"/>
          <w:szCs w:val="24"/>
          <w:lang w:val="en-US" w:eastAsia="en-US"/>
        </w:rPr>
        <w:t xml:space="preserve">México D.F. </w:t>
      </w:r>
    </w:p>
    <w:p w:rsidR="00F52344" w:rsidRDefault="00F52344" w:rsidP="00F53FE3">
      <w:pPr>
        <w:tabs>
          <w:tab w:val="left" w:pos="360"/>
        </w:tabs>
        <w:autoSpaceDE w:val="0"/>
        <w:autoSpaceDN w:val="0"/>
        <w:adjustRightInd w:val="0"/>
        <w:spacing w:after="240" w:line="360" w:lineRule="auto"/>
        <w:ind w:left="360" w:hanging="360"/>
        <w:jc w:val="both"/>
        <w:rPr>
          <w:bCs/>
          <w:szCs w:val="24"/>
          <w:lang w:val="en-US"/>
        </w:rPr>
      </w:pPr>
      <w:r w:rsidRPr="00037050">
        <w:rPr>
          <w:szCs w:val="24"/>
          <w:lang w:val="en-US"/>
        </w:rPr>
        <w:t>Speight, J. (1984). Caracterization of Hevy Crude Oils and Petroleum Residues. Simposio Internacional. Ediciones Technip. Paris. Pág. 32 – 41</w:t>
      </w:r>
      <w:r>
        <w:rPr>
          <w:szCs w:val="24"/>
          <w:lang w:val="en-US"/>
        </w:rPr>
        <w:t>.</w:t>
      </w:r>
    </w:p>
    <w:p w:rsidR="00A71EEC" w:rsidRPr="00712D89" w:rsidRDefault="00A71EEC" w:rsidP="00A71EEC">
      <w:pPr>
        <w:autoSpaceDE w:val="0"/>
        <w:autoSpaceDN w:val="0"/>
        <w:adjustRightInd w:val="0"/>
        <w:spacing w:after="240" w:line="360" w:lineRule="auto"/>
        <w:ind w:left="360" w:hanging="360"/>
        <w:jc w:val="both"/>
        <w:rPr>
          <w:rFonts w:eastAsiaTheme="minorHAnsi"/>
          <w:iCs/>
          <w:szCs w:val="24"/>
          <w:lang w:val="en-US" w:eastAsia="en-US"/>
        </w:rPr>
      </w:pPr>
      <w:r>
        <w:rPr>
          <w:rFonts w:eastAsiaTheme="minorHAnsi"/>
          <w:szCs w:val="24"/>
          <w:lang w:val="en-US" w:eastAsia="en-US"/>
        </w:rPr>
        <w:t>Stocker</w:t>
      </w:r>
      <w:r w:rsidRPr="00712D89">
        <w:rPr>
          <w:rFonts w:eastAsiaTheme="minorHAnsi"/>
          <w:szCs w:val="24"/>
          <w:lang w:val="en-US" w:eastAsia="en-US"/>
        </w:rPr>
        <w:t xml:space="preserve">, R., </w:t>
      </w:r>
      <w:r>
        <w:rPr>
          <w:rFonts w:eastAsiaTheme="minorHAnsi"/>
          <w:szCs w:val="24"/>
          <w:lang w:val="en-US" w:eastAsia="en-US"/>
        </w:rPr>
        <w:t>Behie</w:t>
      </w:r>
      <w:r w:rsidRPr="00712D89">
        <w:rPr>
          <w:rFonts w:eastAsiaTheme="minorHAnsi"/>
          <w:szCs w:val="24"/>
          <w:lang w:val="en-US" w:eastAsia="en-US"/>
        </w:rPr>
        <w:t>, L.</w:t>
      </w:r>
      <w:r>
        <w:rPr>
          <w:rFonts w:eastAsiaTheme="minorHAnsi"/>
          <w:szCs w:val="24"/>
          <w:lang w:val="en-US" w:eastAsia="en-US"/>
        </w:rPr>
        <w:t>,</w:t>
      </w:r>
      <w:r w:rsidRPr="00712D89">
        <w:rPr>
          <w:rFonts w:eastAsiaTheme="minorHAnsi"/>
          <w:szCs w:val="24"/>
          <w:lang w:val="en-US" w:eastAsia="en-US"/>
        </w:rPr>
        <w:t xml:space="preserve"> </w:t>
      </w:r>
      <w:r>
        <w:rPr>
          <w:rFonts w:eastAsiaTheme="minorHAnsi"/>
          <w:szCs w:val="24"/>
          <w:lang w:val="en-US" w:eastAsia="en-US"/>
        </w:rPr>
        <w:t>Svrcek</w:t>
      </w:r>
      <w:r w:rsidRPr="00712D89">
        <w:rPr>
          <w:rFonts w:eastAsiaTheme="minorHAnsi"/>
          <w:szCs w:val="24"/>
          <w:lang w:val="en-US" w:eastAsia="en-US"/>
        </w:rPr>
        <w:t>, W. (1988).</w:t>
      </w:r>
      <w:r>
        <w:rPr>
          <w:rFonts w:eastAsiaTheme="minorHAnsi"/>
          <w:szCs w:val="24"/>
          <w:lang w:val="en-US" w:eastAsia="en-US"/>
        </w:rPr>
        <w:t xml:space="preserve"> </w:t>
      </w:r>
      <w:r w:rsidRPr="00A71EEC">
        <w:rPr>
          <w:rFonts w:eastAsiaTheme="minorHAnsi"/>
          <w:szCs w:val="24"/>
          <w:lang w:val="en-US" w:eastAsia="en-US"/>
        </w:rPr>
        <w:t>Study of Mechanical Coalescing for Petroleum Emulsions, Task 1 Interim Report: Prior Studies Survey.</w:t>
      </w:r>
      <w:r w:rsidRPr="00712D89">
        <w:rPr>
          <w:rFonts w:eastAsiaTheme="minorHAnsi"/>
          <w:szCs w:val="24"/>
          <w:lang w:val="en-US" w:eastAsia="en-US"/>
        </w:rPr>
        <w:t xml:space="preserve"> </w:t>
      </w:r>
      <w:r w:rsidRPr="00712D89">
        <w:rPr>
          <w:rFonts w:eastAsiaTheme="minorHAnsi"/>
          <w:iCs/>
          <w:szCs w:val="24"/>
          <w:lang w:val="en-US" w:eastAsia="en-US"/>
        </w:rPr>
        <w:t xml:space="preserve">DSS Contrato N°: 23440-6-9146/01-SQ. </w:t>
      </w:r>
    </w:p>
    <w:p w:rsidR="00F32A3F" w:rsidRDefault="00F32A3F" w:rsidP="00A71EEC">
      <w:pPr>
        <w:tabs>
          <w:tab w:val="left" w:pos="360"/>
        </w:tabs>
        <w:spacing w:after="240" w:line="360" w:lineRule="auto"/>
        <w:ind w:left="360" w:hanging="360"/>
        <w:jc w:val="both"/>
        <w:rPr>
          <w:iCs/>
          <w:szCs w:val="24"/>
          <w:lang w:val="en-US"/>
        </w:rPr>
      </w:pPr>
      <w:r w:rsidRPr="008B3E23">
        <w:rPr>
          <w:szCs w:val="24"/>
          <w:lang w:val="en-US"/>
        </w:rPr>
        <w:t>Strassner, J. (1968). Effect of pH on Interfacial Films and Stability of Crude Oil-Water Emulsions. Journal of Petroleum Technology. Volumen</w:t>
      </w:r>
      <w:r w:rsidRPr="008B3E23">
        <w:rPr>
          <w:iCs/>
          <w:szCs w:val="24"/>
          <w:lang w:val="en-US"/>
        </w:rPr>
        <w:t xml:space="preserve"> </w:t>
      </w:r>
      <w:r w:rsidRPr="008B3E23">
        <w:rPr>
          <w:szCs w:val="24"/>
          <w:lang w:val="en-US"/>
        </w:rPr>
        <w:t>303</w:t>
      </w:r>
      <w:r w:rsidRPr="008B3E23">
        <w:rPr>
          <w:iCs/>
          <w:szCs w:val="24"/>
          <w:lang w:val="en-US"/>
        </w:rPr>
        <w:t xml:space="preserve"> (Marzo).</w:t>
      </w:r>
    </w:p>
    <w:p w:rsidR="000D6816" w:rsidRDefault="00F32A3F" w:rsidP="00F53FE3">
      <w:pPr>
        <w:tabs>
          <w:tab w:val="left" w:pos="360"/>
        </w:tabs>
        <w:spacing w:after="240" w:line="360" w:lineRule="auto"/>
        <w:ind w:left="360" w:hanging="360"/>
        <w:jc w:val="both"/>
        <w:rPr>
          <w:szCs w:val="24"/>
        </w:rPr>
      </w:pPr>
      <w:r>
        <w:rPr>
          <w:iCs/>
          <w:szCs w:val="24"/>
          <w:lang w:val="en-US"/>
        </w:rPr>
        <w:t xml:space="preserve"> </w:t>
      </w:r>
      <w:r w:rsidRPr="00D43B14">
        <w:rPr>
          <w:iCs/>
          <w:szCs w:val="24"/>
          <w:lang w:val="en-US"/>
        </w:rPr>
        <w:t xml:space="preserve"> </w:t>
      </w:r>
      <w:r w:rsidR="000D6816" w:rsidRPr="00795879">
        <w:rPr>
          <w:bCs/>
          <w:szCs w:val="24"/>
          <w:lang w:val="en-US"/>
        </w:rPr>
        <w:t>Sunil L. Kokal</w:t>
      </w:r>
      <w:r w:rsidR="00795879" w:rsidRPr="00795879">
        <w:rPr>
          <w:bCs/>
          <w:szCs w:val="24"/>
          <w:lang w:val="en-US"/>
        </w:rPr>
        <w:t xml:space="preserve">, </w:t>
      </w:r>
      <w:r w:rsidR="00795879" w:rsidRPr="00795879">
        <w:rPr>
          <w:szCs w:val="24"/>
          <w:lang w:val="en-US"/>
        </w:rPr>
        <w:t>Saudi Aramco</w:t>
      </w:r>
      <w:r w:rsidR="00795879" w:rsidRPr="00795879">
        <w:rPr>
          <w:bCs/>
          <w:szCs w:val="24"/>
          <w:lang w:val="en-US"/>
        </w:rPr>
        <w:t xml:space="preserve"> (2006). </w:t>
      </w:r>
      <w:r w:rsidR="000D6816" w:rsidRPr="00795879">
        <w:rPr>
          <w:bCs/>
          <w:szCs w:val="24"/>
          <w:lang w:val="en-US"/>
        </w:rPr>
        <w:t xml:space="preserve"> </w:t>
      </w:r>
      <w:r w:rsidR="000D6816" w:rsidRPr="00795879">
        <w:rPr>
          <w:szCs w:val="24"/>
          <w:lang w:val="en-US"/>
        </w:rPr>
        <w:t xml:space="preserve">Petroleum Engineering Handbook—Vol. </w:t>
      </w:r>
      <w:r w:rsidR="00795879" w:rsidRPr="00795879">
        <w:rPr>
          <w:szCs w:val="24"/>
          <w:lang w:val="en-US"/>
        </w:rPr>
        <w:t>I.</w:t>
      </w:r>
      <w:r w:rsidR="000D6816" w:rsidRPr="00795879">
        <w:rPr>
          <w:szCs w:val="24"/>
          <w:lang w:val="en-US"/>
        </w:rPr>
        <w:t xml:space="preserve"> Crude</w:t>
      </w:r>
      <w:r w:rsidR="00795879" w:rsidRPr="00795879">
        <w:rPr>
          <w:szCs w:val="24"/>
          <w:lang w:val="en-US"/>
        </w:rPr>
        <w:t xml:space="preserve"> Oil Emulsions</w:t>
      </w:r>
      <w:r w:rsidR="000D6816" w:rsidRPr="00795879">
        <w:rPr>
          <w:szCs w:val="24"/>
          <w:lang w:val="en-US"/>
        </w:rPr>
        <w:t xml:space="preserve">. </w:t>
      </w:r>
      <w:r w:rsidR="00795879" w:rsidRPr="00795879">
        <w:rPr>
          <w:szCs w:val="24"/>
          <w:lang w:val="es-VE"/>
        </w:rPr>
        <w:t xml:space="preserve">Tercera edición. Richardson, Texas. </w:t>
      </w:r>
      <w:r w:rsidR="00037050">
        <w:rPr>
          <w:szCs w:val="24"/>
          <w:lang w:val="es-VE"/>
        </w:rPr>
        <w:t>Capítulo 12</w:t>
      </w:r>
      <w:r w:rsidR="000D6816" w:rsidRPr="00795879">
        <w:rPr>
          <w:szCs w:val="24"/>
          <w:lang w:val="es-VE"/>
        </w:rPr>
        <w:t xml:space="preserve">. </w:t>
      </w:r>
      <w:r w:rsidR="000D6816" w:rsidRPr="00795879">
        <w:rPr>
          <w:szCs w:val="24"/>
        </w:rPr>
        <w:t xml:space="preserve">Pág. I-536. </w:t>
      </w:r>
    </w:p>
    <w:p w:rsidR="00712D89" w:rsidRPr="008B3E23" w:rsidRDefault="00712D89" w:rsidP="00712D89">
      <w:pPr>
        <w:tabs>
          <w:tab w:val="left" w:pos="360"/>
        </w:tabs>
        <w:autoSpaceDE w:val="0"/>
        <w:autoSpaceDN w:val="0"/>
        <w:adjustRightInd w:val="0"/>
        <w:spacing w:after="240" w:line="360" w:lineRule="auto"/>
        <w:ind w:left="360" w:hanging="360"/>
        <w:jc w:val="both"/>
        <w:rPr>
          <w:szCs w:val="24"/>
          <w:lang w:val="en-US"/>
        </w:rPr>
      </w:pPr>
      <w:r w:rsidRPr="008B3E23">
        <w:rPr>
          <w:szCs w:val="24"/>
          <w:lang w:val="es-VE"/>
        </w:rPr>
        <w:t xml:space="preserve">Tambe, D., y Sharma, M. (1993). </w:t>
      </w:r>
      <w:r w:rsidRPr="008B3E23">
        <w:rPr>
          <w:szCs w:val="24"/>
          <w:lang w:val="en-US"/>
        </w:rPr>
        <w:t xml:space="preserve">Factors Controlling the Stability of Colloid-Stabilized Emulsions.  </w:t>
      </w:r>
      <w:r w:rsidRPr="008B3E23">
        <w:rPr>
          <w:iCs/>
          <w:szCs w:val="24"/>
          <w:lang w:val="en-US"/>
        </w:rPr>
        <w:t xml:space="preserve">Journal of Colloid Interface Science. </w:t>
      </w:r>
    </w:p>
    <w:p w:rsidR="00712D89" w:rsidRPr="008B3E23" w:rsidRDefault="00712D89" w:rsidP="00712D89">
      <w:pPr>
        <w:tabs>
          <w:tab w:val="left" w:pos="360"/>
        </w:tabs>
        <w:autoSpaceDE w:val="0"/>
        <w:autoSpaceDN w:val="0"/>
        <w:adjustRightInd w:val="0"/>
        <w:spacing w:after="240" w:line="360" w:lineRule="auto"/>
        <w:ind w:left="360" w:hanging="360"/>
        <w:jc w:val="both"/>
        <w:rPr>
          <w:szCs w:val="24"/>
          <w:lang w:val="en-US"/>
        </w:rPr>
      </w:pPr>
      <w:r w:rsidRPr="008B3E23">
        <w:rPr>
          <w:color w:val="000000"/>
          <w:szCs w:val="24"/>
          <w:lang w:val="en-US"/>
        </w:rPr>
        <w:lastRenderedPageBreak/>
        <w:t>Taylor,</w:t>
      </w:r>
      <w:r>
        <w:rPr>
          <w:color w:val="000000"/>
          <w:szCs w:val="24"/>
          <w:lang w:val="en-US"/>
        </w:rPr>
        <w:t xml:space="preserve"> G. (1966).</w:t>
      </w:r>
      <w:r w:rsidRPr="008B3E23">
        <w:rPr>
          <w:color w:val="000000"/>
          <w:szCs w:val="24"/>
          <w:lang w:val="en-US"/>
        </w:rPr>
        <w:t xml:space="preserve"> Studies in electrohydrodynamics</w:t>
      </w:r>
      <w:r>
        <w:rPr>
          <w:color w:val="000000"/>
          <w:szCs w:val="24"/>
          <w:lang w:val="en-US"/>
        </w:rPr>
        <w:t>.</w:t>
      </w:r>
      <w:r w:rsidRPr="008B3E23">
        <w:rPr>
          <w:color w:val="000000"/>
          <w:szCs w:val="24"/>
          <w:lang w:val="en-US"/>
        </w:rPr>
        <w:t xml:space="preserve"> The circulation produced</w:t>
      </w:r>
      <w:r>
        <w:rPr>
          <w:color w:val="000000"/>
          <w:szCs w:val="24"/>
          <w:lang w:val="en-US"/>
        </w:rPr>
        <w:t xml:space="preserve"> in a drop by an electric field.</w:t>
      </w:r>
      <w:r w:rsidRPr="008B3E23">
        <w:rPr>
          <w:color w:val="000000"/>
          <w:szCs w:val="24"/>
          <w:lang w:val="en-US"/>
        </w:rPr>
        <w:t xml:space="preserve"> Proc. Royal Soc. A 291</w:t>
      </w:r>
      <w:r>
        <w:rPr>
          <w:color w:val="000000"/>
          <w:szCs w:val="24"/>
          <w:lang w:val="en-US"/>
        </w:rPr>
        <w:t xml:space="preserve">. Pág. </w:t>
      </w:r>
      <w:r w:rsidRPr="008B3E23">
        <w:rPr>
          <w:color w:val="000000"/>
          <w:szCs w:val="24"/>
          <w:lang w:val="en-US"/>
        </w:rPr>
        <w:t>159</w:t>
      </w:r>
      <w:r>
        <w:rPr>
          <w:color w:val="000000"/>
          <w:szCs w:val="24"/>
          <w:lang w:val="en-US"/>
        </w:rPr>
        <w:t>-</w:t>
      </w:r>
      <w:r w:rsidRPr="008B3E23">
        <w:rPr>
          <w:color w:val="000000"/>
          <w:szCs w:val="24"/>
          <w:lang w:val="en-US"/>
        </w:rPr>
        <w:t>166.</w:t>
      </w:r>
    </w:p>
    <w:p w:rsidR="00712D89" w:rsidRPr="00A275D5" w:rsidRDefault="00712D89" w:rsidP="00712D89">
      <w:pPr>
        <w:tabs>
          <w:tab w:val="left" w:pos="360"/>
        </w:tabs>
        <w:autoSpaceDE w:val="0"/>
        <w:autoSpaceDN w:val="0"/>
        <w:adjustRightInd w:val="0"/>
        <w:spacing w:after="240" w:line="360" w:lineRule="auto"/>
        <w:ind w:left="360" w:hanging="360"/>
        <w:jc w:val="both"/>
        <w:rPr>
          <w:szCs w:val="24"/>
          <w:lang w:val="es-VE"/>
        </w:rPr>
      </w:pPr>
      <w:r w:rsidRPr="00411077">
        <w:rPr>
          <w:szCs w:val="24"/>
          <w:lang w:val="en-US"/>
        </w:rPr>
        <w:t xml:space="preserve">Taylor, S. (1988). Investigations into the electrical and coalescence behavior of water-in-crude oil emulsions in high voltage gradients. </w:t>
      </w:r>
      <w:r w:rsidRPr="00A275D5">
        <w:rPr>
          <w:szCs w:val="24"/>
          <w:lang w:val="es-VE"/>
        </w:rPr>
        <w:t>Colloids and Surfaces. N° 29. Pág. 29–51.</w:t>
      </w: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8F267B" w:rsidRPr="00A275D5" w:rsidRDefault="008F267B" w:rsidP="00712D89">
      <w:pPr>
        <w:tabs>
          <w:tab w:val="left" w:pos="360"/>
        </w:tabs>
        <w:autoSpaceDE w:val="0"/>
        <w:autoSpaceDN w:val="0"/>
        <w:adjustRightInd w:val="0"/>
        <w:spacing w:after="240" w:line="360" w:lineRule="auto"/>
        <w:ind w:left="360" w:hanging="360"/>
        <w:jc w:val="both"/>
        <w:rPr>
          <w:szCs w:val="24"/>
          <w:lang w:val="es-VE"/>
        </w:rPr>
      </w:pPr>
    </w:p>
    <w:p w:rsidR="00A275D5" w:rsidRDefault="00A275D5" w:rsidP="00712D89">
      <w:pPr>
        <w:tabs>
          <w:tab w:val="left" w:pos="360"/>
        </w:tabs>
        <w:autoSpaceDE w:val="0"/>
        <w:autoSpaceDN w:val="0"/>
        <w:adjustRightInd w:val="0"/>
        <w:spacing w:after="240" w:line="360" w:lineRule="auto"/>
        <w:ind w:left="360" w:hanging="360"/>
        <w:jc w:val="both"/>
        <w:rPr>
          <w:szCs w:val="24"/>
          <w:lang w:val="es-VE"/>
        </w:rPr>
        <w:sectPr w:rsidR="00A275D5" w:rsidSect="00820F87">
          <w:pgSz w:w="12240" w:h="15840"/>
          <w:pgMar w:top="1699" w:right="1699" w:bottom="1699" w:left="2275" w:header="720" w:footer="720" w:gutter="0"/>
          <w:cols w:space="720"/>
          <w:docGrid w:linePitch="360"/>
        </w:sectPr>
      </w:pPr>
    </w:p>
    <w:p w:rsidR="008F267B" w:rsidRPr="00277D97" w:rsidRDefault="008F267B" w:rsidP="005B74B4">
      <w:pPr>
        <w:pStyle w:val="Ttulo1"/>
      </w:pPr>
      <w:bookmarkStart w:id="170" w:name="_Toc306491497"/>
      <w:bookmarkStart w:id="171" w:name="_Toc327478037"/>
      <w:r>
        <w:lastRenderedPageBreak/>
        <w:t>APÉNDICES</w:t>
      </w:r>
      <w:bookmarkEnd w:id="170"/>
      <w:bookmarkEnd w:id="171"/>
    </w:p>
    <w:p w:rsidR="00BB3816" w:rsidRPr="00804F7D" w:rsidRDefault="00BB3816" w:rsidP="00804F7D">
      <w:pPr>
        <w:pStyle w:val="Ttulo2"/>
        <w:spacing w:line="360" w:lineRule="auto"/>
        <w:jc w:val="both"/>
        <w:rPr>
          <w:rFonts w:ascii="Times New Roman" w:hAnsi="Times New Roman" w:cs="Times New Roman"/>
          <w:color w:val="auto"/>
          <w:sz w:val="24"/>
          <w:szCs w:val="24"/>
          <w:lang w:val="es-VE"/>
        </w:rPr>
      </w:pPr>
      <w:bookmarkStart w:id="172" w:name="_Toc327478038"/>
      <w:r w:rsidRPr="00804F7D">
        <w:rPr>
          <w:rFonts w:ascii="Times New Roman" w:hAnsi="Times New Roman" w:cs="Times New Roman"/>
          <w:color w:val="auto"/>
          <w:sz w:val="24"/>
          <w:szCs w:val="24"/>
          <w:lang w:val="es-VE"/>
        </w:rPr>
        <w:t>Apéndice I</w:t>
      </w:r>
      <w:bookmarkEnd w:id="172"/>
    </w:p>
    <w:p w:rsidR="008F267B" w:rsidRDefault="008F267B" w:rsidP="008F267B">
      <w:pPr>
        <w:autoSpaceDE w:val="0"/>
        <w:autoSpaceDN w:val="0"/>
        <w:adjustRightInd w:val="0"/>
        <w:spacing w:line="360" w:lineRule="auto"/>
        <w:jc w:val="both"/>
        <w:rPr>
          <w:lang w:val="es-VE"/>
        </w:rPr>
      </w:pPr>
      <w:r>
        <w:rPr>
          <w:lang w:val="es-VE"/>
        </w:rPr>
        <w:t>Macro Excel para el cálculo de la distribución de tamaños de gotas y cantidad de agua en la muestra.</w:t>
      </w:r>
      <w:r>
        <w:rPr>
          <w:lang w:val="es-VE"/>
        </w:rPr>
        <w:tab/>
      </w:r>
    </w:p>
    <w:p w:rsidR="00BF4A25" w:rsidRDefault="00BF4A25" w:rsidP="00BF4A25">
      <w:pPr>
        <w:autoSpaceDE w:val="0"/>
        <w:autoSpaceDN w:val="0"/>
        <w:adjustRightInd w:val="0"/>
        <w:spacing w:line="360" w:lineRule="auto"/>
        <w:jc w:val="both"/>
        <w:rPr>
          <w:rFonts w:eastAsiaTheme="minorHAnsi"/>
          <w:szCs w:val="24"/>
          <w:lang w:val="es-VE" w:eastAsia="en-US"/>
        </w:rPr>
      </w:pPr>
      <w:r>
        <w:rPr>
          <w:rFonts w:eastAsiaTheme="minorHAnsi"/>
          <w:szCs w:val="24"/>
          <w:lang w:val="es-VE" w:eastAsia="en-US"/>
        </w:rPr>
        <w:tab/>
      </w:r>
      <w:r w:rsidR="008F267B">
        <w:rPr>
          <w:rFonts w:eastAsiaTheme="minorHAnsi"/>
          <w:szCs w:val="24"/>
          <w:lang w:val="es-VE" w:eastAsia="en-US"/>
        </w:rPr>
        <w:t>A continuación se presentan las líneas de código de la macro realizado por Fung, E. en su trabajo especial de grado.</w:t>
      </w:r>
      <w:r>
        <w:rPr>
          <w:rFonts w:eastAsiaTheme="minorHAnsi"/>
          <w:szCs w:val="24"/>
          <w:lang w:val="es-VE" w:eastAsia="en-US"/>
        </w:rPr>
        <w:t xml:space="preserve"> El código fuente de la macro Excel fue elaborado en el leguaje de programación Visual Basic.</w:t>
      </w:r>
    </w:p>
    <w:p w:rsidR="00814EB0" w:rsidRPr="00814EB0" w:rsidRDefault="00814EB0" w:rsidP="00BF4A25">
      <w:pPr>
        <w:autoSpaceDE w:val="0"/>
        <w:autoSpaceDN w:val="0"/>
        <w:adjustRightInd w:val="0"/>
        <w:spacing w:line="360" w:lineRule="auto"/>
        <w:jc w:val="both"/>
        <w:rPr>
          <w:rFonts w:eastAsiaTheme="minorHAnsi"/>
          <w:b/>
          <w:szCs w:val="24"/>
          <w:lang w:val="es-VE" w:eastAsia="en-US"/>
        </w:rPr>
      </w:pPr>
      <w:r w:rsidRPr="00814EB0">
        <w:rPr>
          <w:rFonts w:eastAsiaTheme="minorHAnsi"/>
          <w:b/>
          <w:szCs w:val="24"/>
          <w:lang w:val="es-VE" w:eastAsia="en-US"/>
        </w:rPr>
        <w:t>Código fuente:</w:t>
      </w:r>
    </w:p>
    <w:p w:rsidR="00BF4A25" w:rsidRDefault="00BF4A25" w:rsidP="00814EB0">
      <w:pPr>
        <w:tabs>
          <w:tab w:val="left" w:pos="0"/>
        </w:tabs>
        <w:autoSpaceDE w:val="0"/>
        <w:autoSpaceDN w:val="0"/>
        <w:adjustRightInd w:val="0"/>
        <w:rPr>
          <w:rFonts w:eastAsiaTheme="minorHAnsi"/>
          <w:szCs w:val="24"/>
          <w:lang w:val="es-VE" w:eastAsia="en-US"/>
        </w:rPr>
      </w:pPr>
    </w:p>
    <w:p w:rsidR="00814EB0" w:rsidRPr="005510F5" w:rsidRDefault="00814EB0" w:rsidP="00814EB0">
      <w:pPr>
        <w:autoSpaceDE w:val="0"/>
        <w:autoSpaceDN w:val="0"/>
        <w:adjustRightInd w:val="0"/>
        <w:ind w:left="360" w:hanging="360"/>
        <w:jc w:val="both"/>
        <w:rPr>
          <w:rFonts w:eastAsiaTheme="minorHAnsi"/>
          <w:sz w:val="20"/>
          <w:lang w:val="es-VE" w:eastAsia="en-US"/>
        </w:rPr>
      </w:pPr>
      <w:r w:rsidRPr="005510F5">
        <w:rPr>
          <w:rFonts w:eastAsiaTheme="minorHAnsi"/>
          <w:sz w:val="20"/>
          <w:lang w:val="es-VE" w:eastAsia="en-US"/>
        </w:rPr>
        <w:t>Sub Conteotomo2()</w:t>
      </w:r>
    </w:p>
    <w:p w:rsidR="00814EB0" w:rsidRPr="005510F5" w:rsidRDefault="00814EB0" w:rsidP="00814EB0">
      <w:pPr>
        <w:autoSpaceDE w:val="0"/>
        <w:autoSpaceDN w:val="0"/>
        <w:adjustRightInd w:val="0"/>
        <w:ind w:left="360" w:hanging="360"/>
        <w:jc w:val="both"/>
        <w:rPr>
          <w:rFonts w:eastAsiaTheme="minorHAnsi"/>
          <w:sz w:val="20"/>
          <w:lang w:val="es-VE" w:eastAsia="en-US"/>
        </w:rPr>
      </w:pPr>
      <w:r w:rsidRPr="005510F5">
        <w:rPr>
          <w:rFonts w:eastAsiaTheme="minorHAnsi"/>
          <w:sz w:val="20"/>
          <w:lang w:val="es-VE" w:eastAsia="en-US"/>
        </w:rPr>
        <w:t>'</w:t>
      </w:r>
    </w:p>
    <w:p w:rsidR="00814EB0" w:rsidRPr="005510F5" w:rsidRDefault="00814EB0" w:rsidP="00814EB0">
      <w:pPr>
        <w:autoSpaceDE w:val="0"/>
        <w:autoSpaceDN w:val="0"/>
        <w:adjustRightInd w:val="0"/>
        <w:ind w:left="360" w:hanging="360"/>
        <w:jc w:val="both"/>
        <w:rPr>
          <w:rFonts w:eastAsiaTheme="minorHAnsi"/>
          <w:sz w:val="20"/>
          <w:lang w:val="es-VE" w:eastAsia="en-US"/>
        </w:rPr>
      </w:pPr>
      <w:r w:rsidRPr="005510F5">
        <w:rPr>
          <w:rFonts w:eastAsiaTheme="minorHAnsi"/>
          <w:sz w:val="20"/>
          <w:lang w:val="es-VE" w:eastAsia="en-US"/>
        </w:rPr>
        <w:t>' Conteotomo2 Macro</w:t>
      </w:r>
    </w:p>
    <w:p w:rsidR="00814EB0" w:rsidRPr="004A5F6F" w:rsidRDefault="00814EB0" w:rsidP="00814EB0">
      <w:pPr>
        <w:autoSpaceDE w:val="0"/>
        <w:autoSpaceDN w:val="0"/>
        <w:adjustRightInd w:val="0"/>
        <w:ind w:left="360" w:hanging="360"/>
        <w:jc w:val="both"/>
        <w:rPr>
          <w:rFonts w:eastAsiaTheme="minorHAnsi"/>
          <w:sz w:val="20"/>
          <w:lang w:val="en-US" w:eastAsia="en-US"/>
        </w:rPr>
      </w:pPr>
      <w:r w:rsidRPr="004A5F6F">
        <w:rPr>
          <w:rFonts w:eastAsiaTheme="minorHAnsi"/>
          <w:sz w:val="20"/>
          <w:lang w:val="en-US" w:eastAsia="en-US"/>
        </w:rPr>
        <w:t>'</w:t>
      </w:r>
    </w:p>
    <w:p w:rsidR="00814EB0" w:rsidRPr="005510F5" w:rsidRDefault="00814EB0" w:rsidP="00814EB0">
      <w:pPr>
        <w:autoSpaceDE w:val="0"/>
        <w:autoSpaceDN w:val="0"/>
        <w:adjustRightInd w:val="0"/>
        <w:ind w:left="360" w:hanging="360"/>
        <w:jc w:val="both"/>
        <w:rPr>
          <w:rFonts w:eastAsiaTheme="minorHAnsi"/>
          <w:sz w:val="20"/>
          <w:lang w:val="en-US" w:eastAsia="en-US"/>
        </w:rPr>
      </w:pPr>
      <w:r w:rsidRPr="005510F5">
        <w:rPr>
          <w:rFonts w:eastAsiaTheme="minorHAnsi"/>
          <w:sz w:val="20"/>
          <w:lang w:val="en-US" w:eastAsia="en-US"/>
        </w:rPr>
        <w:t>'    Range("A3:B3").Select</w:t>
      </w:r>
    </w:p>
    <w:p w:rsidR="00814EB0" w:rsidRPr="005510F5" w:rsidRDefault="00814EB0" w:rsidP="00814EB0">
      <w:pPr>
        <w:autoSpaceDE w:val="0"/>
        <w:autoSpaceDN w:val="0"/>
        <w:adjustRightInd w:val="0"/>
        <w:ind w:left="360" w:hanging="360"/>
        <w:jc w:val="both"/>
        <w:rPr>
          <w:rFonts w:eastAsiaTheme="minorHAnsi"/>
          <w:sz w:val="20"/>
          <w:lang w:val="en-US" w:eastAsia="en-US"/>
        </w:rPr>
      </w:pPr>
      <w:r w:rsidRPr="005510F5">
        <w:rPr>
          <w:rFonts w:eastAsiaTheme="minorHAnsi"/>
          <w:sz w:val="20"/>
          <w:lang w:val="en-US" w:eastAsia="en-US"/>
        </w:rPr>
        <w:t xml:space="preserve">    Selection.Cut</w:t>
      </w:r>
    </w:p>
    <w:p w:rsidR="00814EB0" w:rsidRPr="005510F5" w:rsidRDefault="00814EB0" w:rsidP="00814EB0">
      <w:pPr>
        <w:autoSpaceDE w:val="0"/>
        <w:autoSpaceDN w:val="0"/>
        <w:adjustRightInd w:val="0"/>
        <w:ind w:left="360" w:hanging="360"/>
        <w:jc w:val="both"/>
        <w:rPr>
          <w:rFonts w:eastAsiaTheme="minorHAnsi"/>
          <w:sz w:val="20"/>
          <w:lang w:val="en-US" w:eastAsia="en-US"/>
        </w:rPr>
      </w:pPr>
      <w:r w:rsidRPr="005510F5">
        <w:rPr>
          <w:rFonts w:eastAsiaTheme="minorHAnsi"/>
          <w:sz w:val="20"/>
          <w:lang w:val="en-US" w:eastAsia="en-US"/>
        </w:rPr>
        <w:t xml:space="preserve">    Range("A4").Select</w:t>
      </w:r>
    </w:p>
    <w:p w:rsidR="00814EB0" w:rsidRPr="005510F5" w:rsidRDefault="00814EB0" w:rsidP="00D63911">
      <w:pPr>
        <w:tabs>
          <w:tab w:val="left" w:pos="900"/>
        </w:tabs>
        <w:autoSpaceDE w:val="0"/>
        <w:autoSpaceDN w:val="0"/>
        <w:adjustRightInd w:val="0"/>
        <w:ind w:left="360" w:hanging="360"/>
        <w:jc w:val="both"/>
        <w:rPr>
          <w:rFonts w:eastAsiaTheme="minorHAnsi"/>
          <w:sz w:val="20"/>
          <w:lang w:val="en-US" w:eastAsia="en-US"/>
        </w:rPr>
      </w:pPr>
      <w:r w:rsidRPr="005510F5">
        <w:rPr>
          <w:rFonts w:eastAsiaTheme="minorHAnsi"/>
          <w:sz w:val="20"/>
          <w:lang w:val="en-US" w:eastAsia="en-US"/>
        </w:rPr>
        <w:t xml:space="preserve">    ActiveSheet.Paste</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5510F5">
        <w:rPr>
          <w:rFonts w:eastAsiaTheme="minorHAnsi"/>
          <w:sz w:val="20"/>
          <w:lang w:val="en-US" w:eastAsia="en-US"/>
        </w:rPr>
        <w:t xml:space="preserve">    </w:t>
      </w:r>
      <w:r w:rsidRPr="00E417BB">
        <w:rPr>
          <w:rFonts w:eastAsiaTheme="minorHAnsi"/>
          <w:sz w:val="20"/>
          <w:lang w:val="en-US" w:eastAsia="en-US"/>
        </w:rPr>
        <w:t>Selection.Borders(xlDiagonalDown).LineStyle = xlNone</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Selection.Borders(xlDiagonalUp).LineStyle = xlNone</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With Selection.Borders(xlEdgeLeft)</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.LineStyle = xlContinuous</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.ColorIndex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.TintAndShade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.Weight = xlThin</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End With</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With Selection.Borders(xlEdgeTop)</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.LineStyle = xlContinuous</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.ColorIndex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.TintAndShade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.Weight = xlThin</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End With</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With Selection.Borders(xlEdgeBottom)</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.LineStyle = xlContinuous</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.ColorIndex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.TintAndShade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.Weight = xlThin</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End With</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With Selection.Borders(xlEdgeRight)</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.LineStyle = xlContinuous</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.ColorIndex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.TintAndShade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.Weight = xlThin</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End With</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With Selection.Borders(xlInsideVertical)</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.LineStyle = xlContinuous</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.ColorIndex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lastRenderedPageBreak/>
        <w:t xml:space="preserve">        .TintAndShade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.Weight = xlThin</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End With</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With Selection.Borders(xlInsideHorizontal)</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.LineStyle = xlContinuous</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.ColorIndex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.TintAndShade = 0</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.Weight = xlThin</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End With</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Range("C5:G5").Select</w:t>
      </w:r>
    </w:p>
    <w:p w:rsidR="00814EB0" w:rsidRPr="00E417BB"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Selection.AutoFill Destination:=Range("C5:G10000"), Type:=xlFillDefault</w:t>
      </w:r>
    </w:p>
    <w:p w:rsidR="00814EB0" w:rsidRPr="005510F5" w:rsidRDefault="00814EB0" w:rsidP="00814EB0">
      <w:pPr>
        <w:autoSpaceDE w:val="0"/>
        <w:autoSpaceDN w:val="0"/>
        <w:adjustRightInd w:val="0"/>
        <w:ind w:left="360" w:hanging="360"/>
        <w:jc w:val="both"/>
        <w:rPr>
          <w:rFonts w:eastAsiaTheme="minorHAnsi"/>
          <w:sz w:val="20"/>
          <w:lang w:val="en-US" w:eastAsia="en-US"/>
        </w:rPr>
      </w:pPr>
      <w:r w:rsidRPr="00E417BB">
        <w:rPr>
          <w:rFonts w:eastAsiaTheme="minorHAnsi"/>
          <w:sz w:val="20"/>
          <w:lang w:val="en-US" w:eastAsia="en-US"/>
        </w:rPr>
        <w:t xml:space="preserve">    Range("C5:G10000").Select</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9978</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9957</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9893</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9851</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9787</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9745</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9681</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9597</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9448</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9364</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9194</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8940</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8707</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8453</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8177</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7923</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7627</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7330</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7012</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6695</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6377</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5996</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5805</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5508</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5106</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4746</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4449</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4068</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3750</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3348</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3051</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2924</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2691</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2437</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2162</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1929</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1717</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1547</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1399</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1230</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1187</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933</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lastRenderedPageBreak/>
        <w:t>ActiveWindow.ScrollRow = 679</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446</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276</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65</w:t>
      </w:r>
    </w:p>
    <w:p w:rsidR="00814EB0" w:rsidRPr="00E417BB" w:rsidRDefault="00814EB0" w:rsidP="00814EB0">
      <w:pPr>
        <w:jc w:val="both"/>
        <w:rPr>
          <w:rFonts w:eastAsiaTheme="majorEastAsia"/>
          <w:i/>
          <w:iCs/>
          <w:sz w:val="20"/>
          <w:lang w:val="en-US"/>
        </w:rPr>
      </w:pPr>
      <w:r w:rsidRPr="00E417BB">
        <w:rPr>
          <w:rFonts w:eastAsiaTheme="majorEastAsia"/>
          <w:i/>
          <w:iCs/>
          <w:sz w:val="20"/>
          <w:lang w:val="en-US"/>
        </w:rPr>
        <w:t>ActiveWindow.ScrollRow = 1</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Range("C4").Select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Range(Selection, Selection.End(xlDown)).Select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ActiveWorkbook.Worksheets("Datos ##").Sort.SortFields.Clear</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ActiveWorkbook.Worksheets("Datos ##").Sort.SortFields.Add Key:=Range("C4"), _</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SortOn:=xlSortOnValues, Order:=xlAscending, DataOption:=xlSortNormal</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With ActiveWorkbook.Worksheets("Datos ##").Sort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.SetRange Range("A5:G10000")</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.Header = xlNo</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.MatchCase = False</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.Orientation = xlTopToBottom</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.SortMethod = xlPinYin</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.Apply</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End With</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Range("A4").Select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Range(Selection, ActiveCell.SpecialCells(xlLastCell)).Select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Selection.Copy</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Sheets("Data AZ ##").Select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ActiveWindow.SmallScroll Down:=-6</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Selection.PasteSpecial Paste:=xlPasteValues, Operation:=xlNone, SkipBlanks _</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:=False, Transpose:=False</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Sheets("Data ZA ##").Select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Selection.PasteSpecial Paste:=xlPasteValues, Operation:=xlNone, SkipBlanks _</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:=False, Transpose:=False</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Columns("C:C").Select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Application.CutCopyMode = False</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ActiveWorkbook.Worksheets("Data ZA ##").Sort.SortFields.Clear</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ActiveWorkbook.Worksheets("Data ZA ##").Sort.SortFields.Add Key:=Range("C1") _</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 SortOn:=xlSortOnValues, Order:=xlDescending, DataOption:=xlSortNormal</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With ActiveWorkbook.Worksheets("Data ZA ##").Sort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.SetRange Range("A2:G9997")</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.Header = xlNo</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.MatchCase = False</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.Orientation = xlTopToBottom</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.SortMethod = xlPinYin</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.Apply</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5510F5">
        <w:rPr>
          <w:rFonts w:eastAsiaTheme="minorHAnsi"/>
          <w:sz w:val="20"/>
          <w:lang w:val="en-US" w:eastAsia="en-US"/>
        </w:rPr>
        <w:t xml:space="preserve">    </w:t>
      </w:r>
      <w:r w:rsidRPr="0061102F">
        <w:rPr>
          <w:rFonts w:eastAsiaTheme="minorHAnsi"/>
          <w:sz w:val="20"/>
          <w:lang w:val="en-US" w:eastAsia="en-US"/>
        </w:rPr>
        <w:t xml:space="preserve">    End With</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Columns("B:C").Select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Selection.NumberFormat = "0.00"</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Columns("D:G").Select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Selection.NumberFormat = "0.0000"</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Range("I4").Select</w:t>
      </w:r>
    </w:p>
    <w:p w:rsidR="00814EB0" w:rsidRPr="0061102F" w:rsidRDefault="00814EB0" w:rsidP="00814EB0">
      <w:pPr>
        <w:autoSpaceDE w:val="0"/>
        <w:autoSpaceDN w:val="0"/>
        <w:adjustRightInd w:val="0"/>
        <w:ind w:left="360" w:hanging="360"/>
        <w:jc w:val="both"/>
        <w:rPr>
          <w:rFonts w:eastAsiaTheme="minorHAnsi"/>
          <w:sz w:val="20"/>
          <w:lang w:val="en-US" w:eastAsia="en-US"/>
        </w:rPr>
      </w:pPr>
      <w:r w:rsidRPr="0061102F">
        <w:rPr>
          <w:rFonts w:eastAsiaTheme="minorHAnsi"/>
          <w:sz w:val="20"/>
          <w:lang w:val="en-US" w:eastAsia="en-US"/>
        </w:rPr>
        <w:t xml:space="preserve">    Sheets("Dc y F(x) ##)").Select</w:t>
      </w:r>
    </w:p>
    <w:p w:rsidR="00814EB0" w:rsidRPr="005926F6" w:rsidRDefault="00814EB0" w:rsidP="00814EB0">
      <w:pPr>
        <w:autoSpaceDE w:val="0"/>
        <w:autoSpaceDN w:val="0"/>
        <w:adjustRightInd w:val="0"/>
        <w:ind w:left="360" w:hanging="360"/>
        <w:jc w:val="both"/>
        <w:rPr>
          <w:rFonts w:eastAsiaTheme="minorHAnsi"/>
          <w:sz w:val="20"/>
          <w:lang w:val="es-VE" w:eastAsia="en-US"/>
        </w:rPr>
      </w:pPr>
      <w:r w:rsidRPr="0061102F">
        <w:rPr>
          <w:rFonts w:eastAsiaTheme="minorHAnsi"/>
          <w:sz w:val="20"/>
          <w:lang w:val="es-VE" w:eastAsia="en-US"/>
        </w:rPr>
        <w:t>End Sub</w:t>
      </w:r>
    </w:p>
    <w:p w:rsidR="00814EB0" w:rsidRPr="005510F5" w:rsidRDefault="00814EB0" w:rsidP="00814EB0">
      <w:pPr>
        <w:autoSpaceDE w:val="0"/>
        <w:autoSpaceDN w:val="0"/>
        <w:adjustRightInd w:val="0"/>
        <w:ind w:left="360" w:hanging="360"/>
        <w:jc w:val="both"/>
        <w:rPr>
          <w:rFonts w:eastAsiaTheme="minorHAnsi"/>
          <w:sz w:val="20"/>
          <w:lang w:val="en-US" w:eastAsia="en-US"/>
        </w:rPr>
      </w:pPr>
    </w:p>
    <w:p w:rsidR="00814EB0" w:rsidRPr="00814EB0" w:rsidRDefault="00814EB0" w:rsidP="00814EB0">
      <w:pPr>
        <w:tabs>
          <w:tab w:val="left" w:pos="0"/>
        </w:tabs>
        <w:autoSpaceDE w:val="0"/>
        <w:autoSpaceDN w:val="0"/>
        <w:adjustRightInd w:val="0"/>
        <w:jc w:val="both"/>
        <w:rPr>
          <w:rFonts w:eastAsiaTheme="minorHAnsi"/>
          <w:szCs w:val="24"/>
          <w:lang w:val="en-US" w:eastAsia="en-US"/>
        </w:rPr>
      </w:pPr>
    </w:p>
    <w:sectPr w:rsidR="00814EB0" w:rsidRPr="00814EB0" w:rsidSect="00820F87">
      <w:pgSz w:w="12240" w:h="15840"/>
      <w:pgMar w:top="1699"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647" w:rsidRDefault="00BE3647" w:rsidP="007E4E7D">
      <w:r>
        <w:separator/>
      </w:r>
    </w:p>
  </w:endnote>
  <w:endnote w:type="continuationSeparator" w:id="0">
    <w:p w:rsidR="00BE3647" w:rsidRDefault="00BE3647" w:rsidP="007E4E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TimesNewRoman">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03378"/>
      <w:docPartObj>
        <w:docPartGallery w:val="Page Numbers (Bottom of Page)"/>
        <w:docPartUnique/>
      </w:docPartObj>
    </w:sdtPr>
    <w:sdtContent>
      <w:p w:rsidR="004134A0" w:rsidRDefault="00A73CD2">
        <w:pPr>
          <w:pStyle w:val="Piedepgina"/>
          <w:jc w:val="right"/>
        </w:pPr>
        <w:fldSimple w:instr=" PAGE   \* MERGEFORMAT ">
          <w:r w:rsidR="004A5F6F">
            <w:rPr>
              <w:noProof/>
            </w:rPr>
            <w:t>xiv</w:t>
          </w:r>
        </w:fldSimple>
      </w:p>
    </w:sdtContent>
  </w:sdt>
  <w:p w:rsidR="004134A0" w:rsidRDefault="004134A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03379"/>
      <w:docPartObj>
        <w:docPartGallery w:val="Page Numbers (Bottom of Page)"/>
        <w:docPartUnique/>
      </w:docPartObj>
    </w:sdtPr>
    <w:sdtContent>
      <w:p w:rsidR="004134A0" w:rsidRDefault="00A73CD2">
        <w:pPr>
          <w:pStyle w:val="Piedepgina"/>
          <w:jc w:val="right"/>
        </w:pPr>
        <w:fldSimple w:instr=" PAGE   \* MERGEFORMAT ">
          <w:r w:rsidR="004A5F6F">
            <w:rPr>
              <w:noProof/>
            </w:rPr>
            <w:t>1</w:t>
          </w:r>
        </w:fldSimple>
      </w:p>
    </w:sdtContent>
  </w:sdt>
  <w:p w:rsidR="004134A0" w:rsidRDefault="004134A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647" w:rsidRDefault="00BE3647" w:rsidP="007E4E7D">
      <w:r>
        <w:separator/>
      </w:r>
    </w:p>
  </w:footnote>
  <w:footnote w:type="continuationSeparator" w:id="0">
    <w:p w:rsidR="00BE3647" w:rsidRDefault="00BE3647" w:rsidP="007E4E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3920"/>
    <w:multiLevelType w:val="hybridMultilevel"/>
    <w:tmpl w:val="9A5C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6451D"/>
    <w:multiLevelType w:val="hybridMultilevel"/>
    <w:tmpl w:val="60564EBE"/>
    <w:lvl w:ilvl="0" w:tplc="F68AA938">
      <w:start w:val="1"/>
      <w:numFmt w:val="lowerLetter"/>
      <w:lvlText w:val="(%1)"/>
      <w:lvlJc w:val="left"/>
      <w:pPr>
        <w:ind w:left="2580" w:hanging="36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2">
    <w:nsid w:val="14EC56D8"/>
    <w:multiLevelType w:val="multilevel"/>
    <w:tmpl w:val="C908BB3E"/>
    <w:lvl w:ilvl="0">
      <w:start w:val="8"/>
      <w:numFmt w:val="decimal"/>
      <w:lvlText w:val="%1."/>
      <w:lvlJc w:val="left"/>
      <w:pPr>
        <w:ind w:left="360" w:hanging="360"/>
      </w:pPr>
      <w:rPr>
        <w:rFonts w:ascii="Times New Roman" w:hAnsi="Times New Roman" w:hint="default"/>
        <w:sz w:val="24"/>
      </w:rPr>
    </w:lvl>
    <w:lvl w:ilvl="1">
      <w:start w:val="1"/>
      <w:numFmt w:val="decimal"/>
      <w:lvlText w:val="%1.%2."/>
      <w:lvlJc w:val="left"/>
      <w:pPr>
        <w:ind w:left="610" w:hanging="34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6236C7B"/>
    <w:multiLevelType w:val="hybridMultilevel"/>
    <w:tmpl w:val="1646C78E"/>
    <w:lvl w:ilvl="0" w:tplc="200A0005">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1774645B"/>
    <w:multiLevelType w:val="hybridMultilevel"/>
    <w:tmpl w:val="A63253EE"/>
    <w:lvl w:ilvl="0" w:tplc="3B5CA6F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E767C"/>
    <w:multiLevelType w:val="hybridMultilevel"/>
    <w:tmpl w:val="9440DE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BA2CB5"/>
    <w:multiLevelType w:val="hybridMultilevel"/>
    <w:tmpl w:val="A044F662"/>
    <w:lvl w:ilvl="0" w:tplc="CA0CD930">
      <w:start w:val="1"/>
      <w:numFmt w:val="lowerLetter"/>
      <w:lvlText w:val="(%1)"/>
      <w:lvlJc w:val="left"/>
      <w:pPr>
        <w:ind w:left="1320" w:hanging="360"/>
      </w:pPr>
      <w:rPr>
        <w:rFonts w:hint="default"/>
        <w:b w:val="0"/>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
    <w:nsid w:val="203B3805"/>
    <w:multiLevelType w:val="hybridMultilevel"/>
    <w:tmpl w:val="BDA4DF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52D9F"/>
    <w:multiLevelType w:val="hybridMultilevel"/>
    <w:tmpl w:val="1C065276"/>
    <w:lvl w:ilvl="0" w:tplc="44F6FE8E">
      <w:start w:val="2"/>
      <w:numFmt w:val="bullet"/>
      <w:lvlText w:val="-"/>
      <w:lvlJc w:val="left"/>
      <w:pPr>
        <w:ind w:left="1800" w:hanging="360"/>
      </w:pPr>
      <w:rPr>
        <w:rFonts w:ascii="Times New Roman" w:eastAsia="Times New Roman" w:hAnsi="Times New Roman" w:cs="Times New Roman" w:hint="default"/>
      </w:rPr>
    </w:lvl>
    <w:lvl w:ilvl="1" w:tplc="200A0003" w:tentative="1">
      <w:start w:val="1"/>
      <w:numFmt w:val="bullet"/>
      <w:lvlText w:val="o"/>
      <w:lvlJc w:val="left"/>
      <w:pPr>
        <w:ind w:left="2520" w:hanging="360"/>
      </w:pPr>
      <w:rPr>
        <w:rFonts w:ascii="Courier New" w:hAnsi="Courier New" w:cs="Courier New" w:hint="default"/>
      </w:rPr>
    </w:lvl>
    <w:lvl w:ilvl="2" w:tplc="200A0005" w:tentative="1">
      <w:start w:val="1"/>
      <w:numFmt w:val="bullet"/>
      <w:lvlText w:val=""/>
      <w:lvlJc w:val="left"/>
      <w:pPr>
        <w:ind w:left="3240" w:hanging="360"/>
      </w:pPr>
      <w:rPr>
        <w:rFonts w:ascii="Wingdings" w:hAnsi="Wingdings" w:hint="default"/>
      </w:rPr>
    </w:lvl>
    <w:lvl w:ilvl="3" w:tplc="200A0001" w:tentative="1">
      <w:start w:val="1"/>
      <w:numFmt w:val="bullet"/>
      <w:lvlText w:val=""/>
      <w:lvlJc w:val="left"/>
      <w:pPr>
        <w:ind w:left="3960" w:hanging="360"/>
      </w:pPr>
      <w:rPr>
        <w:rFonts w:ascii="Symbol" w:hAnsi="Symbol" w:hint="default"/>
      </w:rPr>
    </w:lvl>
    <w:lvl w:ilvl="4" w:tplc="200A0003" w:tentative="1">
      <w:start w:val="1"/>
      <w:numFmt w:val="bullet"/>
      <w:lvlText w:val="o"/>
      <w:lvlJc w:val="left"/>
      <w:pPr>
        <w:ind w:left="4680" w:hanging="360"/>
      </w:pPr>
      <w:rPr>
        <w:rFonts w:ascii="Courier New" w:hAnsi="Courier New" w:cs="Courier New" w:hint="default"/>
      </w:rPr>
    </w:lvl>
    <w:lvl w:ilvl="5" w:tplc="200A0005" w:tentative="1">
      <w:start w:val="1"/>
      <w:numFmt w:val="bullet"/>
      <w:lvlText w:val=""/>
      <w:lvlJc w:val="left"/>
      <w:pPr>
        <w:ind w:left="5400" w:hanging="360"/>
      </w:pPr>
      <w:rPr>
        <w:rFonts w:ascii="Wingdings" w:hAnsi="Wingdings" w:hint="default"/>
      </w:rPr>
    </w:lvl>
    <w:lvl w:ilvl="6" w:tplc="200A0001" w:tentative="1">
      <w:start w:val="1"/>
      <w:numFmt w:val="bullet"/>
      <w:lvlText w:val=""/>
      <w:lvlJc w:val="left"/>
      <w:pPr>
        <w:ind w:left="6120" w:hanging="360"/>
      </w:pPr>
      <w:rPr>
        <w:rFonts w:ascii="Symbol" w:hAnsi="Symbol" w:hint="default"/>
      </w:rPr>
    </w:lvl>
    <w:lvl w:ilvl="7" w:tplc="200A0003" w:tentative="1">
      <w:start w:val="1"/>
      <w:numFmt w:val="bullet"/>
      <w:lvlText w:val="o"/>
      <w:lvlJc w:val="left"/>
      <w:pPr>
        <w:ind w:left="6840" w:hanging="360"/>
      </w:pPr>
      <w:rPr>
        <w:rFonts w:ascii="Courier New" w:hAnsi="Courier New" w:cs="Courier New" w:hint="default"/>
      </w:rPr>
    </w:lvl>
    <w:lvl w:ilvl="8" w:tplc="200A0005" w:tentative="1">
      <w:start w:val="1"/>
      <w:numFmt w:val="bullet"/>
      <w:lvlText w:val=""/>
      <w:lvlJc w:val="left"/>
      <w:pPr>
        <w:ind w:left="7560" w:hanging="360"/>
      </w:pPr>
      <w:rPr>
        <w:rFonts w:ascii="Wingdings" w:hAnsi="Wingdings" w:hint="default"/>
      </w:rPr>
    </w:lvl>
  </w:abstractNum>
  <w:abstractNum w:abstractNumId="9">
    <w:nsid w:val="217422A0"/>
    <w:multiLevelType w:val="hybridMultilevel"/>
    <w:tmpl w:val="06DEE1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17026"/>
    <w:multiLevelType w:val="hybridMultilevel"/>
    <w:tmpl w:val="056ECE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9A01187"/>
    <w:multiLevelType w:val="hybridMultilevel"/>
    <w:tmpl w:val="75EC51E0"/>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30E16888"/>
    <w:multiLevelType w:val="hybridMultilevel"/>
    <w:tmpl w:val="96FE0B34"/>
    <w:lvl w:ilvl="0" w:tplc="04090017">
      <w:start w:val="1"/>
      <w:numFmt w:val="lowerLetter"/>
      <w:lvlText w:val="%1)"/>
      <w:lvlJc w:val="left"/>
      <w:pPr>
        <w:ind w:left="720" w:hanging="360"/>
      </w:pPr>
      <w:rPr>
        <w:rFonts w:hint="default"/>
      </w:r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328C541C"/>
    <w:multiLevelType w:val="hybridMultilevel"/>
    <w:tmpl w:val="FE4A00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A6A45"/>
    <w:multiLevelType w:val="hybridMultilevel"/>
    <w:tmpl w:val="4EB02094"/>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5">
    <w:nsid w:val="3CA00C87"/>
    <w:multiLevelType w:val="hybridMultilevel"/>
    <w:tmpl w:val="86DE78DA"/>
    <w:lvl w:ilvl="0" w:tplc="A3B84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265E1C"/>
    <w:multiLevelType w:val="hybridMultilevel"/>
    <w:tmpl w:val="F0D4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10771"/>
    <w:multiLevelType w:val="hybridMultilevel"/>
    <w:tmpl w:val="3B0A7D68"/>
    <w:lvl w:ilvl="0" w:tplc="3B5CA6F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A6651F"/>
    <w:multiLevelType w:val="hybridMultilevel"/>
    <w:tmpl w:val="4A32B00E"/>
    <w:lvl w:ilvl="0" w:tplc="3B5CA6F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0F0EF4"/>
    <w:multiLevelType w:val="hybridMultilevel"/>
    <w:tmpl w:val="E0ACC66C"/>
    <w:lvl w:ilvl="0" w:tplc="33E402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91516F"/>
    <w:multiLevelType w:val="hybridMultilevel"/>
    <w:tmpl w:val="2928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CD2205"/>
    <w:multiLevelType w:val="hybridMultilevel"/>
    <w:tmpl w:val="E6EEF618"/>
    <w:lvl w:ilvl="0" w:tplc="04090001">
      <w:start w:val="1"/>
      <w:numFmt w:val="bullet"/>
      <w:lvlText w:val=""/>
      <w:lvlJc w:val="left"/>
      <w:pPr>
        <w:ind w:left="1440" w:hanging="360"/>
      </w:pPr>
      <w:rPr>
        <w:rFonts w:ascii="Symbol" w:hAnsi="Symbol" w:hint="default"/>
      </w:rPr>
    </w:lvl>
    <w:lvl w:ilvl="1" w:tplc="44F6FE8E">
      <w:start w:val="2"/>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CC301AA"/>
    <w:multiLevelType w:val="hybridMultilevel"/>
    <w:tmpl w:val="1F02F1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E272AB"/>
    <w:multiLevelType w:val="hybridMultilevel"/>
    <w:tmpl w:val="1D547714"/>
    <w:lvl w:ilvl="0" w:tplc="3B5CA6F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892633"/>
    <w:multiLevelType w:val="hybridMultilevel"/>
    <w:tmpl w:val="43C0B1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57051B4"/>
    <w:multiLevelType w:val="hybridMultilevel"/>
    <w:tmpl w:val="C4E4D906"/>
    <w:lvl w:ilvl="0" w:tplc="04090017">
      <w:start w:val="1"/>
      <w:numFmt w:val="lowerLetter"/>
      <w:lvlText w:val="%1)"/>
      <w:lvlJc w:val="left"/>
      <w:pPr>
        <w:tabs>
          <w:tab w:val="num" w:pos="780"/>
        </w:tabs>
        <w:ind w:left="780" w:hanging="780"/>
      </w:pPr>
      <w:rPr>
        <w:rFonts w:hint="default"/>
        <w:b w:val="0"/>
        <w:i w:val="0"/>
      </w:rPr>
    </w:lvl>
    <w:lvl w:ilvl="1" w:tplc="899C8CDA">
      <w:numFmt w:val="bullet"/>
      <w:lvlText w:val=""/>
      <w:lvlJc w:val="left"/>
      <w:pPr>
        <w:tabs>
          <w:tab w:val="num" w:pos="1290"/>
        </w:tabs>
        <w:ind w:left="1290" w:hanging="810"/>
      </w:pPr>
      <w:rPr>
        <w:rFonts w:ascii="Symbol" w:eastAsia="Times New Roman" w:hAnsi="Symbol" w:hint="default"/>
      </w:rPr>
    </w:lvl>
    <w:lvl w:ilvl="2" w:tplc="0C0A0005" w:tentative="1">
      <w:start w:val="1"/>
      <w:numFmt w:val="bullet"/>
      <w:lvlText w:val=""/>
      <w:lvlJc w:val="left"/>
      <w:pPr>
        <w:tabs>
          <w:tab w:val="num" w:pos="1560"/>
        </w:tabs>
        <w:ind w:left="1560" w:hanging="360"/>
      </w:pPr>
      <w:rPr>
        <w:rFonts w:ascii="Wingdings" w:hAnsi="Wingdings" w:hint="default"/>
      </w:rPr>
    </w:lvl>
    <w:lvl w:ilvl="3" w:tplc="0C0A0001" w:tentative="1">
      <w:start w:val="1"/>
      <w:numFmt w:val="bullet"/>
      <w:lvlText w:val=""/>
      <w:lvlJc w:val="left"/>
      <w:pPr>
        <w:tabs>
          <w:tab w:val="num" w:pos="2280"/>
        </w:tabs>
        <w:ind w:left="2280" w:hanging="360"/>
      </w:pPr>
      <w:rPr>
        <w:rFonts w:ascii="Symbol" w:hAnsi="Symbol" w:hint="default"/>
      </w:rPr>
    </w:lvl>
    <w:lvl w:ilvl="4" w:tplc="0C0A0003" w:tentative="1">
      <w:start w:val="1"/>
      <w:numFmt w:val="bullet"/>
      <w:lvlText w:val="o"/>
      <w:lvlJc w:val="left"/>
      <w:pPr>
        <w:tabs>
          <w:tab w:val="num" w:pos="3000"/>
        </w:tabs>
        <w:ind w:left="3000" w:hanging="360"/>
      </w:pPr>
      <w:rPr>
        <w:rFonts w:ascii="Courier New" w:hAnsi="Courier New" w:hint="default"/>
      </w:rPr>
    </w:lvl>
    <w:lvl w:ilvl="5" w:tplc="0C0A0005" w:tentative="1">
      <w:start w:val="1"/>
      <w:numFmt w:val="bullet"/>
      <w:lvlText w:val=""/>
      <w:lvlJc w:val="left"/>
      <w:pPr>
        <w:tabs>
          <w:tab w:val="num" w:pos="3720"/>
        </w:tabs>
        <w:ind w:left="3720" w:hanging="360"/>
      </w:pPr>
      <w:rPr>
        <w:rFonts w:ascii="Wingdings" w:hAnsi="Wingdings" w:hint="default"/>
      </w:rPr>
    </w:lvl>
    <w:lvl w:ilvl="6" w:tplc="0C0A0001" w:tentative="1">
      <w:start w:val="1"/>
      <w:numFmt w:val="bullet"/>
      <w:lvlText w:val=""/>
      <w:lvlJc w:val="left"/>
      <w:pPr>
        <w:tabs>
          <w:tab w:val="num" w:pos="4440"/>
        </w:tabs>
        <w:ind w:left="4440" w:hanging="360"/>
      </w:pPr>
      <w:rPr>
        <w:rFonts w:ascii="Symbol" w:hAnsi="Symbol" w:hint="default"/>
      </w:rPr>
    </w:lvl>
    <w:lvl w:ilvl="7" w:tplc="0C0A0003" w:tentative="1">
      <w:start w:val="1"/>
      <w:numFmt w:val="bullet"/>
      <w:lvlText w:val="o"/>
      <w:lvlJc w:val="left"/>
      <w:pPr>
        <w:tabs>
          <w:tab w:val="num" w:pos="5160"/>
        </w:tabs>
        <w:ind w:left="5160" w:hanging="360"/>
      </w:pPr>
      <w:rPr>
        <w:rFonts w:ascii="Courier New" w:hAnsi="Courier New" w:hint="default"/>
      </w:rPr>
    </w:lvl>
    <w:lvl w:ilvl="8" w:tplc="0C0A0005" w:tentative="1">
      <w:start w:val="1"/>
      <w:numFmt w:val="bullet"/>
      <w:lvlText w:val=""/>
      <w:lvlJc w:val="left"/>
      <w:pPr>
        <w:tabs>
          <w:tab w:val="num" w:pos="5880"/>
        </w:tabs>
        <w:ind w:left="5880" w:hanging="360"/>
      </w:pPr>
      <w:rPr>
        <w:rFonts w:ascii="Wingdings" w:hAnsi="Wingdings" w:hint="default"/>
      </w:rPr>
    </w:lvl>
  </w:abstractNum>
  <w:abstractNum w:abstractNumId="26">
    <w:nsid w:val="720208B4"/>
    <w:multiLevelType w:val="hybridMultilevel"/>
    <w:tmpl w:val="63AAEDCE"/>
    <w:lvl w:ilvl="0" w:tplc="EE70C5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1"/>
  </w:num>
  <w:num w:numId="3">
    <w:abstractNumId w:val="15"/>
  </w:num>
  <w:num w:numId="4">
    <w:abstractNumId w:val="1"/>
  </w:num>
  <w:num w:numId="5">
    <w:abstractNumId w:val="19"/>
  </w:num>
  <w:num w:numId="6">
    <w:abstractNumId w:val="9"/>
  </w:num>
  <w:num w:numId="7">
    <w:abstractNumId w:val="12"/>
  </w:num>
  <w:num w:numId="8">
    <w:abstractNumId w:val="8"/>
  </w:num>
  <w:num w:numId="9">
    <w:abstractNumId w:val="26"/>
  </w:num>
  <w:num w:numId="10">
    <w:abstractNumId w:val="6"/>
  </w:num>
  <w:num w:numId="11">
    <w:abstractNumId w:val="25"/>
  </w:num>
  <w:num w:numId="12">
    <w:abstractNumId w:val="0"/>
  </w:num>
  <w:num w:numId="13">
    <w:abstractNumId w:val="3"/>
  </w:num>
  <w:num w:numId="14">
    <w:abstractNumId w:val="5"/>
  </w:num>
  <w:num w:numId="15">
    <w:abstractNumId w:val="2"/>
  </w:num>
  <w:num w:numId="16">
    <w:abstractNumId w:val="11"/>
  </w:num>
  <w:num w:numId="17">
    <w:abstractNumId w:val="14"/>
  </w:num>
  <w:num w:numId="18">
    <w:abstractNumId w:val="13"/>
  </w:num>
  <w:num w:numId="19">
    <w:abstractNumId w:val="22"/>
  </w:num>
  <w:num w:numId="20">
    <w:abstractNumId w:val="10"/>
  </w:num>
  <w:num w:numId="21">
    <w:abstractNumId w:val="4"/>
  </w:num>
  <w:num w:numId="22">
    <w:abstractNumId w:val="18"/>
  </w:num>
  <w:num w:numId="23">
    <w:abstractNumId w:val="17"/>
  </w:num>
  <w:num w:numId="24">
    <w:abstractNumId w:val="23"/>
  </w:num>
  <w:num w:numId="25">
    <w:abstractNumId w:val="7"/>
  </w:num>
  <w:num w:numId="26">
    <w:abstractNumId w:val="20"/>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806816"/>
    <w:rsid w:val="00000703"/>
    <w:rsid w:val="000024AF"/>
    <w:rsid w:val="000033AD"/>
    <w:rsid w:val="000041A7"/>
    <w:rsid w:val="00006531"/>
    <w:rsid w:val="0000661D"/>
    <w:rsid w:val="00007ADE"/>
    <w:rsid w:val="00010B1E"/>
    <w:rsid w:val="000135C1"/>
    <w:rsid w:val="000138A7"/>
    <w:rsid w:val="00014BA5"/>
    <w:rsid w:val="0001513A"/>
    <w:rsid w:val="00020E80"/>
    <w:rsid w:val="0002127E"/>
    <w:rsid w:val="00021CAB"/>
    <w:rsid w:val="0002375E"/>
    <w:rsid w:val="000238B4"/>
    <w:rsid w:val="00026FBD"/>
    <w:rsid w:val="00033F8F"/>
    <w:rsid w:val="00037050"/>
    <w:rsid w:val="000378CE"/>
    <w:rsid w:val="00041E85"/>
    <w:rsid w:val="00045FB8"/>
    <w:rsid w:val="00051D4F"/>
    <w:rsid w:val="00053895"/>
    <w:rsid w:val="000539B7"/>
    <w:rsid w:val="0005538D"/>
    <w:rsid w:val="00057DA9"/>
    <w:rsid w:val="0006109B"/>
    <w:rsid w:val="00064661"/>
    <w:rsid w:val="00070023"/>
    <w:rsid w:val="00072086"/>
    <w:rsid w:val="00072AB3"/>
    <w:rsid w:val="00074475"/>
    <w:rsid w:val="000769C4"/>
    <w:rsid w:val="0008300C"/>
    <w:rsid w:val="00084DA0"/>
    <w:rsid w:val="0008780F"/>
    <w:rsid w:val="000915DD"/>
    <w:rsid w:val="00096186"/>
    <w:rsid w:val="00096225"/>
    <w:rsid w:val="000966BA"/>
    <w:rsid w:val="000A096C"/>
    <w:rsid w:val="000A4378"/>
    <w:rsid w:val="000A56EB"/>
    <w:rsid w:val="000B1A03"/>
    <w:rsid w:val="000B51EB"/>
    <w:rsid w:val="000B537B"/>
    <w:rsid w:val="000B6608"/>
    <w:rsid w:val="000C1067"/>
    <w:rsid w:val="000C15BB"/>
    <w:rsid w:val="000C1AF4"/>
    <w:rsid w:val="000C2009"/>
    <w:rsid w:val="000C2700"/>
    <w:rsid w:val="000C33EF"/>
    <w:rsid w:val="000C35EE"/>
    <w:rsid w:val="000C6E45"/>
    <w:rsid w:val="000C7F8B"/>
    <w:rsid w:val="000D0379"/>
    <w:rsid w:val="000D0C3D"/>
    <w:rsid w:val="000D171E"/>
    <w:rsid w:val="000D6816"/>
    <w:rsid w:val="000E01AB"/>
    <w:rsid w:val="000E0C20"/>
    <w:rsid w:val="000E41F8"/>
    <w:rsid w:val="000F52FC"/>
    <w:rsid w:val="000F5776"/>
    <w:rsid w:val="000F59DD"/>
    <w:rsid w:val="000F5E83"/>
    <w:rsid w:val="000F7DD9"/>
    <w:rsid w:val="001037EA"/>
    <w:rsid w:val="0010459B"/>
    <w:rsid w:val="001062FE"/>
    <w:rsid w:val="00106C4D"/>
    <w:rsid w:val="00106DDC"/>
    <w:rsid w:val="00107EE1"/>
    <w:rsid w:val="001123C6"/>
    <w:rsid w:val="001134B0"/>
    <w:rsid w:val="00117D02"/>
    <w:rsid w:val="001218D6"/>
    <w:rsid w:val="00125756"/>
    <w:rsid w:val="00126D47"/>
    <w:rsid w:val="001272C8"/>
    <w:rsid w:val="0013027C"/>
    <w:rsid w:val="00130640"/>
    <w:rsid w:val="001331D9"/>
    <w:rsid w:val="00134D6D"/>
    <w:rsid w:val="00144533"/>
    <w:rsid w:val="00146D1B"/>
    <w:rsid w:val="00147814"/>
    <w:rsid w:val="00155209"/>
    <w:rsid w:val="00161FFE"/>
    <w:rsid w:val="00163AB3"/>
    <w:rsid w:val="00163FA1"/>
    <w:rsid w:val="0016429A"/>
    <w:rsid w:val="0016749A"/>
    <w:rsid w:val="0017152B"/>
    <w:rsid w:val="00174E26"/>
    <w:rsid w:val="00176468"/>
    <w:rsid w:val="00176FC7"/>
    <w:rsid w:val="0017751F"/>
    <w:rsid w:val="00177906"/>
    <w:rsid w:val="001804BE"/>
    <w:rsid w:val="00182C43"/>
    <w:rsid w:val="00182DA6"/>
    <w:rsid w:val="00183D18"/>
    <w:rsid w:val="00184A6E"/>
    <w:rsid w:val="0019336A"/>
    <w:rsid w:val="001A52F5"/>
    <w:rsid w:val="001B0AB2"/>
    <w:rsid w:val="001B2CF7"/>
    <w:rsid w:val="001C1218"/>
    <w:rsid w:val="001C716D"/>
    <w:rsid w:val="001D0160"/>
    <w:rsid w:val="001D17FE"/>
    <w:rsid w:val="001E1B5B"/>
    <w:rsid w:val="001E4800"/>
    <w:rsid w:val="001E6C05"/>
    <w:rsid w:val="001F12B0"/>
    <w:rsid w:val="001F5B6A"/>
    <w:rsid w:val="00201E63"/>
    <w:rsid w:val="0021117A"/>
    <w:rsid w:val="00211E60"/>
    <w:rsid w:val="00215D79"/>
    <w:rsid w:val="00220534"/>
    <w:rsid w:val="002216FF"/>
    <w:rsid w:val="00222FA0"/>
    <w:rsid w:val="00223B71"/>
    <w:rsid w:val="00225636"/>
    <w:rsid w:val="002325A4"/>
    <w:rsid w:val="0023692B"/>
    <w:rsid w:val="002378BE"/>
    <w:rsid w:val="002463F9"/>
    <w:rsid w:val="00247EAA"/>
    <w:rsid w:val="002563A6"/>
    <w:rsid w:val="002567C4"/>
    <w:rsid w:val="0026032B"/>
    <w:rsid w:val="00262CF9"/>
    <w:rsid w:val="00264D9F"/>
    <w:rsid w:val="00275A31"/>
    <w:rsid w:val="00277369"/>
    <w:rsid w:val="00277D71"/>
    <w:rsid w:val="00285139"/>
    <w:rsid w:val="00286E24"/>
    <w:rsid w:val="002904F6"/>
    <w:rsid w:val="00292583"/>
    <w:rsid w:val="0029313E"/>
    <w:rsid w:val="0029369B"/>
    <w:rsid w:val="002938D1"/>
    <w:rsid w:val="0029410C"/>
    <w:rsid w:val="00296DA2"/>
    <w:rsid w:val="002A019C"/>
    <w:rsid w:val="002A0E8F"/>
    <w:rsid w:val="002A54D3"/>
    <w:rsid w:val="002B18EE"/>
    <w:rsid w:val="002B5F5B"/>
    <w:rsid w:val="002B6319"/>
    <w:rsid w:val="002C10C0"/>
    <w:rsid w:val="002C2C0B"/>
    <w:rsid w:val="002C3F2F"/>
    <w:rsid w:val="002C42E5"/>
    <w:rsid w:val="002C7AE1"/>
    <w:rsid w:val="002C7CA2"/>
    <w:rsid w:val="002D017C"/>
    <w:rsid w:val="002D3AD1"/>
    <w:rsid w:val="002D4D94"/>
    <w:rsid w:val="002E47A2"/>
    <w:rsid w:val="002E4CC3"/>
    <w:rsid w:val="002E7378"/>
    <w:rsid w:val="002E7863"/>
    <w:rsid w:val="002F2594"/>
    <w:rsid w:val="002F33F3"/>
    <w:rsid w:val="002F595D"/>
    <w:rsid w:val="0030305D"/>
    <w:rsid w:val="00304326"/>
    <w:rsid w:val="003118D8"/>
    <w:rsid w:val="00312F1E"/>
    <w:rsid w:val="003139AB"/>
    <w:rsid w:val="00313A0B"/>
    <w:rsid w:val="003142FE"/>
    <w:rsid w:val="00320076"/>
    <w:rsid w:val="00320110"/>
    <w:rsid w:val="00323F52"/>
    <w:rsid w:val="0032507F"/>
    <w:rsid w:val="003252F3"/>
    <w:rsid w:val="00326E4A"/>
    <w:rsid w:val="00327381"/>
    <w:rsid w:val="003318FF"/>
    <w:rsid w:val="00332439"/>
    <w:rsid w:val="00333E17"/>
    <w:rsid w:val="00334C5C"/>
    <w:rsid w:val="00335F95"/>
    <w:rsid w:val="00336675"/>
    <w:rsid w:val="00336D74"/>
    <w:rsid w:val="003374A0"/>
    <w:rsid w:val="003433F7"/>
    <w:rsid w:val="003439DD"/>
    <w:rsid w:val="00344CCC"/>
    <w:rsid w:val="003478BF"/>
    <w:rsid w:val="00351443"/>
    <w:rsid w:val="003514AA"/>
    <w:rsid w:val="00351892"/>
    <w:rsid w:val="00355043"/>
    <w:rsid w:val="00355A67"/>
    <w:rsid w:val="00356CD8"/>
    <w:rsid w:val="00357799"/>
    <w:rsid w:val="00361503"/>
    <w:rsid w:val="00361944"/>
    <w:rsid w:val="003621D7"/>
    <w:rsid w:val="00363A66"/>
    <w:rsid w:val="0037197D"/>
    <w:rsid w:val="0038005A"/>
    <w:rsid w:val="00380E9C"/>
    <w:rsid w:val="003837E1"/>
    <w:rsid w:val="0038745C"/>
    <w:rsid w:val="00390207"/>
    <w:rsid w:val="00390D78"/>
    <w:rsid w:val="003911AE"/>
    <w:rsid w:val="00391553"/>
    <w:rsid w:val="00392E70"/>
    <w:rsid w:val="0039483B"/>
    <w:rsid w:val="00397D42"/>
    <w:rsid w:val="003A091A"/>
    <w:rsid w:val="003A30E9"/>
    <w:rsid w:val="003A6929"/>
    <w:rsid w:val="003B0AD3"/>
    <w:rsid w:val="003B33F9"/>
    <w:rsid w:val="003B7587"/>
    <w:rsid w:val="003D00EB"/>
    <w:rsid w:val="003D2191"/>
    <w:rsid w:val="003D3866"/>
    <w:rsid w:val="003D437B"/>
    <w:rsid w:val="003D497D"/>
    <w:rsid w:val="003D5DCB"/>
    <w:rsid w:val="003D7D38"/>
    <w:rsid w:val="003E3A7F"/>
    <w:rsid w:val="003E537B"/>
    <w:rsid w:val="003E68B0"/>
    <w:rsid w:val="003E77D5"/>
    <w:rsid w:val="003E7EDD"/>
    <w:rsid w:val="003F041E"/>
    <w:rsid w:val="003F1053"/>
    <w:rsid w:val="003F4126"/>
    <w:rsid w:val="003F57B2"/>
    <w:rsid w:val="003F738E"/>
    <w:rsid w:val="00404E32"/>
    <w:rsid w:val="00405CA1"/>
    <w:rsid w:val="0040746A"/>
    <w:rsid w:val="00410535"/>
    <w:rsid w:val="00411077"/>
    <w:rsid w:val="004134A0"/>
    <w:rsid w:val="00414696"/>
    <w:rsid w:val="004148FE"/>
    <w:rsid w:val="00416141"/>
    <w:rsid w:val="00420436"/>
    <w:rsid w:val="004207F6"/>
    <w:rsid w:val="004212DE"/>
    <w:rsid w:val="00421C5F"/>
    <w:rsid w:val="0042393B"/>
    <w:rsid w:val="004244DB"/>
    <w:rsid w:val="00431C78"/>
    <w:rsid w:val="00432E63"/>
    <w:rsid w:val="00434AB2"/>
    <w:rsid w:val="00434F7C"/>
    <w:rsid w:val="004358BA"/>
    <w:rsid w:val="00436DD2"/>
    <w:rsid w:val="004501D1"/>
    <w:rsid w:val="00452C4D"/>
    <w:rsid w:val="004576F7"/>
    <w:rsid w:val="0046318C"/>
    <w:rsid w:val="00463F32"/>
    <w:rsid w:val="0046578D"/>
    <w:rsid w:val="00466B53"/>
    <w:rsid w:val="00470545"/>
    <w:rsid w:val="00470B11"/>
    <w:rsid w:val="00471EF3"/>
    <w:rsid w:val="00473D1C"/>
    <w:rsid w:val="0047500E"/>
    <w:rsid w:val="004763ED"/>
    <w:rsid w:val="004804F9"/>
    <w:rsid w:val="00480668"/>
    <w:rsid w:val="0048085E"/>
    <w:rsid w:val="004820BC"/>
    <w:rsid w:val="004918AF"/>
    <w:rsid w:val="00492495"/>
    <w:rsid w:val="00492A93"/>
    <w:rsid w:val="004A0DA5"/>
    <w:rsid w:val="004A2FF7"/>
    <w:rsid w:val="004A5990"/>
    <w:rsid w:val="004A5F6F"/>
    <w:rsid w:val="004B1508"/>
    <w:rsid w:val="004B4AE6"/>
    <w:rsid w:val="004C0B26"/>
    <w:rsid w:val="004C300E"/>
    <w:rsid w:val="004C3877"/>
    <w:rsid w:val="004C74A9"/>
    <w:rsid w:val="004C79C2"/>
    <w:rsid w:val="004D229D"/>
    <w:rsid w:val="004D7E6D"/>
    <w:rsid w:val="004E2487"/>
    <w:rsid w:val="004E249D"/>
    <w:rsid w:val="004E3A06"/>
    <w:rsid w:val="004E6045"/>
    <w:rsid w:val="004F2269"/>
    <w:rsid w:val="004F2DDB"/>
    <w:rsid w:val="004F56BC"/>
    <w:rsid w:val="0050285B"/>
    <w:rsid w:val="00504157"/>
    <w:rsid w:val="005053F2"/>
    <w:rsid w:val="005075F5"/>
    <w:rsid w:val="0050790A"/>
    <w:rsid w:val="005102BD"/>
    <w:rsid w:val="00512862"/>
    <w:rsid w:val="00515C38"/>
    <w:rsid w:val="0052255A"/>
    <w:rsid w:val="005238FE"/>
    <w:rsid w:val="005243ED"/>
    <w:rsid w:val="005249AC"/>
    <w:rsid w:val="00527C66"/>
    <w:rsid w:val="005309EA"/>
    <w:rsid w:val="00535F01"/>
    <w:rsid w:val="005429E4"/>
    <w:rsid w:val="0054611F"/>
    <w:rsid w:val="005529A0"/>
    <w:rsid w:val="00555CE1"/>
    <w:rsid w:val="00560DC9"/>
    <w:rsid w:val="00562CC3"/>
    <w:rsid w:val="00563E74"/>
    <w:rsid w:val="0056578E"/>
    <w:rsid w:val="00571F9C"/>
    <w:rsid w:val="005743A4"/>
    <w:rsid w:val="00574CB6"/>
    <w:rsid w:val="005766EE"/>
    <w:rsid w:val="005941B6"/>
    <w:rsid w:val="005A24BC"/>
    <w:rsid w:val="005A2A63"/>
    <w:rsid w:val="005A3F97"/>
    <w:rsid w:val="005A5BE5"/>
    <w:rsid w:val="005B002F"/>
    <w:rsid w:val="005B43E4"/>
    <w:rsid w:val="005B508A"/>
    <w:rsid w:val="005B5CC8"/>
    <w:rsid w:val="005B68C5"/>
    <w:rsid w:val="005B74B4"/>
    <w:rsid w:val="005C42A9"/>
    <w:rsid w:val="005C5C1B"/>
    <w:rsid w:val="005C775D"/>
    <w:rsid w:val="005D291A"/>
    <w:rsid w:val="005D29BD"/>
    <w:rsid w:val="005D7300"/>
    <w:rsid w:val="005E0B15"/>
    <w:rsid w:val="005E4FA0"/>
    <w:rsid w:val="005E6149"/>
    <w:rsid w:val="005E6D27"/>
    <w:rsid w:val="005F15C8"/>
    <w:rsid w:val="005F16B1"/>
    <w:rsid w:val="005F3D70"/>
    <w:rsid w:val="005F634A"/>
    <w:rsid w:val="00601033"/>
    <w:rsid w:val="00602FDD"/>
    <w:rsid w:val="00606475"/>
    <w:rsid w:val="00611A5C"/>
    <w:rsid w:val="00613B48"/>
    <w:rsid w:val="006177C4"/>
    <w:rsid w:val="006235E8"/>
    <w:rsid w:val="00624507"/>
    <w:rsid w:val="006311AD"/>
    <w:rsid w:val="0063304F"/>
    <w:rsid w:val="006336C2"/>
    <w:rsid w:val="00634D3C"/>
    <w:rsid w:val="00636D6D"/>
    <w:rsid w:val="00640CB8"/>
    <w:rsid w:val="00641940"/>
    <w:rsid w:val="006426B4"/>
    <w:rsid w:val="0064361E"/>
    <w:rsid w:val="00643B27"/>
    <w:rsid w:val="00643E20"/>
    <w:rsid w:val="0064439E"/>
    <w:rsid w:val="00647857"/>
    <w:rsid w:val="00647F6A"/>
    <w:rsid w:val="00651FC7"/>
    <w:rsid w:val="006562C6"/>
    <w:rsid w:val="006600C1"/>
    <w:rsid w:val="0066247D"/>
    <w:rsid w:val="006631C3"/>
    <w:rsid w:val="00663914"/>
    <w:rsid w:val="0066583E"/>
    <w:rsid w:val="00665C33"/>
    <w:rsid w:val="00673A4A"/>
    <w:rsid w:val="00674C44"/>
    <w:rsid w:val="0067644E"/>
    <w:rsid w:val="00677B28"/>
    <w:rsid w:val="0068068B"/>
    <w:rsid w:val="0069256F"/>
    <w:rsid w:val="00694D03"/>
    <w:rsid w:val="006A1A00"/>
    <w:rsid w:val="006A3EA5"/>
    <w:rsid w:val="006A6315"/>
    <w:rsid w:val="006B07D1"/>
    <w:rsid w:val="006B3828"/>
    <w:rsid w:val="006B562A"/>
    <w:rsid w:val="006B79F4"/>
    <w:rsid w:val="006C5146"/>
    <w:rsid w:val="006D1D2A"/>
    <w:rsid w:val="006D5BC5"/>
    <w:rsid w:val="006E136A"/>
    <w:rsid w:val="006E508D"/>
    <w:rsid w:val="006F09D1"/>
    <w:rsid w:val="006F4172"/>
    <w:rsid w:val="006F6D84"/>
    <w:rsid w:val="00700C5F"/>
    <w:rsid w:val="00702FB9"/>
    <w:rsid w:val="00702FBA"/>
    <w:rsid w:val="0070328A"/>
    <w:rsid w:val="00703850"/>
    <w:rsid w:val="00712D89"/>
    <w:rsid w:val="007177B2"/>
    <w:rsid w:val="007217CE"/>
    <w:rsid w:val="00721E9B"/>
    <w:rsid w:val="00722174"/>
    <w:rsid w:val="007250B3"/>
    <w:rsid w:val="00727036"/>
    <w:rsid w:val="00730428"/>
    <w:rsid w:val="00735AFD"/>
    <w:rsid w:val="00742F78"/>
    <w:rsid w:val="0074307A"/>
    <w:rsid w:val="00745DCB"/>
    <w:rsid w:val="007461F9"/>
    <w:rsid w:val="00747A86"/>
    <w:rsid w:val="00753FC5"/>
    <w:rsid w:val="00760062"/>
    <w:rsid w:val="007642E8"/>
    <w:rsid w:val="007643B5"/>
    <w:rsid w:val="00771883"/>
    <w:rsid w:val="00773421"/>
    <w:rsid w:val="00776798"/>
    <w:rsid w:val="007770E8"/>
    <w:rsid w:val="00782919"/>
    <w:rsid w:val="00782E70"/>
    <w:rsid w:val="00784D57"/>
    <w:rsid w:val="00785C7D"/>
    <w:rsid w:val="007878E5"/>
    <w:rsid w:val="007923F9"/>
    <w:rsid w:val="0079246A"/>
    <w:rsid w:val="00795879"/>
    <w:rsid w:val="00796D8D"/>
    <w:rsid w:val="007A10DA"/>
    <w:rsid w:val="007A2E45"/>
    <w:rsid w:val="007B0051"/>
    <w:rsid w:val="007B180F"/>
    <w:rsid w:val="007B1AFD"/>
    <w:rsid w:val="007B2232"/>
    <w:rsid w:val="007B2F27"/>
    <w:rsid w:val="007B7E80"/>
    <w:rsid w:val="007C0707"/>
    <w:rsid w:val="007C105A"/>
    <w:rsid w:val="007C4A61"/>
    <w:rsid w:val="007C4D78"/>
    <w:rsid w:val="007C6B92"/>
    <w:rsid w:val="007D0641"/>
    <w:rsid w:val="007D565B"/>
    <w:rsid w:val="007E060A"/>
    <w:rsid w:val="007E0C4A"/>
    <w:rsid w:val="007E1012"/>
    <w:rsid w:val="007E323D"/>
    <w:rsid w:val="007E4E7D"/>
    <w:rsid w:val="007E69FF"/>
    <w:rsid w:val="007E776A"/>
    <w:rsid w:val="007F226C"/>
    <w:rsid w:val="007F2E7D"/>
    <w:rsid w:val="007F2FEF"/>
    <w:rsid w:val="007F5F9C"/>
    <w:rsid w:val="00800C02"/>
    <w:rsid w:val="008023DD"/>
    <w:rsid w:val="008047BB"/>
    <w:rsid w:val="00804EB0"/>
    <w:rsid w:val="00804F7D"/>
    <w:rsid w:val="00806816"/>
    <w:rsid w:val="008113C9"/>
    <w:rsid w:val="00814C54"/>
    <w:rsid w:val="00814EB0"/>
    <w:rsid w:val="00820671"/>
    <w:rsid w:val="00820F87"/>
    <w:rsid w:val="0082261F"/>
    <w:rsid w:val="00825669"/>
    <w:rsid w:val="00826D53"/>
    <w:rsid w:val="00827CE6"/>
    <w:rsid w:val="00831B44"/>
    <w:rsid w:val="00833441"/>
    <w:rsid w:val="00833B88"/>
    <w:rsid w:val="00841C19"/>
    <w:rsid w:val="00842813"/>
    <w:rsid w:val="00842B21"/>
    <w:rsid w:val="00844D59"/>
    <w:rsid w:val="00850B9E"/>
    <w:rsid w:val="00851DAF"/>
    <w:rsid w:val="00851EBC"/>
    <w:rsid w:val="00854351"/>
    <w:rsid w:val="00855460"/>
    <w:rsid w:val="0085666F"/>
    <w:rsid w:val="00856D4A"/>
    <w:rsid w:val="00857E29"/>
    <w:rsid w:val="00860A02"/>
    <w:rsid w:val="00861438"/>
    <w:rsid w:val="00863C9B"/>
    <w:rsid w:val="00864618"/>
    <w:rsid w:val="00865E57"/>
    <w:rsid w:val="00866210"/>
    <w:rsid w:val="00874329"/>
    <w:rsid w:val="0087454B"/>
    <w:rsid w:val="00874CEA"/>
    <w:rsid w:val="00876F54"/>
    <w:rsid w:val="00881A70"/>
    <w:rsid w:val="00883D2E"/>
    <w:rsid w:val="008870AF"/>
    <w:rsid w:val="0088725F"/>
    <w:rsid w:val="00890098"/>
    <w:rsid w:val="00897053"/>
    <w:rsid w:val="0089784E"/>
    <w:rsid w:val="008A19DB"/>
    <w:rsid w:val="008A1DE5"/>
    <w:rsid w:val="008A28A0"/>
    <w:rsid w:val="008A5573"/>
    <w:rsid w:val="008A781B"/>
    <w:rsid w:val="008B3E23"/>
    <w:rsid w:val="008B509B"/>
    <w:rsid w:val="008B7064"/>
    <w:rsid w:val="008C198B"/>
    <w:rsid w:val="008C255B"/>
    <w:rsid w:val="008C2E1B"/>
    <w:rsid w:val="008C5206"/>
    <w:rsid w:val="008C7143"/>
    <w:rsid w:val="008D3A20"/>
    <w:rsid w:val="008D424E"/>
    <w:rsid w:val="008D61E6"/>
    <w:rsid w:val="008E0306"/>
    <w:rsid w:val="008E0879"/>
    <w:rsid w:val="008E330F"/>
    <w:rsid w:val="008E46D3"/>
    <w:rsid w:val="008E542A"/>
    <w:rsid w:val="008E55ED"/>
    <w:rsid w:val="008F15C5"/>
    <w:rsid w:val="008F1B6E"/>
    <w:rsid w:val="008F267B"/>
    <w:rsid w:val="0090063D"/>
    <w:rsid w:val="00901C81"/>
    <w:rsid w:val="00904391"/>
    <w:rsid w:val="009064CD"/>
    <w:rsid w:val="00910862"/>
    <w:rsid w:val="009126EF"/>
    <w:rsid w:val="0091382E"/>
    <w:rsid w:val="00913CCE"/>
    <w:rsid w:val="00913DDD"/>
    <w:rsid w:val="009161C7"/>
    <w:rsid w:val="009179AF"/>
    <w:rsid w:val="00920B09"/>
    <w:rsid w:val="009317F9"/>
    <w:rsid w:val="009321E5"/>
    <w:rsid w:val="00933F81"/>
    <w:rsid w:val="009417D2"/>
    <w:rsid w:val="00946978"/>
    <w:rsid w:val="00947637"/>
    <w:rsid w:val="00952F90"/>
    <w:rsid w:val="00956C4D"/>
    <w:rsid w:val="00956E55"/>
    <w:rsid w:val="00962EE2"/>
    <w:rsid w:val="0096377C"/>
    <w:rsid w:val="00964044"/>
    <w:rsid w:val="00966595"/>
    <w:rsid w:val="00970950"/>
    <w:rsid w:val="00972334"/>
    <w:rsid w:val="00977FC2"/>
    <w:rsid w:val="0098574D"/>
    <w:rsid w:val="00985CC9"/>
    <w:rsid w:val="00990C61"/>
    <w:rsid w:val="009910D1"/>
    <w:rsid w:val="009924F8"/>
    <w:rsid w:val="0099324A"/>
    <w:rsid w:val="0099542D"/>
    <w:rsid w:val="00995F9A"/>
    <w:rsid w:val="009A0F10"/>
    <w:rsid w:val="009A3533"/>
    <w:rsid w:val="009A38F8"/>
    <w:rsid w:val="009A60A4"/>
    <w:rsid w:val="009A6CD8"/>
    <w:rsid w:val="009B20F5"/>
    <w:rsid w:val="009B525C"/>
    <w:rsid w:val="009B635B"/>
    <w:rsid w:val="009B6376"/>
    <w:rsid w:val="009B73A3"/>
    <w:rsid w:val="009C5227"/>
    <w:rsid w:val="009C7311"/>
    <w:rsid w:val="009C7B16"/>
    <w:rsid w:val="009D0DB2"/>
    <w:rsid w:val="009D3B63"/>
    <w:rsid w:val="009D5529"/>
    <w:rsid w:val="009D71A1"/>
    <w:rsid w:val="009D735C"/>
    <w:rsid w:val="009E59FD"/>
    <w:rsid w:val="009E6A88"/>
    <w:rsid w:val="009E6ED7"/>
    <w:rsid w:val="009E761A"/>
    <w:rsid w:val="009F4F89"/>
    <w:rsid w:val="009F6C4B"/>
    <w:rsid w:val="009F6C7B"/>
    <w:rsid w:val="00A01BBF"/>
    <w:rsid w:val="00A029BA"/>
    <w:rsid w:val="00A049C1"/>
    <w:rsid w:val="00A0730E"/>
    <w:rsid w:val="00A142A0"/>
    <w:rsid w:val="00A15CE8"/>
    <w:rsid w:val="00A160D2"/>
    <w:rsid w:val="00A16ACC"/>
    <w:rsid w:val="00A178B3"/>
    <w:rsid w:val="00A2031D"/>
    <w:rsid w:val="00A22DA7"/>
    <w:rsid w:val="00A23F76"/>
    <w:rsid w:val="00A27173"/>
    <w:rsid w:val="00A275D5"/>
    <w:rsid w:val="00A279EC"/>
    <w:rsid w:val="00A27B40"/>
    <w:rsid w:val="00A31B32"/>
    <w:rsid w:val="00A36165"/>
    <w:rsid w:val="00A374A3"/>
    <w:rsid w:val="00A40BFB"/>
    <w:rsid w:val="00A40C7B"/>
    <w:rsid w:val="00A410B6"/>
    <w:rsid w:val="00A42CEA"/>
    <w:rsid w:val="00A45ABC"/>
    <w:rsid w:val="00A46D1F"/>
    <w:rsid w:val="00A560F5"/>
    <w:rsid w:val="00A57314"/>
    <w:rsid w:val="00A6160B"/>
    <w:rsid w:val="00A61F64"/>
    <w:rsid w:val="00A63836"/>
    <w:rsid w:val="00A6414E"/>
    <w:rsid w:val="00A66657"/>
    <w:rsid w:val="00A67F53"/>
    <w:rsid w:val="00A70CA6"/>
    <w:rsid w:val="00A7163E"/>
    <w:rsid w:val="00A71EEC"/>
    <w:rsid w:val="00A7209C"/>
    <w:rsid w:val="00A73CD2"/>
    <w:rsid w:val="00A775E0"/>
    <w:rsid w:val="00A8188B"/>
    <w:rsid w:val="00A81DD3"/>
    <w:rsid w:val="00A8565C"/>
    <w:rsid w:val="00A86A96"/>
    <w:rsid w:val="00A87F5C"/>
    <w:rsid w:val="00A921F2"/>
    <w:rsid w:val="00A9272B"/>
    <w:rsid w:val="00A93577"/>
    <w:rsid w:val="00A9579E"/>
    <w:rsid w:val="00A95F7D"/>
    <w:rsid w:val="00A96BF3"/>
    <w:rsid w:val="00A97663"/>
    <w:rsid w:val="00A97D3F"/>
    <w:rsid w:val="00AA0DF5"/>
    <w:rsid w:val="00AA159E"/>
    <w:rsid w:val="00AB0B96"/>
    <w:rsid w:val="00AB3A07"/>
    <w:rsid w:val="00AB5EDD"/>
    <w:rsid w:val="00AB6004"/>
    <w:rsid w:val="00AC1F0F"/>
    <w:rsid w:val="00AC239A"/>
    <w:rsid w:val="00AC2536"/>
    <w:rsid w:val="00AC6B0A"/>
    <w:rsid w:val="00AC75D6"/>
    <w:rsid w:val="00AD6D12"/>
    <w:rsid w:val="00AE1CDB"/>
    <w:rsid w:val="00AE2C5F"/>
    <w:rsid w:val="00AE3F62"/>
    <w:rsid w:val="00AE4D21"/>
    <w:rsid w:val="00AE62B0"/>
    <w:rsid w:val="00AF5800"/>
    <w:rsid w:val="00AF5CCC"/>
    <w:rsid w:val="00AF6F18"/>
    <w:rsid w:val="00AF773C"/>
    <w:rsid w:val="00AF7E67"/>
    <w:rsid w:val="00B02253"/>
    <w:rsid w:val="00B02935"/>
    <w:rsid w:val="00B02DF4"/>
    <w:rsid w:val="00B0481C"/>
    <w:rsid w:val="00B06827"/>
    <w:rsid w:val="00B11200"/>
    <w:rsid w:val="00B1169B"/>
    <w:rsid w:val="00B14800"/>
    <w:rsid w:val="00B26026"/>
    <w:rsid w:val="00B26054"/>
    <w:rsid w:val="00B27198"/>
    <w:rsid w:val="00B30546"/>
    <w:rsid w:val="00B319FA"/>
    <w:rsid w:val="00B327F4"/>
    <w:rsid w:val="00B34371"/>
    <w:rsid w:val="00B372A6"/>
    <w:rsid w:val="00B375C6"/>
    <w:rsid w:val="00B40C8B"/>
    <w:rsid w:val="00B42366"/>
    <w:rsid w:val="00B515E8"/>
    <w:rsid w:val="00B52812"/>
    <w:rsid w:val="00B55395"/>
    <w:rsid w:val="00B55892"/>
    <w:rsid w:val="00B605E6"/>
    <w:rsid w:val="00B648FC"/>
    <w:rsid w:val="00B650A3"/>
    <w:rsid w:val="00B67446"/>
    <w:rsid w:val="00B70CF9"/>
    <w:rsid w:val="00B74A32"/>
    <w:rsid w:val="00B76D38"/>
    <w:rsid w:val="00B868D7"/>
    <w:rsid w:val="00B877C2"/>
    <w:rsid w:val="00B93397"/>
    <w:rsid w:val="00B94000"/>
    <w:rsid w:val="00BA311A"/>
    <w:rsid w:val="00BA5917"/>
    <w:rsid w:val="00BA74FC"/>
    <w:rsid w:val="00BB3816"/>
    <w:rsid w:val="00BB3951"/>
    <w:rsid w:val="00BB56D6"/>
    <w:rsid w:val="00BB7375"/>
    <w:rsid w:val="00BC1270"/>
    <w:rsid w:val="00BC1E2A"/>
    <w:rsid w:val="00BC5298"/>
    <w:rsid w:val="00BC682F"/>
    <w:rsid w:val="00BD0FE0"/>
    <w:rsid w:val="00BE1B69"/>
    <w:rsid w:val="00BE3647"/>
    <w:rsid w:val="00BE7198"/>
    <w:rsid w:val="00BF12E0"/>
    <w:rsid w:val="00BF2913"/>
    <w:rsid w:val="00BF4A25"/>
    <w:rsid w:val="00BF6DEB"/>
    <w:rsid w:val="00BF6EBD"/>
    <w:rsid w:val="00C004AC"/>
    <w:rsid w:val="00C065E7"/>
    <w:rsid w:val="00C076F4"/>
    <w:rsid w:val="00C07B67"/>
    <w:rsid w:val="00C10CC9"/>
    <w:rsid w:val="00C10F21"/>
    <w:rsid w:val="00C119C6"/>
    <w:rsid w:val="00C21BD4"/>
    <w:rsid w:val="00C21F97"/>
    <w:rsid w:val="00C22E7D"/>
    <w:rsid w:val="00C24744"/>
    <w:rsid w:val="00C308AE"/>
    <w:rsid w:val="00C33133"/>
    <w:rsid w:val="00C34EAC"/>
    <w:rsid w:val="00C35E65"/>
    <w:rsid w:val="00C371F2"/>
    <w:rsid w:val="00C407ED"/>
    <w:rsid w:val="00C4159C"/>
    <w:rsid w:val="00C42EBF"/>
    <w:rsid w:val="00C45538"/>
    <w:rsid w:val="00C5061B"/>
    <w:rsid w:val="00C52968"/>
    <w:rsid w:val="00C53C06"/>
    <w:rsid w:val="00C56D6B"/>
    <w:rsid w:val="00C65A04"/>
    <w:rsid w:val="00C6601C"/>
    <w:rsid w:val="00C70865"/>
    <w:rsid w:val="00C754D3"/>
    <w:rsid w:val="00C757AD"/>
    <w:rsid w:val="00C76EB1"/>
    <w:rsid w:val="00C8048E"/>
    <w:rsid w:val="00C80711"/>
    <w:rsid w:val="00C81CD9"/>
    <w:rsid w:val="00C844C5"/>
    <w:rsid w:val="00C8552B"/>
    <w:rsid w:val="00C85DBC"/>
    <w:rsid w:val="00C87324"/>
    <w:rsid w:val="00C921EE"/>
    <w:rsid w:val="00C94047"/>
    <w:rsid w:val="00C94C4F"/>
    <w:rsid w:val="00C97790"/>
    <w:rsid w:val="00CA05ED"/>
    <w:rsid w:val="00CA19F6"/>
    <w:rsid w:val="00CA2885"/>
    <w:rsid w:val="00CA3483"/>
    <w:rsid w:val="00CA6254"/>
    <w:rsid w:val="00CB442D"/>
    <w:rsid w:val="00CB788D"/>
    <w:rsid w:val="00CC01AD"/>
    <w:rsid w:val="00CC5A59"/>
    <w:rsid w:val="00CD4FFF"/>
    <w:rsid w:val="00CE4420"/>
    <w:rsid w:val="00CE7563"/>
    <w:rsid w:val="00CF2416"/>
    <w:rsid w:val="00CF51EE"/>
    <w:rsid w:val="00CF6EE8"/>
    <w:rsid w:val="00CF7241"/>
    <w:rsid w:val="00CF7B5C"/>
    <w:rsid w:val="00D01CF8"/>
    <w:rsid w:val="00D02670"/>
    <w:rsid w:val="00D0380F"/>
    <w:rsid w:val="00D07027"/>
    <w:rsid w:val="00D14304"/>
    <w:rsid w:val="00D15FEF"/>
    <w:rsid w:val="00D16D88"/>
    <w:rsid w:val="00D1752F"/>
    <w:rsid w:val="00D24998"/>
    <w:rsid w:val="00D24D6E"/>
    <w:rsid w:val="00D25EAA"/>
    <w:rsid w:val="00D27591"/>
    <w:rsid w:val="00D31AB8"/>
    <w:rsid w:val="00D31F6D"/>
    <w:rsid w:val="00D373EA"/>
    <w:rsid w:val="00D41AD1"/>
    <w:rsid w:val="00D43B14"/>
    <w:rsid w:val="00D44021"/>
    <w:rsid w:val="00D452D2"/>
    <w:rsid w:val="00D45D93"/>
    <w:rsid w:val="00D468F9"/>
    <w:rsid w:val="00D47542"/>
    <w:rsid w:val="00D4771F"/>
    <w:rsid w:val="00D47DA8"/>
    <w:rsid w:val="00D51FF7"/>
    <w:rsid w:val="00D542E8"/>
    <w:rsid w:val="00D57063"/>
    <w:rsid w:val="00D57AEC"/>
    <w:rsid w:val="00D57E3D"/>
    <w:rsid w:val="00D62AC2"/>
    <w:rsid w:val="00D636ED"/>
    <w:rsid w:val="00D63911"/>
    <w:rsid w:val="00D65602"/>
    <w:rsid w:val="00D65A87"/>
    <w:rsid w:val="00D65FE2"/>
    <w:rsid w:val="00D70F2E"/>
    <w:rsid w:val="00D719B8"/>
    <w:rsid w:val="00D730D4"/>
    <w:rsid w:val="00D7364D"/>
    <w:rsid w:val="00D73D1A"/>
    <w:rsid w:val="00D75CC2"/>
    <w:rsid w:val="00D80C60"/>
    <w:rsid w:val="00D878A0"/>
    <w:rsid w:val="00D87D01"/>
    <w:rsid w:val="00D9048C"/>
    <w:rsid w:val="00D918CD"/>
    <w:rsid w:val="00D91C14"/>
    <w:rsid w:val="00DA2E54"/>
    <w:rsid w:val="00DA3B26"/>
    <w:rsid w:val="00DA796C"/>
    <w:rsid w:val="00DA7983"/>
    <w:rsid w:val="00DB3919"/>
    <w:rsid w:val="00DB3B70"/>
    <w:rsid w:val="00DB7237"/>
    <w:rsid w:val="00DB724E"/>
    <w:rsid w:val="00DC0704"/>
    <w:rsid w:val="00DC27EE"/>
    <w:rsid w:val="00DC281E"/>
    <w:rsid w:val="00DC2D1E"/>
    <w:rsid w:val="00DC3162"/>
    <w:rsid w:val="00DC5F23"/>
    <w:rsid w:val="00DD060B"/>
    <w:rsid w:val="00DD1FFE"/>
    <w:rsid w:val="00DD725F"/>
    <w:rsid w:val="00DD762F"/>
    <w:rsid w:val="00DE1075"/>
    <w:rsid w:val="00DE21BA"/>
    <w:rsid w:val="00DE2D8F"/>
    <w:rsid w:val="00DE5AAB"/>
    <w:rsid w:val="00DE5ABD"/>
    <w:rsid w:val="00DE63EB"/>
    <w:rsid w:val="00DE6416"/>
    <w:rsid w:val="00DE662B"/>
    <w:rsid w:val="00DF1901"/>
    <w:rsid w:val="00DF3B96"/>
    <w:rsid w:val="00DF6607"/>
    <w:rsid w:val="00E023D4"/>
    <w:rsid w:val="00E02D7D"/>
    <w:rsid w:val="00E03E33"/>
    <w:rsid w:val="00E051B8"/>
    <w:rsid w:val="00E1205E"/>
    <w:rsid w:val="00E12857"/>
    <w:rsid w:val="00E1686D"/>
    <w:rsid w:val="00E17770"/>
    <w:rsid w:val="00E20266"/>
    <w:rsid w:val="00E2601A"/>
    <w:rsid w:val="00E31CED"/>
    <w:rsid w:val="00E34771"/>
    <w:rsid w:val="00E368DB"/>
    <w:rsid w:val="00E42377"/>
    <w:rsid w:val="00E42F21"/>
    <w:rsid w:val="00E444AD"/>
    <w:rsid w:val="00E52384"/>
    <w:rsid w:val="00E55733"/>
    <w:rsid w:val="00E57295"/>
    <w:rsid w:val="00E576E5"/>
    <w:rsid w:val="00E606E5"/>
    <w:rsid w:val="00E626EF"/>
    <w:rsid w:val="00E663E4"/>
    <w:rsid w:val="00E665C4"/>
    <w:rsid w:val="00E66E13"/>
    <w:rsid w:val="00E7139A"/>
    <w:rsid w:val="00E71E1F"/>
    <w:rsid w:val="00E75886"/>
    <w:rsid w:val="00E829F0"/>
    <w:rsid w:val="00E84902"/>
    <w:rsid w:val="00E8543D"/>
    <w:rsid w:val="00E8576F"/>
    <w:rsid w:val="00E92FF1"/>
    <w:rsid w:val="00E9418C"/>
    <w:rsid w:val="00E95631"/>
    <w:rsid w:val="00E95F0D"/>
    <w:rsid w:val="00E95F95"/>
    <w:rsid w:val="00E96BF8"/>
    <w:rsid w:val="00E97045"/>
    <w:rsid w:val="00EA003E"/>
    <w:rsid w:val="00EA13A9"/>
    <w:rsid w:val="00EA2EF3"/>
    <w:rsid w:val="00EA6383"/>
    <w:rsid w:val="00EA6B72"/>
    <w:rsid w:val="00EA784B"/>
    <w:rsid w:val="00EC0180"/>
    <w:rsid w:val="00EC13B5"/>
    <w:rsid w:val="00EC153C"/>
    <w:rsid w:val="00EC2F5F"/>
    <w:rsid w:val="00EC5566"/>
    <w:rsid w:val="00ED2D89"/>
    <w:rsid w:val="00ED4C27"/>
    <w:rsid w:val="00ED51C7"/>
    <w:rsid w:val="00EE01E1"/>
    <w:rsid w:val="00EE4684"/>
    <w:rsid w:val="00EE6588"/>
    <w:rsid w:val="00EF20B7"/>
    <w:rsid w:val="00EF3757"/>
    <w:rsid w:val="00EF6CAA"/>
    <w:rsid w:val="00F00015"/>
    <w:rsid w:val="00F0117E"/>
    <w:rsid w:val="00F04813"/>
    <w:rsid w:val="00F10D7D"/>
    <w:rsid w:val="00F10EE0"/>
    <w:rsid w:val="00F114FC"/>
    <w:rsid w:val="00F12682"/>
    <w:rsid w:val="00F1735A"/>
    <w:rsid w:val="00F17980"/>
    <w:rsid w:val="00F20802"/>
    <w:rsid w:val="00F2085B"/>
    <w:rsid w:val="00F21237"/>
    <w:rsid w:val="00F2257C"/>
    <w:rsid w:val="00F23D5A"/>
    <w:rsid w:val="00F2571A"/>
    <w:rsid w:val="00F319A1"/>
    <w:rsid w:val="00F32A3F"/>
    <w:rsid w:val="00F37748"/>
    <w:rsid w:val="00F41D3B"/>
    <w:rsid w:val="00F52344"/>
    <w:rsid w:val="00F52E5F"/>
    <w:rsid w:val="00F52FA7"/>
    <w:rsid w:val="00F53783"/>
    <w:rsid w:val="00F53FE3"/>
    <w:rsid w:val="00F6284F"/>
    <w:rsid w:val="00F66488"/>
    <w:rsid w:val="00F71B09"/>
    <w:rsid w:val="00F72262"/>
    <w:rsid w:val="00F74BAD"/>
    <w:rsid w:val="00F76C18"/>
    <w:rsid w:val="00F84579"/>
    <w:rsid w:val="00F857BB"/>
    <w:rsid w:val="00F869DF"/>
    <w:rsid w:val="00F9144D"/>
    <w:rsid w:val="00F94DF7"/>
    <w:rsid w:val="00F955DA"/>
    <w:rsid w:val="00F95A01"/>
    <w:rsid w:val="00F962AA"/>
    <w:rsid w:val="00FA14EB"/>
    <w:rsid w:val="00FA6A06"/>
    <w:rsid w:val="00FB3F73"/>
    <w:rsid w:val="00FB5089"/>
    <w:rsid w:val="00FB6855"/>
    <w:rsid w:val="00FC3116"/>
    <w:rsid w:val="00FC3AEF"/>
    <w:rsid w:val="00FC3FE8"/>
    <w:rsid w:val="00FD044B"/>
    <w:rsid w:val="00FD1C10"/>
    <w:rsid w:val="00FD21B2"/>
    <w:rsid w:val="00FD3802"/>
    <w:rsid w:val="00FD5776"/>
    <w:rsid w:val="00FD7314"/>
    <w:rsid w:val="00FD7D95"/>
    <w:rsid w:val="00FE4290"/>
    <w:rsid w:val="00FE4B40"/>
    <w:rsid w:val="00FE631D"/>
    <w:rsid w:val="00FF0665"/>
    <w:rsid w:val="00FF1811"/>
    <w:rsid w:val="00FF26AF"/>
    <w:rsid w:val="00FF3D6D"/>
    <w:rsid w:val="00FF41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9" type="connector" idref="#_x0000_s1678"/>
        <o:r id="V:Rule40" type="connector" idref="#_x0000_s1447"/>
        <o:r id="V:Rule41" type="connector" idref="#_x0000_s1360"/>
        <o:r id="V:Rule42" type="connector" idref="#_x0000_s1679"/>
        <o:r id="V:Rule43" type="connector" idref="#_x0000_s1452"/>
        <o:r id="V:Rule44" type="connector" idref="#_x0000_s1368"/>
        <o:r id="V:Rule45" type="connector" idref="#_x0000_s1676"/>
        <o:r id="V:Rule46" type="connector" idref="#_x0000_s1381"/>
        <o:r id="V:Rule47" type="connector" idref="#_x0000_s1627"/>
        <o:r id="V:Rule48" type="connector" idref="#_x0000_s1677"/>
        <o:r id="V:Rule49" type="connector" idref="#_x0000_s1623"/>
        <o:r id="V:Rule50" type="connector" idref="#_x0000_s1439"/>
        <o:r id="V:Rule51" type="connector" idref="#_x0000_s1379"/>
        <o:r id="V:Rule52" type="connector" idref="#_x0000_s1100"/>
        <o:r id="V:Rule53" type="connector" idref="#_x0000_s1542"/>
        <o:r id="V:Rule54" type="connector" idref="#_x0000_s1618"/>
        <o:r id="V:Rule55" type="connector" idref="#_x0000_s1380"/>
        <o:r id="V:Rule56" type="connector" idref="#_x0000_s1449"/>
        <o:r id="V:Rule57" type="connector" idref="#_x0000_s1620"/>
        <o:r id="V:Rule58" type="connector" idref="#_x0000_s1628"/>
        <o:r id="V:Rule59" type="connector" idref="#_x0000_s1624"/>
        <o:r id="V:Rule60" type="connector" idref="#_x0000_s1448"/>
        <o:r id="V:Rule61" type="connector" idref="#_x0000_s1674"/>
        <o:r id="V:Rule62" type="connector" idref="#_x0000_s1441"/>
        <o:r id="V:Rule63" type="connector" idref="#_x0000_s1109"/>
        <o:r id="V:Rule64" type="connector" idref="#_x0000_s1369"/>
        <o:r id="V:Rule65" type="connector" idref="#_x0000_s1102"/>
        <o:r id="V:Rule66" type="connector" idref="#_x0000_s1657"/>
        <o:r id="V:Rule67" type="connector" idref="#_x0000_s1378"/>
        <o:r id="V:Rule68" type="connector" idref="#_x0000_s1450"/>
        <o:r id="V:Rule69" type="connector" idref="#_x0000_s1675"/>
        <o:r id="V:Rule70" type="connector" idref="#_x0000_s1373"/>
        <o:r id="V:Rule71" type="connector" idref="#_x0000_s1541"/>
        <o:r id="V:Rule72" type="connector" idref="#_x0000_s1656"/>
        <o:r id="V:Rule73" type="connector" idref="#_x0000_s1630"/>
        <o:r id="V:Rule74" type="connector" idref="#_x0000_s1629"/>
        <o:r id="V:Rule75" type="connector" idref="#_x0000_s1101"/>
        <o:r id="V:Rule76" type="connector" idref="#_x0000_s14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816"/>
    <w:rPr>
      <w:rFonts w:ascii="Times New Roman" w:eastAsia="Times New Roman" w:hAnsi="Times New Roman"/>
      <w:sz w:val="24"/>
      <w:lang w:val="es-ES" w:eastAsia="es-ES"/>
    </w:rPr>
  </w:style>
  <w:style w:type="paragraph" w:styleId="Ttulo1">
    <w:name w:val="heading 1"/>
    <w:basedOn w:val="Normal"/>
    <w:next w:val="Normal"/>
    <w:link w:val="Ttulo1Car"/>
    <w:autoRedefine/>
    <w:uiPriority w:val="9"/>
    <w:qFormat/>
    <w:rsid w:val="005B74B4"/>
    <w:pPr>
      <w:keepNext/>
      <w:keepLines/>
      <w:shd w:val="clear" w:color="auto" w:fill="FFFFFF"/>
      <w:spacing w:after="240" w:line="360" w:lineRule="auto"/>
      <w:ind w:left="450" w:hanging="450"/>
      <w:jc w:val="center"/>
      <w:textAlignment w:val="baseline"/>
      <w:outlineLvl w:val="0"/>
    </w:pPr>
    <w:rPr>
      <w:b/>
      <w:bCs/>
      <w:szCs w:val="24"/>
      <w:lang w:val="es-VE"/>
    </w:rPr>
  </w:style>
  <w:style w:type="paragraph" w:styleId="Ttulo2">
    <w:name w:val="heading 2"/>
    <w:basedOn w:val="Normal"/>
    <w:next w:val="Normal"/>
    <w:link w:val="Ttulo2Car"/>
    <w:uiPriority w:val="9"/>
    <w:unhideWhenUsed/>
    <w:qFormat/>
    <w:rsid w:val="00D57A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A692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B650A3"/>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unhideWhenUsed/>
    <w:qFormat/>
    <w:rsid w:val="007B2232"/>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806816"/>
    <w:pPr>
      <w:ind w:left="720"/>
      <w:contextualSpacing/>
    </w:pPr>
  </w:style>
  <w:style w:type="paragraph" w:styleId="Textodeglobo">
    <w:name w:val="Balloon Text"/>
    <w:basedOn w:val="Normal"/>
    <w:link w:val="TextodegloboCar"/>
    <w:uiPriority w:val="99"/>
    <w:semiHidden/>
    <w:unhideWhenUsed/>
    <w:rsid w:val="00211E60"/>
    <w:rPr>
      <w:rFonts w:ascii="Tahoma" w:hAnsi="Tahoma" w:cs="Tahoma"/>
      <w:sz w:val="16"/>
      <w:szCs w:val="16"/>
    </w:rPr>
  </w:style>
  <w:style w:type="character" w:customStyle="1" w:styleId="TextodegloboCar">
    <w:name w:val="Texto de globo Car"/>
    <w:basedOn w:val="Fuentedeprrafopredeter"/>
    <w:link w:val="Textodeglobo"/>
    <w:uiPriority w:val="99"/>
    <w:semiHidden/>
    <w:rsid w:val="00211E60"/>
    <w:rPr>
      <w:rFonts w:ascii="Tahoma" w:eastAsia="Times New Roman" w:hAnsi="Tahoma" w:cs="Tahoma"/>
      <w:sz w:val="16"/>
      <w:szCs w:val="16"/>
      <w:lang w:val="es-ES" w:eastAsia="es-ES"/>
    </w:rPr>
  </w:style>
  <w:style w:type="character" w:customStyle="1" w:styleId="Ttulo1Car">
    <w:name w:val="Título 1 Car"/>
    <w:basedOn w:val="Fuentedeprrafopredeter"/>
    <w:link w:val="Ttulo1"/>
    <w:uiPriority w:val="9"/>
    <w:rsid w:val="005B74B4"/>
    <w:rPr>
      <w:rFonts w:ascii="Times New Roman" w:eastAsia="Times New Roman" w:hAnsi="Times New Roman"/>
      <w:b/>
      <w:bCs/>
      <w:sz w:val="24"/>
      <w:szCs w:val="24"/>
      <w:shd w:val="clear" w:color="auto" w:fill="FFFFFF"/>
      <w:lang w:val="es-VE" w:eastAsia="es-ES"/>
    </w:rPr>
  </w:style>
  <w:style w:type="table" w:styleId="Tablaconcuadrcula">
    <w:name w:val="Table Grid"/>
    <w:basedOn w:val="Tablanormal"/>
    <w:uiPriority w:val="59"/>
    <w:rsid w:val="00DF3B9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5A5BE5"/>
    <w:rPr>
      <w:color w:val="808080"/>
    </w:rPr>
  </w:style>
  <w:style w:type="character" w:styleId="Refdecomentario">
    <w:name w:val="annotation reference"/>
    <w:basedOn w:val="Fuentedeprrafopredeter"/>
    <w:uiPriority w:val="99"/>
    <w:semiHidden/>
    <w:unhideWhenUsed/>
    <w:rsid w:val="00B1169B"/>
    <w:rPr>
      <w:sz w:val="16"/>
      <w:szCs w:val="16"/>
    </w:rPr>
  </w:style>
  <w:style w:type="paragraph" w:styleId="Textocomentario">
    <w:name w:val="annotation text"/>
    <w:basedOn w:val="Normal"/>
    <w:link w:val="TextocomentarioCar"/>
    <w:uiPriority w:val="99"/>
    <w:unhideWhenUsed/>
    <w:rsid w:val="00B1169B"/>
    <w:rPr>
      <w:sz w:val="20"/>
    </w:rPr>
  </w:style>
  <w:style w:type="character" w:customStyle="1" w:styleId="TextocomentarioCar">
    <w:name w:val="Texto comentario Car"/>
    <w:basedOn w:val="Fuentedeprrafopredeter"/>
    <w:link w:val="Textocomentario"/>
    <w:uiPriority w:val="99"/>
    <w:rsid w:val="00B1169B"/>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B1169B"/>
    <w:rPr>
      <w:b/>
      <w:bCs/>
    </w:rPr>
  </w:style>
  <w:style w:type="character" w:customStyle="1" w:styleId="AsuntodelcomentarioCar">
    <w:name w:val="Asunto del comentario Car"/>
    <w:basedOn w:val="TextocomentarioCar"/>
    <w:link w:val="Asuntodelcomentario"/>
    <w:uiPriority w:val="99"/>
    <w:semiHidden/>
    <w:rsid w:val="00B1169B"/>
    <w:rPr>
      <w:b/>
      <w:bCs/>
    </w:rPr>
  </w:style>
  <w:style w:type="character" w:customStyle="1" w:styleId="Ttulo3Car">
    <w:name w:val="Título 3 Car"/>
    <w:basedOn w:val="Fuentedeprrafopredeter"/>
    <w:link w:val="Ttulo3"/>
    <w:uiPriority w:val="9"/>
    <w:rsid w:val="003A6929"/>
    <w:rPr>
      <w:rFonts w:asciiTheme="majorHAnsi" w:eastAsiaTheme="majorEastAsia" w:hAnsiTheme="majorHAnsi" w:cstheme="majorBidi"/>
      <w:b/>
      <w:bCs/>
      <w:color w:val="4F81BD" w:themeColor="accent1"/>
      <w:sz w:val="24"/>
      <w:lang w:val="es-ES" w:eastAsia="es-ES"/>
    </w:rPr>
  </w:style>
  <w:style w:type="character" w:customStyle="1" w:styleId="apple-style-span">
    <w:name w:val="apple-style-span"/>
    <w:basedOn w:val="Fuentedeprrafopredeter"/>
    <w:rsid w:val="003A6929"/>
  </w:style>
  <w:style w:type="character" w:customStyle="1" w:styleId="apple-converted-space">
    <w:name w:val="apple-converted-space"/>
    <w:basedOn w:val="Fuentedeprrafopredeter"/>
    <w:rsid w:val="003A6929"/>
  </w:style>
  <w:style w:type="paragraph" w:styleId="Encabezado">
    <w:name w:val="header"/>
    <w:basedOn w:val="Normal"/>
    <w:link w:val="EncabezadoCar"/>
    <w:unhideWhenUsed/>
    <w:rsid w:val="003A6929"/>
    <w:pPr>
      <w:tabs>
        <w:tab w:val="center" w:pos="4680"/>
        <w:tab w:val="right" w:pos="9360"/>
      </w:tabs>
    </w:pPr>
    <w:rPr>
      <w:rFonts w:ascii="Calibri" w:eastAsia="Calibri" w:hAnsi="Calibri"/>
      <w:sz w:val="20"/>
      <w:lang w:val="es-VE"/>
    </w:rPr>
  </w:style>
  <w:style w:type="character" w:customStyle="1" w:styleId="EncabezadoCar">
    <w:name w:val="Encabezado Car"/>
    <w:basedOn w:val="Fuentedeprrafopredeter"/>
    <w:link w:val="Encabezado"/>
    <w:rsid w:val="003A6929"/>
    <w:rPr>
      <w:lang w:val="es-VE"/>
    </w:rPr>
  </w:style>
  <w:style w:type="paragraph" w:styleId="Revisin">
    <w:name w:val="Revision"/>
    <w:hidden/>
    <w:uiPriority w:val="99"/>
    <w:semiHidden/>
    <w:rsid w:val="003A6929"/>
    <w:rPr>
      <w:sz w:val="22"/>
      <w:szCs w:val="22"/>
      <w:lang w:val="es-VE"/>
    </w:rPr>
  </w:style>
  <w:style w:type="paragraph" w:styleId="Epgrafe">
    <w:name w:val="caption"/>
    <w:basedOn w:val="Normal"/>
    <w:next w:val="Normal"/>
    <w:uiPriority w:val="35"/>
    <w:qFormat/>
    <w:rsid w:val="003A6929"/>
    <w:pPr>
      <w:spacing w:after="200"/>
      <w:jc w:val="center"/>
    </w:pPr>
    <w:rPr>
      <w:bCs/>
      <w:sz w:val="20"/>
    </w:rPr>
  </w:style>
  <w:style w:type="paragraph" w:styleId="Textoindependiente2">
    <w:name w:val="Body Text 2"/>
    <w:basedOn w:val="Normal"/>
    <w:link w:val="Textoindependiente2Car"/>
    <w:uiPriority w:val="99"/>
    <w:unhideWhenUsed/>
    <w:rsid w:val="00FB6855"/>
    <w:pPr>
      <w:spacing w:after="120" w:line="480" w:lineRule="auto"/>
    </w:pPr>
  </w:style>
  <w:style w:type="character" w:customStyle="1" w:styleId="Textoindependiente2Car">
    <w:name w:val="Texto independiente 2 Car"/>
    <w:basedOn w:val="Fuentedeprrafopredeter"/>
    <w:link w:val="Textoindependiente2"/>
    <w:uiPriority w:val="99"/>
    <w:rsid w:val="00FB6855"/>
    <w:rPr>
      <w:rFonts w:ascii="Times New Roman" w:eastAsia="Times New Roman" w:hAnsi="Times New Roman"/>
      <w:sz w:val="24"/>
      <w:lang w:val="es-ES" w:eastAsia="es-ES"/>
    </w:rPr>
  </w:style>
  <w:style w:type="character" w:customStyle="1" w:styleId="Ttulo2Car">
    <w:name w:val="Título 2 Car"/>
    <w:basedOn w:val="Fuentedeprrafopredeter"/>
    <w:link w:val="Ttulo2"/>
    <w:uiPriority w:val="9"/>
    <w:rsid w:val="00D57AEC"/>
    <w:rPr>
      <w:rFonts w:asciiTheme="majorHAnsi" w:eastAsiaTheme="majorEastAsia" w:hAnsiTheme="majorHAnsi" w:cstheme="majorBidi"/>
      <w:b/>
      <w:bCs/>
      <w:color w:val="4F81BD" w:themeColor="accent1"/>
      <w:sz w:val="26"/>
      <w:szCs w:val="26"/>
      <w:lang w:val="es-ES" w:eastAsia="es-ES"/>
    </w:rPr>
  </w:style>
  <w:style w:type="character" w:styleId="Hipervnculo">
    <w:name w:val="Hyperlink"/>
    <w:uiPriority w:val="99"/>
    <w:rsid w:val="00B650A3"/>
    <w:rPr>
      <w:color w:val="0000FF"/>
      <w:u w:val="single"/>
    </w:rPr>
  </w:style>
  <w:style w:type="character" w:customStyle="1" w:styleId="Ttulo4Car">
    <w:name w:val="Título 4 Car"/>
    <w:basedOn w:val="Fuentedeprrafopredeter"/>
    <w:link w:val="Ttulo4"/>
    <w:rsid w:val="00B650A3"/>
    <w:rPr>
      <w:rFonts w:eastAsia="Times New Roman"/>
      <w:b/>
      <w:bCs/>
      <w:sz w:val="28"/>
      <w:szCs w:val="28"/>
      <w:lang w:val="es-ES" w:eastAsia="es-ES"/>
    </w:rPr>
  </w:style>
  <w:style w:type="character" w:customStyle="1" w:styleId="googqs-tidbit">
    <w:name w:val="goog_qs-tidbit"/>
    <w:basedOn w:val="Fuentedeprrafopredeter"/>
    <w:rsid w:val="00712D89"/>
  </w:style>
  <w:style w:type="paragraph" w:styleId="Piedepgina">
    <w:name w:val="footer"/>
    <w:basedOn w:val="Normal"/>
    <w:link w:val="PiedepginaCar"/>
    <w:uiPriority w:val="99"/>
    <w:unhideWhenUsed/>
    <w:rsid w:val="007E4E7D"/>
    <w:pPr>
      <w:tabs>
        <w:tab w:val="center" w:pos="4680"/>
        <w:tab w:val="right" w:pos="9360"/>
      </w:tabs>
    </w:pPr>
  </w:style>
  <w:style w:type="character" w:customStyle="1" w:styleId="PiedepginaCar">
    <w:name w:val="Pie de página Car"/>
    <w:basedOn w:val="Fuentedeprrafopredeter"/>
    <w:link w:val="Piedepgina"/>
    <w:uiPriority w:val="99"/>
    <w:rsid w:val="007E4E7D"/>
    <w:rPr>
      <w:rFonts w:ascii="Times New Roman" w:eastAsia="Times New Roman" w:hAnsi="Times New Roman"/>
      <w:sz w:val="24"/>
      <w:lang w:val="es-ES" w:eastAsia="es-ES"/>
    </w:rPr>
  </w:style>
  <w:style w:type="paragraph" w:styleId="TtulodeTDC">
    <w:name w:val="TOC Heading"/>
    <w:basedOn w:val="Ttulo1"/>
    <w:next w:val="Normal"/>
    <w:uiPriority w:val="39"/>
    <w:unhideWhenUsed/>
    <w:qFormat/>
    <w:rsid w:val="002C10C0"/>
    <w:pPr>
      <w:spacing w:before="480" w:after="0" w:line="276" w:lineRule="auto"/>
      <w:jc w:val="left"/>
      <w:outlineLvl w:val="9"/>
    </w:pPr>
    <w:rPr>
      <w:rFonts w:asciiTheme="majorHAnsi" w:eastAsiaTheme="majorEastAsia" w:hAnsiTheme="majorHAnsi" w:cstheme="majorBidi"/>
      <w:color w:val="365F91" w:themeColor="accent1" w:themeShade="BF"/>
      <w:sz w:val="28"/>
      <w:szCs w:val="28"/>
      <w:lang w:val="en-US" w:eastAsia="en-US"/>
    </w:rPr>
  </w:style>
  <w:style w:type="paragraph" w:styleId="TDC1">
    <w:name w:val="toc 1"/>
    <w:basedOn w:val="Normal"/>
    <w:next w:val="Normal"/>
    <w:autoRedefine/>
    <w:uiPriority w:val="39"/>
    <w:unhideWhenUsed/>
    <w:rsid w:val="00F2257C"/>
    <w:pPr>
      <w:tabs>
        <w:tab w:val="right" w:leader="dot" w:pos="8256"/>
      </w:tabs>
      <w:spacing w:after="100" w:line="360" w:lineRule="auto"/>
    </w:pPr>
    <w:rPr>
      <w:b/>
      <w:noProof/>
    </w:rPr>
  </w:style>
  <w:style w:type="paragraph" w:styleId="TDC2">
    <w:name w:val="toc 2"/>
    <w:basedOn w:val="Normal"/>
    <w:next w:val="Normal"/>
    <w:autoRedefine/>
    <w:uiPriority w:val="39"/>
    <w:unhideWhenUsed/>
    <w:rsid w:val="0029369B"/>
    <w:pPr>
      <w:tabs>
        <w:tab w:val="right" w:leader="dot" w:pos="8256"/>
      </w:tabs>
      <w:spacing w:after="100" w:line="360" w:lineRule="auto"/>
      <w:ind w:left="240"/>
      <w:jc w:val="both"/>
    </w:pPr>
    <w:rPr>
      <w:noProof/>
    </w:rPr>
  </w:style>
  <w:style w:type="character" w:customStyle="1" w:styleId="Ttulo5Car">
    <w:name w:val="Título 5 Car"/>
    <w:basedOn w:val="Fuentedeprrafopredeter"/>
    <w:link w:val="Ttulo5"/>
    <w:uiPriority w:val="9"/>
    <w:rsid w:val="007B2232"/>
    <w:rPr>
      <w:rFonts w:asciiTheme="majorHAnsi" w:eastAsiaTheme="majorEastAsia" w:hAnsiTheme="majorHAnsi" w:cstheme="majorBidi"/>
      <w:color w:val="243F60" w:themeColor="accent1" w:themeShade="7F"/>
      <w:sz w:val="24"/>
      <w:lang w:val="es-ES" w:eastAsia="es-ES"/>
    </w:rPr>
  </w:style>
  <w:style w:type="paragraph" w:styleId="TDC3">
    <w:name w:val="toc 3"/>
    <w:basedOn w:val="Normal"/>
    <w:next w:val="Normal"/>
    <w:autoRedefine/>
    <w:uiPriority w:val="39"/>
    <w:unhideWhenUsed/>
    <w:rsid w:val="007B2232"/>
    <w:pPr>
      <w:spacing w:after="100"/>
      <w:ind w:left="480"/>
    </w:pPr>
  </w:style>
  <w:style w:type="paragraph" w:styleId="Tabladeilustraciones">
    <w:name w:val="table of figures"/>
    <w:basedOn w:val="Normal"/>
    <w:next w:val="Normal"/>
    <w:uiPriority w:val="99"/>
    <w:unhideWhenUsed/>
    <w:rsid w:val="000E0C20"/>
  </w:style>
  <w:style w:type="paragraph" w:styleId="Textoindependiente">
    <w:name w:val="Body Text"/>
    <w:basedOn w:val="Normal"/>
    <w:link w:val="TextoindependienteCar"/>
    <w:uiPriority w:val="99"/>
    <w:semiHidden/>
    <w:unhideWhenUsed/>
    <w:rsid w:val="00E97045"/>
    <w:pPr>
      <w:spacing w:after="120"/>
    </w:pPr>
  </w:style>
  <w:style w:type="character" w:customStyle="1" w:styleId="TextoindependienteCar">
    <w:name w:val="Texto independiente Car"/>
    <w:basedOn w:val="Fuentedeprrafopredeter"/>
    <w:link w:val="Textoindependiente"/>
    <w:uiPriority w:val="99"/>
    <w:semiHidden/>
    <w:rsid w:val="00E97045"/>
    <w:rPr>
      <w:rFonts w:ascii="Times New Roman" w:eastAsia="Times New Roman" w:hAnsi="Times New Roman"/>
      <w:sz w:val="24"/>
      <w:lang w:val="es-ES" w:eastAsia="es-ES"/>
    </w:rPr>
  </w:style>
  <w:style w:type="paragraph" w:customStyle="1" w:styleId="Default">
    <w:name w:val="Default"/>
    <w:rsid w:val="00E97045"/>
    <w:pPr>
      <w:autoSpaceDE w:val="0"/>
      <w:autoSpaceDN w:val="0"/>
      <w:adjustRightInd w:val="0"/>
    </w:pPr>
    <w:rPr>
      <w:rFonts w:ascii="Times New Roman" w:hAnsi="Times New Roman"/>
      <w:color w:val="000000"/>
      <w:sz w:val="24"/>
      <w:szCs w:val="24"/>
      <w:lang w:val="es-ES" w:eastAsia="es-ES"/>
    </w:rPr>
  </w:style>
  <w:style w:type="paragraph" w:styleId="ndice1">
    <w:name w:val="index 1"/>
    <w:basedOn w:val="Normal"/>
    <w:next w:val="Normal"/>
    <w:autoRedefine/>
    <w:uiPriority w:val="99"/>
    <w:semiHidden/>
    <w:unhideWhenUsed/>
    <w:rsid w:val="000B51EB"/>
    <w:pPr>
      <w:ind w:left="240" w:hanging="240"/>
    </w:pPr>
  </w:style>
</w:styles>
</file>

<file path=word/webSettings.xml><?xml version="1.0" encoding="utf-8"?>
<w:webSettings xmlns:r="http://schemas.openxmlformats.org/officeDocument/2006/relationships" xmlns:w="http://schemas.openxmlformats.org/wordprocessingml/2006/main">
  <w:divs>
    <w:div w:id="45616423">
      <w:bodyDiv w:val="1"/>
      <w:marLeft w:val="0"/>
      <w:marRight w:val="0"/>
      <w:marTop w:val="0"/>
      <w:marBottom w:val="0"/>
      <w:divBdr>
        <w:top w:val="none" w:sz="0" w:space="0" w:color="auto"/>
        <w:left w:val="none" w:sz="0" w:space="0" w:color="auto"/>
        <w:bottom w:val="none" w:sz="0" w:space="0" w:color="auto"/>
        <w:right w:val="none" w:sz="0" w:space="0" w:color="auto"/>
      </w:divBdr>
    </w:div>
    <w:div w:id="141966454">
      <w:bodyDiv w:val="1"/>
      <w:marLeft w:val="0"/>
      <w:marRight w:val="0"/>
      <w:marTop w:val="0"/>
      <w:marBottom w:val="0"/>
      <w:divBdr>
        <w:top w:val="none" w:sz="0" w:space="0" w:color="auto"/>
        <w:left w:val="none" w:sz="0" w:space="0" w:color="auto"/>
        <w:bottom w:val="none" w:sz="0" w:space="0" w:color="auto"/>
        <w:right w:val="none" w:sz="0" w:space="0" w:color="auto"/>
      </w:divBdr>
    </w:div>
    <w:div w:id="198401368">
      <w:bodyDiv w:val="1"/>
      <w:marLeft w:val="0"/>
      <w:marRight w:val="0"/>
      <w:marTop w:val="0"/>
      <w:marBottom w:val="0"/>
      <w:divBdr>
        <w:top w:val="none" w:sz="0" w:space="0" w:color="auto"/>
        <w:left w:val="none" w:sz="0" w:space="0" w:color="auto"/>
        <w:bottom w:val="none" w:sz="0" w:space="0" w:color="auto"/>
        <w:right w:val="none" w:sz="0" w:space="0" w:color="auto"/>
      </w:divBdr>
    </w:div>
    <w:div w:id="220025624">
      <w:bodyDiv w:val="1"/>
      <w:marLeft w:val="0"/>
      <w:marRight w:val="0"/>
      <w:marTop w:val="0"/>
      <w:marBottom w:val="0"/>
      <w:divBdr>
        <w:top w:val="none" w:sz="0" w:space="0" w:color="auto"/>
        <w:left w:val="none" w:sz="0" w:space="0" w:color="auto"/>
        <w:bottom w:val="none" w:sz="0" w:space="0" w:color="auto"/>
        <w:right w:val="none" w:sz="0" w:space="0" w:color="auto"/>
      </w:divBdr>
    </w:div>
    <w:div w:id="246577140">
      <w:bodyDiv w:val="1"/>
      <w:marLeft w:val="0"/>
      <w:marRight w:val="0"/>
      <w:marTop w:val="0"/>
      <w:marBottom w:val="0"/>
      <w:divBdr>
        <w:top w:val="none" w:sz="0" w:space="0" w:color="auto"/>
        <w:left w:val="none" w:sz="0" w:space="0" w:color="auto"/>
        <w:bottom w:val="none" w:sz="0" w:space="0" w:color="auto"/>
        <w:right w:val="none" w:sz="0" w:space="0" w:color="auto"/>
      </w:divBdr>
    </w:div>
    <w:div w:id="250546846">
      <w:bodyDiv w:val="1"/>
      <w:marLeft w:val="0"/>
      <w:marRight w:val="0"/>
      <w:marTop w:val="0"/>
      <w:marBottom w:val="0"/>
      <w:divBdr>
        <w:top w:val="none" w:sz="0" w:space="0" w:color="auto"/>
        <w:left w:val="none" w:sz="0" w:space="0" w:color="auto"/>
        <w:bottom w:val="none" w:sz="0" w:space="0" w:color="auto"/>
        <w:right w:val="none" w:sz="0" w:space="0" w:color="auto"/>
      </w:divBdr>
    </w:div>
    <w:div w:id="298076157">
      <w:bodyDiv w:val="1"/>
      <w:marLeft w:val="0"/>
      <w:marRight w:val="0"/>
      <w:marTop w:val="0"/>
      <w:marBottom w:val="0"/>
      <w:divBdr>
        <w:top w:val="none" w:sz="0" w:space="0" w:color="auto"/>
        <w:left w:val="none" w:sz="0" w:space="0" w:color="auto"/>
        <w:bottom w:val="none" w:sz="0" w:space="0" w:color="auto"/>
        <w:right w:val="none" w:sz="0" w:space="0" w:color="auto"/>
      </w:divBdr>
    </w:div>
    <w:div w:id="343091704">
      <w:bodyDiv w:val="1"/>
      <w:marLeft w:val="0"/>
      <w:marRight w:val="0"/>
      <w:marTop w:val="0"/>
      <w:marBottom w:val="0"/>
      <w:divBdr>
        <w:top w:val="none" w:sz="0" w:space="0" w:color="auto"/>
        <w:left w:val="none" w:sz="0" w:space="0" w:color="auto"/>
        <w:bottom w:val="none" w:sz="0" w:space="0" w:color="auto"/>
        <w:right w:val="none" w:sz="0" w:space="0" w:color="auto"/>
      </w:divBdr>
    </w:div>
    <w:div w:id="473371775">
      <w:bodyDiv w:val="1"/>
      <w:marLeft w:val="0"/>
      <w:marRight w:val="0"/>
      <w:marTop w:val="0"/>
      <w:marBottom w:val="0"/>
      <w:divBdr>
        <w:top w:val="none" w:sz="0" w:space="0" w:color="auto"/>
        <w:left w:val="none" w:sz="0" w:space="0" w:color="auto"/>
        <w:bottom w:val="none" w:sz="0" w:space="0" w:color="auto"/>
        <w:right w:val="none" w:sz="0" w:space="0" w:color="auto"/>
      </w:divBdr>
    </w:div>
    <w:div w:id="475995711">
      <w:bodyDiv w:val="1"/>
      <w:marLeft w:val="0"/>
      <w:marRight w:val="0"/>
      <w:marTop w:val="0"/>
      <w:marBottom w:val="0"/>
      <w:divBdr>
        <w:top w:val="none" w:sz="0" w:space="0" w:color="auto"/>
        <w:left w:val="none" w:sz="0" w:space="0" w:color="auto"/>
        <w:bottom w:val="none" w:sz="0" w:space="0" w:color="auto"/>
        <w:right w:val="none" w:sz="0" w:space="0" w:color="auto"/>
      </w:divBdr>
    </w:div>
    <w:div w:id="511071674">
      <w:bodyDiv w:val="1"/>
      <w:marLeft w:val="0"/>
      <w:marRight w:val="0"/>
      <w:marTop w:val="0"/>
      <w:marBottom w:val="0"/>
      <w:divBdr>
        <w:top w:val="none" w:sz="0" w:space="0" w:color="auto"/>
        <w:left w:val="none" w:sz="0" w:space="0" w:color="auto"/>
        <w:bottom w:val="none" w:sz="0" w:space="0" w:color="auto"/>
        <w:right w:val="none" w:sz="0" w:space="0" w:color="auto"/>
      </w:divBdr>
    </w:div>
    <w:div w:id="581646181">
      <w:bodyDiv w:val="1"/>
      <w:marLeft w:val="0"/>
      <w:marRight w:val="0"/>
      <w:marTop w:val="0"/>
      <w:marBottom w:val="0"/>
      <w:divBdr>
        <w:top w:val="none" w:sz="0" w:space="0" w:color="auto"/>
        <w:left w:val="none" w:sz="0" w:space="0" w:color="auto"/>
        <w:bottom w:val="none" w:sz="0" w:space="0" w:color="auto"/>
        <w:right w:val="none" w:sz="0" w:space="0" w:color="auto"/>
      </w:divBdr>
    </w:div>
    <w:div w:id="639577906">
      <w:bodyDiv w:val="1"/>
      <w:marLeft w:val="0"/>
      <w:marRight w:val="0"/>
      <w:marTop w:val="0"/>
      <w:marBottom w:val="0"/>
      <w:divBdr>
        <w:top w:val="none" w:sz="0" w:space="0" w:color="auto"/>
        <w:left w:val="none" w:sz="0" w:space="0" w:color="auto"/>
        <w:bottom w:val="none" w:sz="0" w:space="0" w:color="auto"/>
        <w:right w:val="none" w:sz="0" w:space="0" w:color="auto"/>
      </w:divBdr>
    </w:div>
    <w:div w:id="822428731">
      <w:bodyDiv w:val="1"/>
      <w:marLeft w:val="0"/>
      <w:marRight w:val="0"/>
      <w:marTop w:val="0"/>
      <w:marBottom w:val="0"/>
      <w:divBdr>
        <w:top w:val="none" w:sz="0" w:space="0" w:color="auto"/>
        <w:left w:val="none" w:sz="0" w:space="0" w:color="auto"/>
        <w:bottom w:val="none" w:sz="0" w:space="0" w:color="auto"/>
        <w:right w:val="none" w:sz="0" w:space="0" w:color="auto"/>
      </w:divBdr>
    </w:div>
    <w:div w:id="848257902">
      <w:bodyDiv w:val="1"/>
      <w:marLeft w:val="0"/>
      <w:marRight w:val="0"/>
      <w:marTop w:val="0"/>
      <w:marBottom w:val="0"/>
      <w:divBdr>
        <w:top w:val="none" w:sz="0" w:space="0" w:color="auto"/>
        <w:left w:val="none" w:sz="0" w:space="0" w:color="auto"/>
        <w:bottom w:val="none" w:sz="0" w:space="0" w:color="auto"/>
        <w:right w:val="none" w:sz="0" w:space="0" w:color="auto"/>
      </w:divBdr>
    </w:div>
    <w:div w:id="891229734">
      <w:bodyDiv w:val="1"/>
      <w:marLeft w:val="0"/>
      <w:marRight w:val="0"/>
      <w:marTop w:val="0"/>
      <w:marBottom w:val="0"/>
      <w:divBdr>
        <w:top w:val="none" w:sz="0" w:space="0" w:color="auto"/>
        <w:left w:val="none" w:sz="0" w:space="0" w:color="auto"/>
        <w:bottom w:val="none" w:sz="0" w:space="0" w:color="auto"/>
        <w:right w:val="none" w:sz="0" w:space="0" w:color="auto"/>
      </w:divBdr>
    </w:div>
    <w:div w:id="907955572">
      <w:bodyDiv w:val="1"/>
      <w:marLeft w:val="0"/>
      <w:marRight w:val="0"/>
      <w:marTop w:val="0"/>
      <w:marBottom w:val="0"/>
      <w:divBdr>
        <w:top w:val="none" w:sz="0" w:space="0" w:color="auto"/>
        <w:left w:val="none" w:sz="0" w:space="0" w:color="auto"/>
        <w:bottom w:val="none" w:sz="0" w:space="0" w:color="auto"/>
        <w:right w:val="none" w:sz="0" w:space="0" w:color="auto"/>
      </w:divBdr>
    </w:div>
    <w:div w:id="981615976">
      <w:bodyDiv w:val="1"/>
      <w:marLeft w:val="0"/>
      <w:marRight w:val="0"/>
      <w:marTop w:val="0"/>
      <w:marBottom w:val="0"/>
      <w:divBdr>
        <w:top w:val="none" w:sz="0" w:space="0" w:color="auto"/>
        <w:left w:val="none" w:sz="0" w:space="0" w:color="auto"/>
        <w:bottom w:val="none" w:sz="0" w:space="0" w:color="auto"/>
        <w:right w:val="none" w:sz="0" w:space="0" w:color="auto"/>
      </w:divBdr>
    </w:div>
    <w:div w:id="994450779">
      <w:bodyDiv w:val="1"/>
      <w:marLeft w:val="0"/>
      <w:marRight w:val="0"/>
      <w:marTop w:val="0"/>
      <w:marBottom w:val="0"/>
      <w:divBdr>
        <w:top w:val="none" w:sz="0" w:space="0" w:color="auto"/>
        <w:left w:val="none" w:sz="0" w:space="0" w:color="auto"/>
        <w:bottom w:val="none" w:sz="0" w:space="0" w:color="auto"/>
        <w:right w:val="none" w:sz="0" w:space="0" w:color="auto"/>
      </w:divBdr>
    </w:div>
    <w:div w:id="1065449740">
      <w:bodyDiv w:val="1"/>
      <w:marLeft w:val="0"/>
      <w:marRight w:val="0"/>
      <w:marTop w:val="0"/>
      <w:marBottom w:val="0"/>
      <w:divBdr>
        <w:top w:val="none" w:sz="0" w:space="0" w:color="auto"/>
        <w:left w:val="none" w:sz="0" w:space="0" w:color="auto"/>
        <w:bottom w:val="none" w:sz="0" w:space="0" w:color="auto"/>
        <w:right w:val="none" w:sz="0" w:space="0" w:color="auto"/>
      </w:divBdr>
    </w:div>
    <w:div w:id="1085880356">
      <w:bodyDiv w:val="1"/>
      <w:marLeft w:val="0"/>
      <w:marRight w:val="0"/>
      <w:marTop w:val="0"/>
      <w:marBottom w:val="0"/>
      <w:divBdr>
        <w:top w:val="none" w:sz="0" w:space="0" w:color="auto"/>
        <w:left w:val="none" w:sz="0" w:space="0" w:color="auto"/>
        <w:bottom w:val="none" w:sz="0" w:space="0" w:color="auto"/>
        <w:right w:val="none" w:sz="0" w:space="0" w:color="auto"/>
      </w:divBdr>
    </w:div>
    <w:div w:id="1086145170">
      <w:bodyDiv w:val="1"/>
      <w:marLeft w:val="0"/>
      <w:marRight w:val="0"/>
      <w:marTop w:val="0"/>
      <w:marBottom w:val="0"/>
      <w:divBdr>
        <w:top w:val="none" w:sz="0" w:space="0" w:color="auto"/>
        <w:left w:val="none" w:sz="0" w:space="0" w:color="auto"/>
        <w:bottom w:val="none" w:sz="0" w:space="0" w:color="auto"/>
        <w:right w:val="none" w:sz="0" w:space="0" w:color="auto"/>
      </w:divBdr>
    </w:div>
    <w:div w:id="1093166746">
      <w:bodyDiv w:val="1"/>
      <w:marLeft w:val="0"/>
      <w:marRight w:val="0"/>
      <w:marTop w:val="0"/>
      <w:marBottom w:val="0"/>
      <w:divBdr>
        <w:top w:val="none" w:sz="0" w:space="0" w:color="auto"/>
        <w:left w:val="none" w:sz="0" w:space="0" w:color="auto"/>
        <w:bottom w:val="none" w:sz="0" w:space="0" w:color="auto"/>
        <w:right w:val="none" w:sz="0" w:space="0" w:color="auto"/>
      </w:divBdr>
    </w:div>
    <w:div w:id="1094277526">
      <w:bodyDiv w:val="1"/>
      <w:marLeft w:val="0"/>
      <w:marRight w:val="0"/>
      <w:marTop w:val="0"/>
      <w:marBottom w:val="0"/>
      <w:divBdr>
        <w:top w:val="none" w:sz="0" w:space="0" w:color="auto"/>
        <w:left w:val="none" w:sz="0" w:space="0" w:color="auto"/>
        <w:bottom w:val="none" w:sz="0" w:space="0" w:color="auto"/>
        <w:right w:val="none" w:sz="0" w:space="0" w:color="auto"/>
      </w:divBdr>
    </w:div>
    <w:div w:id="1143962935">
      <w:bodyDiv w:val="1"/>
      <w:marLeft w:val="0"/>
      <w:marRight w:val="0"/>
      <w:marTop w:val="0"/>
      <w:marBottom w:val="0"/>
      <w:divBdr>
        <w:top w:val="none" w:sz="0" w:space="0" w:color="auto"/>
        <w:left w:val="none" w:sz="0" w:space="0" w:color="auto"/>
        <w:bottom w:val="none" w:sz="0" w:space="0" w:color="auto"/>
        <w:right w:val="none" w:sz="0" w:space="0" w:color="auto"/>
      </w:divBdr>
    </w:div>
    <w:div w:id="1268345195">
      <w:bodyDiv w:val="1"/>
      <w:marLeft w:val="0"/>
      <w:marRight w:val="0"/>
      <w:marTop w:val="0"/>
      <w:marBottom w:val="0"/>
      <w:divBdr>
        <w:top w:val="none" w:sz="0" w:space="0" w:color="auto"/>
        <w:left w:val="none" w:sz="0" w:space="0" w:color="auto"/>
        <w:bottom w:val="none" w:sz="0" w:space="0" w:color="auto"/>
        <w:right w:val="none" w:sz="0" w:space="0" w:color="auto"/>
      </w:divBdr>
    </w:div>
    <w:div w:id="1439522659">
      <w:bodyDiv w:val="1"/>
      <w:marLeft w:val="0"/>
      <w:marRight w:val="0"/>
      <w:marTop w:val="0"/>
      <w:marBottom w:val="0"/>
      <w:divBdr>
        <w:top w:val="none" w:sz="0" w:space="0" w:color="auto"/>
        <w:left w:val="none" w:sz="0" w:space="0" w:color="auto"/>
        <w:bottom w:val="none" w:sz="0" w:space="0" w:color="auto"/>
        <w:right w:val="none" w:sz="0" w:space="0" w:color="auto"/>
      </w:divBdr>
    </w:div>
    <w:div w:id="1449666270">
      <w:bodyDiv w:val="1"/>
      <w:marLeft w:val="0"/>
      <w:marRight w:val="0"/>
      <w:marTop w:val="0"/>
      <w:marBottom w:val="0"/>
      <w:divBdr>
        <w:top w:val="none" w:sz="0" w:space="0" w:color="auto"/>
        <w:left w:val="none" w:sz="0" w:space="0" w:color="auto"/>
        <w:bottom w:val="none" w:sz="0" w:space="0" w:color="auto"/>
        <w:right w:val="none" w:sz="0" w:space="0" w:color="auto"/>
      </w:divBdr>
    </w:div>
    <w:div w:id="1553074784">
      <w:bodyDiv w:val="1"/>
      <w:marLeft w:val="0"/>
      <w:marRight w:val="0"/>
      <w:marTop w:val="0"/>
      <w:marBottom w:val="0"/>
      <w:divBdr>
        <w:top w:val="none" w:sz="0" w:space="0" w:color="auto"/>
        <w:left w:val="none" w:sz="0" w:space="0" w:color="auto"/>
        <w:bottom w:val="none" w:sz="0" w:space="0" w:color="auto"/>
        <w:right w:val="none" w:sz="0" w:space="0" w:color="auto"/>
      </w:divBdr>
    </w:div>
    <w:div w:id="1605766843">
      <w:bodyDiv w:val="1"/>
      <w:marLeft w:val="0"/>
      <w:marRight w:val="0"/>
      <w:marTop w:val="0"/>
      <w:marBottom w:val="0"/>
      <w:divBdr>
        <w:top w:val="none" w:sz="0" w:space="0" w:color="auto"/>
        <w:left w:val="none" w:sz="0" w:space="0" w:color="auto"/>
        <w:bottom w:val="none" w:sz="0" w:space="0" w:color="auto"/>
        <w:right w:val="none" w:sz="0" w:space="0" w:color="auto"/>
      </w:divBdr>
    </w:div>
    <w:div w:id="1624577431">
      <w:bodyDiv w:val="1"/>
      <w:marLeft w:val="0"/>
      <w:marRight w:val="0"/>
      <w:marTop w:val="0"/>
      <w:marBottom w:val="0"/>
      <w:divBdr>
        <w:top w:val="none" w:sz="0" w:space="0" w:color="auto"/>
        <w:left w:val="none" w:sz="0" w:space="0" w:color="auto"/>
        <w:bottom w:val="none" w:sz="0" w:space="0" w:color="auto"/>
        <w:right w:val="none" w:sz="0" w:space="0" w:color="auto"/>
      </w:divBdr>
    </w:div>
    <w:div w:id="1648978073">
      <w:bodyDiv w:val="1"/>
      <w:marLeft w:val="0"/>
      <w:marRight w:val="0"/>
      <w:marTop w:val="0"/>
      <w:marBottom w:val="0"/>
      <w:divBdr>
        <w:top w:val="none" w:sz="0" w:space="0" w:color="auto"/>
        <w:left w:val="none" w:sz="0" w:space="0" w:color="auto"/>
        <w:bottom w:val="none" w:sz="0" w:space="0" w:color="auto"/>
        <w:right w:val="none" w:sz="0" w:space="0" w:color="auto"/>
      </w:divBdr>
    </w:div>
    <w:div w:id="1732381091">
      <w:bodyDiv w:val="1"/>
      <w:marLeft w:val="0"/>
      <w:marRight w:val="0"/>
      <w:marTop w:val="0"/>
      <w:marBottom w:val="0"/>
      <w:divBdr>
        <w:top w:val="none" w:sz="0" w:space="0" w:color="auto"/>
        <w:left w:val="none" w:sz="0" w:space="0" w:color="auto"/>
        <w:bottom w:val="none" w:sz="0" w:space="0" w:color="auto"/>
        <w:right w:val="none" w:sz="0" w:space="0" w:color="auto"/>
      </w:divBdr>
    </w:div>
    <w:div w:id="1743211144">
      <w:bodyDiv w:val="1"/>
      <w:marLeft w:val="0"/>
      <w:marRight w:val="0"/>
      <w:marTop w:val="0"/>
      <w:marBottom w:val="0"/>
      <w:divBdr>
        <w:top w:val="none" w:sz="0" w:space="0" w:color="auto"/>
        <w:left w:val="none" w:sz="0" w:space="0" w:color="auto"/>
        <w:bottom w:val="none" w:sz="0" w:space="0" w:color="auto"/>
        <w:right w:val="none" w:sz="0" w:space="0" w:color="auto"/>
      </w:divBdr>
    </w:div>
    <w:div w:id="1757944296">
      <w:bodyDiv w:val="1"/>
      <w:marLeft w:val="0"/>
      <w:marRight w:val="0"/>
      <w:marTop w:val="0"/>
      <w:marBottom w:val="0"/>
      <w:divBdr>
        <w:top w:val="none" w:sz="0" w:space="0" w:color="auto"/>
        <w:left w:val="none" w:sz="0" w:space="0" w:color="auto"/>
        <w:bottom w:val="none" w:sz="0" w:space="0" w:color="auto"/>
        <w:right w:val="none" w:sz="0" w:space="0" w:color="auto"/>
      </w:divBdr>
    </w:div>
    <w:div w:id="1858150283">
      <w:bodyDiv w:val="1"/>
      <w:marLeft w:val="0"/>
      <w:marRight w:val="0"/>
      <w:marTop w:val="0"/>
      <w:marBottom w:val="0"/>
      <w:divBdr>
        <w:top w:val="none" w:sz="0" w:space="0" w:color="auto"/>
        <w:left w:val="none" w:sz="0" w:space="0" w:color="auto"/>
        <w:bottom w:val="none" w:sz="0" w:space="0" w:color="auto"/>
        <w:right w:val="none" w:sz="0" w:space="0" w:color="auto"/>
      </w:divBdr>
    </w:div>
    <w:div w:id="2003855152">
      <w:bodyDiv w:val="1"/>
      <w:marLeft w:val="0"/>
      <w:marRight w:val="0"/>
      <w:marTop w:val="0"/>
      <w:marBottom w:val="0"/>
      <w:divBdr>
        <w:top w:val="none" w:sz="0" w:space="0" w:color="auto"/>
        <w:left w:val="none" w:sz="0" w:space="0" w:color="auto"/>
        <w:bottom w:val="none" w:sz="0" w:space="0" w:color="auto"/>
        <w:right w:val="none" w:sz="0" w:space="0" w:color="auto"/>
      </w:divBdr>
    </w:div>
    <w:div w:id="2017884257">
      <w:bodyDiv w:val="1"/>
      <w:marLeft w:val="0"/>
      <w:marRight w:val="0"/>
      <w:marTop w:val="0"/>
      <w:marBottom w:val="0"/>
      <w:divBdr>
        <w:top w:val="none" w:sz="0" w:space="0" w:color="auto"/>
        <w:left w:val="none" w:sz="0" w:space="0" w:color="auto"/>
        <w:bottom w:val="none" w:sz="0" w:space="0" w:color="auto"/>
        <w:right w:val="none" w:sz="0" w:space="0" w:color="auto"/>
      </w:divBdr>
    </w:div>
    <w:div w:id="2032294375">
      <w:bodyDiv w:val="1"/>
      <w:marLeft w:val="0"/>
      <w:marRight w:val="0"/>
      <w:marTop w:val="0"/>
      <w:marBottom w:val="0"/>
      <w:divBdr>
        <w:top w:val="none" w:sz="0" w:space="0" w:color="auto"/>
        <w:left w:val="none" w:sz="0" w:space="0" w:color="auto"/>
        <w:bottom w:val="none" w:sz="0" w:space="0" w:color="auto"/>
        <w:right w:val="none" w:sz="0" w:space="0" w:color="auto"/>
      </w:divBdr>
    </w:div>
    <w:div w:id="2050566190">
      <w:bodyDiv w:val="1"/>
      <w:marLeft w:val="0"/>
      <w:marRight w:val="0"/>
      <w:marTop w:val="0"/>
      <w:marBottom w:val="0"/>
      <w:divBdr>
        <w:top w:val="none" w:sz="0" w:space="0" w:color="auto"/>
        <w:left w:val="none" w:sz="0" w:space="0" w:color="auto"/>
        <w:bottom w:val="none" w:sz="0" w:space="0" w:color="auto"/>
        <w:right w:val="none" w:sz="0" w:space="0" w:color="auto"/>
      </w:divBdr>
    </w:div>
    <w:div w:id="211007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chart" Target="charts/chart3.xml"/><Relationship Id="rId63" Type="http://schemas.openxmlformats.org/officeDocument/2006/relationships/chart" Target="charts/chart8.xml"/><Relationship Id="rId68" Type="http://schemas.openxmlformats.org/officeDocument/2006/relationships/chart" Target="charts/chart13.xml"/><Relationship Id="rId76" Type="http://schemas.openxmlformats.org/officeDocument/2006/relationships/chart" Target="charts/chart19.xml"/><Relationship Id="rId84" Type="http://schemas.openxmlformats.org/officeDocument/2006/relationships/hyperlink" Target="http://www.springerlink.com/content/x61772064110387n/" TargetMode="Externa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0.emf"/><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4.png"/><Relationship Id="rId66" Type="http://schemas.openxmlformats.org/officeDocument/2006/relationships/chart" Target="charts/chart11.xml"/><Relationship Id="rId74" Type="http://schemas.openxmlformats.org/officeDocument/2006/relationships/chart" Target="charts/chart17.xml"/><Relationship Id="rId79" Type="http://schemas.openxmlformats.org/officeDocument/2006/relationships/image" Target="media/image48.emf"/><Relationship Id="rId5" Type="http://schemas.openxmlformats.org/officeDocument/2006/relationships/webSettings" Target="webSettings.xml"/><Relationship Id="rId61" Type="http://schemas.openxmlformats.org/officeDocument/2006/relationships/chart" Target="charts/chart7.xml"/><Relationship Id="rId82" Type="http://schemas.openxmlformats.org/officeDocument/2006/relationships/image" Target="media/image5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chart" Target="charts/chart4.xml"/><Relationship Id="rId64" Type="http://schemas.openxmlformats.org/officeDocument/2006/relationships/chart" Target="charts/chart9.xml"/><Relationship Id="rId69" Type="http://schemas.openxmlformats.org/officeDocument/2006/relationships/chart" Target="charts/chart14.xml"/><Relationship Id="rId77" Type="http://schemas.openxmlformats.org/officeDocument/2006/relationships/chart" Target="charts/chart20.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47.png"/><Relationship Id="rId80" Type="http://schemas.openxmlformats.org/officeDocument/2006/relationships/image" Target="media/image4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chart" Target="charts/chart1.xml"/><Relationship Id="rId46" Type="http://schemas.openxmlformats.org/officeDocument/2006/relationships/image" Target="media/image35.png"/><Relationship Id="rId59" Type="http://schemas.openxmlformats.org/officeDocument/2006/relationships/chart" Target="charts/chart5.xml"/><Relationship Id="rId67" Type="http://schemas.openxmlformats.org/officeDocument/2006/relationships/chart" Target="charts/chart12.xml"/><Relationship Id="rId20" Type="http://schemas.openxmlformats.org/officeDocument/2006/relationships/image" Target="media/image11.png"/><Relationship Id="rId41" Type="http://schemas.openxmlformats.org/officeDocument/2006/relationships/hyperlink" Target="http://www.nikoninstruments.com/Products/Microscope-Systems/Upright-Microscopes/Biological/Eclipse-55i/Eclipse-50i" TargetMode="External"/><Relationship Id="rId54" Type="http://schemas.openxmlformats.org/officeDocument/2006/relationships/chart" Target="charts/chart2.xml"/><Relationship Id="rId62" Type="http://schemas.openxmlformats.org/officeDocument/2006/relationships/image" Target="media/image45.png"/><Relationship Id="rId70" Type="http://schemas.openxmlformats.org/officeDocument/2006/relationships/chart" Target="charts/chart15.xml"/><Relationship Id="rId75" Type="http://schemas.openxmlformats.org/officeDocument/2006/relationships/chart" Target="charts/chart18.xml"/><Relationship Id="rId83" Type="http://schemas.openxmlformats.org/officeDocument/2006/relationships/hyperlink" Target="http://www.minci.gob.ve/a_r_r/1/11303/rusia_y_venezuel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3.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chart" Target="charts/chart6.xml"/><Relationship Id="rId65" Type="http://schemas.openxmlformats.org/officeDocument/2006/relationships/chart" Target="charts/chart10.xml"/><Relationship Id="rId73" Type="http://schemas.openxmlformats.org/officeDocument/2006/relationships/chart" Target="charts/chart16.xml"/><Relationship Id="rId78" Type="http://schemas.openxmlformats.org/officeDocument/2006/relationships/chart" Target="charts/chart21.xml"/><Relationship Id="rId81" Type="http://schemas.openxmlformats.org/officeDocument/2006/relationships/image" Target="media/image50.pn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gemar%20D.%20Quintero\Documents\Ingenier&#237;a%20Qu&#237;mica\Downloads\Libro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ngemar%20D.%20Quintero\Desktop\Bit&#225;cora%202\Merey\Polietileno\Antes%20de%20centrifugar\20%20X\GLOBAL%208.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ngemar%20D.%20Quintero\Desktop\Bit&#225;cora%202\Merey\Polietileno\Antes%20de%20centrifugar\20%20X\GLOBAL%208.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ngemar%20D.%20Quintero\Desktop\Bit&#225;cora%202\Merey\Polietileno\Antes%20de%20centrifugar\20%20X\GLOBAL%208.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ngemar%20D.%20Quintero\Desktop\Bit&#225;cora%202\Merey\Polietileno\Antes%20de%20centrifugar\20%20X\GLOBAL%208.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ngemar%20D.%20Quintero\Desktop\Bitacora%20de%20pruebas\Bit&#225;cora%20de%20pruebas.xl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ngemar%20D.%20Quintero\Desktop\Bit&#225;cora%202\Merey%20sin%20tratar\Merey%20sin%20tratar%20-%205%20X.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Ingemar%20D.%20Quintero\Dropbox\Tesistas\Ingemar%20Quintero\Merey%20sin%20tratar\Merey%20sin%20tratar%20-%2020%20X.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TERMOCUPLA</c:v>
          </c:tx>
          <c:spPr>
            <a:ln w="25400">
              <a:noFill/>
            </a:ln>
          </c:spPr>
          <c:marker>
            <c:symbol val="diamond"/>
            <c:size val="4"/>
            <c:spPr>
              <a:solidFill>
                <a:srgbClr val="FF0000"/>
              </a:solidFill>
              <a:ln>
                <a:solidFill>
                  <a:prstClr val="black"/>
                </a:solidFill>
              </a:ln>
            </c:spPr>
          </c:marker>
          <c:trendline>
            <c:spPr>
              <a:ln w="12700"/>
            </c:spPr>
            <c:trendlineType val="linear"/>
          </c:trendline>
          <c:xVal>
            <c:numRef>
              <c:f>'\Users\MODULO V\Documents\Ingemar Quintero\[Calibración de termocuplas.xlsx]Hoja1'!$C$3:$C$23</c:f>
              <c:numCache>
                <c:formatCode>General</c:formatCode>
                <c:ptCount val="21"/>
                <c:pt idx="0">
                  <c:v>21</c:v>
                </c:pt>
                <c:pt idx="1">
                  <c:v>21</c:v>
                </c:pt>
                <c:pt idx="2">
                  <c:v>24</c:v>
                </c:pt>
                <c:pt idx="3">
                  <c:v>26</c:v>
                </c:pt>
                <c:pt idx="4">
                  <c:v>29</c:v>
                </c:pt>
                <c:pt idx="5">
                  <c:v>32</c:v>
                </c:pt>
                <c:pt idx="6">
                  <c:v>32</c:v>
                </c:pt>
                <c:pt idx="7">
                  <c:v>34</c:v>
                </c:pt>
                <c:pt idx="8">
                  <c:v>39</c:v>
                </c:pt>
                <c:pt idx="9">
                  <c:v>42</c:v>
                </c:pt>
                <c:pt idx="10">
                  <c:v>45</c:v>
                </c:pt>
                <c:pt idx="11">
                  <c:v>51</c:v>
                </c:pt>
                <c:pt idx="12">
                  <c:v>58</c:v>
                </c:pt>
                <c:pt idx="13">
                  <c:v>62</c:v>
                </c:pt>
                <c:pt idx="14">
                  <c:v>65</c:v>
                </c:pt>
                <c:pt idx="15">
                  <c:v>69</c:v>
                </c:pt>
                <c:pt idx="16">
                  <c:v>75</c:v>
                </c:pt>
                <c:pt idx="17">
                  <c:v>79</c:v>
                </c:pt>
                <c:pt idx="18">
                  <c:v>85</c:v>
                </c:pt>
                <c:pt idx="19">
                  <c:v>89</c:v>
                </c:pt>
                <c:pt idx="20">
                  <c:v>92</c:v>
                </c:pt>
              </c:numCache>
            </c:numRef>
          </c:xVal>
          <c:yVal>
            <c:numRef>
              <c:f>'\Users\MODULO V\Documents\Ingemar Quintero\[Calibración de termocuplas.xlsx]Hoja1'!$B$3:$B$23</c:f>
              <c:numCache>
                <c:formatCode>General</c:formatCode>
                <c:ptCount val="21"/>
                <c:pt idx="0">
                  <c:v>25</c:v>
                </c:pt>
                <c:pt idx="1">
                  <c:v>26</c:v>
                </c:pt>
                <c:pt idx="2">
                  <c:v>29</c:v>
                </c:pt>
                <c:pt idx="3">
                  <c:v>31</c:v>
                </c:pt>
                <c:pt idx="4">
                  <c:v>33.5</c:v>
                </c:pt>
                <c:pt idx="5">
                  <c:v>35</c:v>
                </c:pt>
                <c:pt idx="6">
                  <c:v>38.5</c:v>
                </c:pt>
                <c:pt idx="7">
                  <c:v>38.5</c:v>
                </c:pt>
                <c:pt idx="8">
                  <c:v>43</c:v>
                </c:pt>
                <c:pt idx="9">
                  <c:v>46</c:v>
                </c:pt>
                <c:pt idx="10">
                  <c:v>49</c:v>
                </c:pt>
                <c:pt idx="11">
                  <c:v>55.5</c:v>
                </c:pt>
                <c:pt idx="12">
                  <c:v>62</c:v>
                </c:pt>
                <c:pt idx="13">
                  <c:v>67</c:v>
                </c:pt>
                <c:pt idx="14">
                  <c:v>69</c:v>
                </c:pt>
                <c:pt idx="15">
                  <c:v>73</c:v>
                </c:pt>
                <c:pt idx="16">
                  <c:v>79</c:v>
                </c:pt>
                <c:pt idx="17">
                  <c:v>84</c:v>
                </c:pt>
                <c:pt idx="18">
                  <c:v>90</c:v>
                </c:pt>
                <c:pt idx="19">
                  <c:v>94</c:v>
                </c:pt>
                <c:pt idx="20">
                  <c:v>96</c:v>
                </c:pt>
              </c:numCache>
            </c:numRef>
          </c:yVal>
        </c:ser>
        <c:axId val="144512896"/>
        <c:axId val="144589952"/>
      </c:scatterChart>
      <c:valAx>
        <c:axId val="144512896"/>
        <c:scaling>
          <c:orientation val="minMax"/>
          <c:max val="100"/>
        </c:scaling>
        <c:axPos val="b"/>
        <c:majorGridlines>
          <c:spPr>
            <a:ln>
              <a:solidFill>
                <a:sysClr val="windowText" lastClr="000000"/>
              </a:solidFill>
            </a:ln>
          </c:spPr>
        </c:majorGridlines>
        <c:minorGridlines/>
        <c:title>
          <c:tx>
            <c:rich>
              <a:bodyPr/>
              <a:lstStyle/>
              <a:p>
                <a:pPr>
                  <a:defRPr sz="1000">
                    <a:latin typeface="Times New Roman" pitchFamily="18" charset="0"/>
                    <a:cs typeface="Times New Roman" pitchFamily="18" charset="0"/>
                  </a:defRPr>
                </a:pPr>
                <a:r>
                  <a:rPr lang="en-US" sz="1000" b="0" i="0" baseline="0">
                    <a:latin typeface="Times New Roman" pitchFamily="18" charset="0"/>
                    <a:cs typeface="Times New Roman" pitchFamily="18" charset="0"/>
                  </a:rPr>
                  <a:t>Temperatura- Termómetro (°C)</a:t>
                </a:r>
              </a:p>
            </c:rich>
          </c:tx>
        </c:title>
        <c:numFmt formatCode="General" sourceLinked="0"/>
        <c:tickLblPos val="nextTo"/>
        <c:spPr>
          <a:ln w="12700">
            <a:solidFill>
              <a:sysClr val="windowText" lastClr="000000"/>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44589952"/>
        <c:crosses val="autoZero"/>
        <c:crossBetween val="midCat"/>
        <c:majorUnit val="20"/>
      </c:valAx>
      <c:valAx>
        <c:axId val="144589952"/>
        <c:scaling>
          <c:orientation val="minMax"/>
        </c:scaling>
        <c:axPos val="l"/>
        <c:majorGridlines>
          <c:spPr>
            <a:ln w="12700">
              <a:solidFill>
                <a:schemeClr val="tx1"/>
              </a:solidFill>
            </a:ln>
          </c:spPr>
        </c:majorGridlines>
        <c:min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Temperatura</a:t>
                </a:r>
                <a:r>
                  <a:rPr lang="en-US" baseline="0">
                    <a:latin typeface="Times New Roman" pitchFamily="18" charset="0"/>
                    <a:cs typeface="Times New Roman" pitchFamily="18" charset="0"/>
                  </a:rPr>
                  <a:t>- Termocupla  (°C)</a:t>
                </a:r>
                <a:endParaRPr lang="en-US">
                  <a:latin typeface="Times New Roman" pitchFamily="18" charset="0"/>
                  <a:cs typeface="Times New Roman" pitchFamily="18" charset="0"/>
                </a:endParaRPr>
              </a:p>
            </c:rich>
          </c:tx>
        </c:title>
        <c:numFmt formatCode="General" sourceLinked="0"/>
        <c:tickLblPos val="nextTo"/>
        <c:spPr>
          <a:ln>
            <a:solidFill>
              <a:sysClr val="windowText" lastClr="000000"/>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44512896"/>
        <c:crossesAt val="0"/>
        <c:crossBetween val="midCat"/>
      </c:valAx>
    </c:plotArea>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497462817147871"/>
          <c:y val="5.1400554097404488E-2"/>
          <c:w val="0.70185870516185478"/>
          <c:h val="0.73444808982210552"/>
        </c:manualLayout>
      </c:layout>
      <c:scatterChart>
        <c:scatterStyle val="smoothMarker"/>
        <c:ser>
          <c:idx val="0"/>
          <c:order val="0"/>
          <c:tx>
            <c:v>D10</c:v>
          </c:tx>
          <c:spPr>
            <a:ln w="19050">
              <a:solidFill>
                <a:srgbClr val="FF0000"/>
              </a:solidFill>
            </a:ln>
          </c:spPr>
          <c:marker>
            <c:spPr>
              <a:solidFill>
                <a:sysClr val="windowText" lastClr="000000"/>
              </a:solidFill>
            </c:spPr>
          </c:marker>
          <c:xVal>
            <c:numRef>
              <c:f>Hoja1!$J$5:$J$13</c:f>
              <c:numCache>
                <c:formatCode>General</c:formatCode>
                <c:ptCount val="9"/>
                <c:pt idx="0">
                  <c:v>0</c:v>
                </c:pt>
                <c:pt idx="1">
                  <c:v>9</c:v>
                </c:pt>
                <c:pt idx="2">
                  <c:v>19</c:v>
                </c:pt>
                <c:pt idx="3">
                  <c:v>29</c:v>
                </c:pt>
                <c:pt idx="4">
                  <c:v>38</c:v>
                </c:pt>
                <c:pt idx="5">
                  <c:v>47</c:v>
                </c:pt>
                <c:pt idx="6">
                  <c:v>57</c:v>
                </c:pt>
                <c:pt idx="7">
                  <c:v>66</c:v>
                </c:pt>
                <c:pt idx="8">
                  <c:v>75</c:v>
                </c:pt>
              </c:numCache>
            </c:numRef>
          </c:xVal>
          <c:yVal>
            <c:numRef>
              <c:f>Hoja1!$K$5:$K$13</c:f>
              <c:numCache>
                <c:formatCode>General</c:formatCode>
                <c:ptCount val="9"/>
                <c:pt idx="0">
                  <c:v>14.34</c:v>
                </c:pt>
                <c:pt idx="1">
                  <c:v>9.02</c:v>
                </c:pt>
                <c:pt idx="2">
                  <c:v>15.9</c:v>
                </c:pt>
                <c:pt idx="3">
                  <c:v>9.6</c:v>
                </c:pt>
                <c:pt idx="4">
                  <c:v>9.7800000000000011</c:v>
                </c:pt>
                <c:pt idx="5">
                  <c:v>30.56</c:v>
                </c:pt>
                <c:pt idx="6">
                  <c:v>14.57</c:v>
                </c:pt>
                <c:pt idx="7">
                  <c:v>16.079999999999988</c:v>
                </c:pt>
                <c:pt idx="8">
                  <c:v>9.42</c:v>
                </c:pt>
              </c:numCache>
            </c:numRef>
          </c:yVal>
          <c:smooth val="1"/>
        </c:ser>
        <c:ser>
          <c:idx val="1"/>
          <c:order val="1"/>
          <c:tx>
            <c:v>D50</c:v>
          </c:tx>
          <c:spPr>
            <a:ln w="19050">
              <a:solidFill>
                <a:srgbClr val="0070C0"/>
              </a:solidFill>
            </a:ln>
          </c:spPr>
          <c:marker>
            <c:symbol val="square"/>
            <c:size val="4"/>
            <c:spPr>
              <a:solidFill>
                <a:schemeClr val="tx1"/>
              </a:solidFill>
              <a:ln>
                <a:solidFill>
                  <a:schemeClr val="tx1"/>
                </a:solidFill>
              </a:ln>
            </c:spPr>
          </c:marker>
          <c:xVal>
            <c:numRef>
              <c:f>Hoja1!$J$5:$J$13</c:f>
              <c:numCache>
                <c:formatCode>General</c:formatCode>
                <c:ptCount val="9"/>
                <c:pt idx="0">
                  <c:v>0</c:v>
                </c:pt>
                <c:pt idx="1">
                  <c:v>9</c:v>
                </c:pt>
                <c:pt idx="2">
                  <c:v>19</c:v>
                </c:pt>
                <c:pt idx="3">
                  <c:v>29</c:v>
                </c:pt>
                <c:pt idx="4">
                  <c:v>38</c:v>
                </c:pt>
                <c:pt idx="5">
                  <c:v>47</c:v>
                </c:pt>
                <c:pt idx="6">
                  <c:v>57</c:v>
                </c:pt>
                <c:pt idx="7">
                  <c:v>66</c:v>
                </c:pt>
                <c:pt idx="8">
                  <c:v>75</c:v>
                </c:pt>
              </c:numCache>
            </c:numRef>
          </c:xVal>
          <c:yVal>
            <c:numRef>
              <c:f>Hoja1!$L$5:$L$13</c:f>
              <c:numCache>
                <c:formatCode>General</c:formatCode>
                <c:ptCount val="9"/>
                <c:pt idx="0">
                  <c:v>56.07</c:v>
                </c:pt>
                <c:pt idx="1">
                  <c:v>26.459999999999987</c:v>
                </c:pt>
                <c:pt idx="2">
                  <c:v>65.45</c:v>
                </c:pt>
                <c:pt idx="3">
                  <c:v>28.47</c:v>
                </c:pt>
                <c:pt idx="4">
                  <c:v>54.690000000000012</c:v>
                </c:pt>
                <c:pt idx="5">
                  <c:v>124.95</c:v>
                </c:pt>
                <c:pt idx="6">
                  <c:v>102.64</c:v>
                </c:pt>
                <c:pt idx="7">
                  <c:v>30.18</c:v>
                </c:pt>
                <c:pt idx="8">
                  <c:v>31.759999999999987</c:v>
                </c:pt>
              </c:numCache>
            </c:numRef>
          </c:yVal>
          <c:smooth val="1"/>
        </c:ser>
        <c:ser>
          <c:idx val="2"/>
          <c:order val="2"/>
          <c:tx>
            <c:v>D90</c:v>
          </c:tx>
          <c:spPr>
            <a:ln w="19050">
              <a:solidFill>
                <a:srgbClr val="00B050"/>
              </a:solidFill>
            </a:ln>
          </c:spPr>
          <c:marker>
            <c:spPr>
              <a:solidFill>
                <a:sysClr val="windowText" lastClr="000000"/>
              </a:solidFill>
            </c:spPr>
          </c:marker>
          <c:xVal>
            <c:numRef>
              <c:f>Hoja1!$J$5:$J$13</c:f>
              <c:numCache>
                <c:formatCode>General</c:formatCode>
                <c:ptCount val="9"/>
                <c:pt idx="0">
                  <c:v>0</c:v>
                </c:pt>
                <c:pt idx="1">
                  <c:v>9</c:v>
                </c:pt>
                <c:pt idx="2">
                  <c:v>19</c:v>
                </c:pt>
                <c:pt idx="3">
                  <c:v>29</c:v>
                </c:pt>
                <c:pt idx="4">
                  <c:v>38</c:v>
                </c:pt>
                <c:pt idx="5">
                  <c:v>47</c:v>
                </c:pt>
                <c:pt idx="6">
                  <c:v>57</c:v>
                </c:pt>
                <c:pt idx="7">
                  <c:v>66</c:v>
                </c:pt>
                <c:pt idx="8">
                  <c:v>75</c:v>
                </c:pt>
              </c:numCache>
            </c:numRef>
          </c:xVal>
          <c:yVal>
            <c:numRef>
              <c:f>Hoja1!$M$5:$M$13</c:f>
              <c:numCache>
                <c:formatCode>General</c:formatCode>
                <c:ptCount val="9"/>
                <c:pt idx="0">
                  <c:v>166.70999999999998</c:v>
                </c:pt>
                <c:pt idx="1">
                  <c:v>67.989999999999995</c:v>
                </c:pt>
                <c:pt idx="2">
                  <c:v>85.57</c:v>
                </c:pt>
                <c:pt idx="3">
                  <c:v>118.99000000000002</c:v>
                </c:pt>
                <c:pt idx="4">
                  <c:v>154.19</c:v>
                </c:pt>
                <c:pt idx="5">
                  <c:v>200.28</c:v>
                </c:pt>
                <c:pt idx="6">
                  <c:v>256.67</c:v>
                </c:pt>
                <c:pt idx="7">
                  <c:v>106.88</c:v>
                </c:pt>
                <c:pt idx="8">
                  <c:v>102.86</c:v>
                </c:pt>
              </c:numCache>
            </c:numRef>
          </c:yVal>
          <c:smooth val="1"/>
        </c:ser>
        <c:axId val="144676352"/>
        <c:axId val="144691200"/>
      </c:scatterChart>
      <c:valAx>
        <c:axId val="144676352"/>
        <c:scaling>
          <c:orientation val="minMax"/>
          <c:max val="75"/>
        </c:scaling>
        <c:axPos val="b"/>
        <c:title>
          <c:tx>
            <c:rich>
              <a:bodyPr/>
              <a:lstStyle/>
              <a:p>
                <a:pPr>
                  <a:defRPr b="0"/>
                </a:pPr>
                <a:r>
                  <a:rPr lang="en-US" b="0"/>
                  <a:t>Tiempo</a:t>
                </a:r>
                <a:r>
                  <a:rPr lang="en-US" b="0" baseline="0"/>
                  <a:t> (min)</a:t>
                </a:r>
                <a:endParaRPr lang="en-US" b="0"/>
              </a:p>
            </c:rich>
          </c:tx>
        </c:title>
        <c:numFmt formatCode="General" sourceLinked="1"/>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en-US"/>
          </a:p>
        </c:txPr>
        <c:crossAx val="144691200"/>
        <c:crosses val="autoZero"/>
        <c:crossBetween val="midCat"/>
        <c:majorUnit val="5"/>
      </c:valAx>
      <c:valAx>
        <c:axId val="144691200"/>
        <c:scaling>
          <c:orientation val="minMax"/>
        </c:scaling>
        <c:axPos val="l"/>
        <c:majorGridlines/>
        <c:title>
          <c:tx>
            <c:rich>
              <a:bodyPr rot="-5400000" vert="horz"/>
              <a:lstStyle/>
              <a:p>
                <a:pPr>
                  <a:defRPr b="0"/>
                </a:pPr>
                <a:r>
                  <a:rPr lang="en-US" b="0"/>
                  <a:t>Diámetro equivalente (µm)</a:t>
                </a: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144676352"/>
        <c:crosses val="autoZero"/>
        <c:crossBetween val="midCat"/>
      </c:valAx>
      <c:spPr>
        <a:ln>
          <a:solidFill>
            <a:schemeClr val="tx1"/>
          </a:solidFill>
        </a:ln>
      </c:spPr>
    </c:plotArea>
    <c:legend>
      <c:legendPos val="r"/>
      <c:layout>
        <c:manualLayout>
          <c:xMode val="edge"/>
          <c:yMode val="edge"/>
          <c:x val="0.84919444444444558"/>
          <c:y val="0.11053514144065352"/>
          <c:w val="0.12858333333333341"/>
          <c:h val="0.25115157480314959"/>
        </c:manualLayout>
      </c:layout>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4497462817147871"/>
          <c:y val="5.1400554097404488E-2"/>
          <c:w val="0.70185870516185478"/>
          <c:h val="0.73444808982210552"/>
        </c:manualLayout>
      </c:layout>
      <c:scatterChart>
        <c:scatterStyle val="smoothMarker"/>
        <c:ser>
          <c:idx val="0"/>
          <c:order val="0"/>
          <c:tx>
            <c:v>D10</c:v>
          </c:tx>
          <c:spPr>
            <a:ln w="19050">
              <a:solidFill>
                <a:srgbClr val="FF0000"/>
              </a:solidFill>
            </a:ln>
          </c:spPr>
          <c:marker>
            <c:spPr>
              <a:solidFill>
                <a:sysClr val="windowText" lastClr="000000"/>
              </a:solidFill>
            </c:spPr>
          </c:marker>
          <c:xVal>
            <c:numRef>
              <c:f>Hoja1!$J$5:$J$13</c:f>
              <c:numCache>
                <c:formatCode>General</c:formatCode>
                <c:ptCount val="9"/>
                <c:pt idx="0">
                  <c:v>0</c:v>
                </c:pt>
                <c:pt idx="1">
                  <c:v>9</c:v>
                </c:pt>
                <c:pt idx="2">
                  <c:v>19</c:v>
                </c:pt>
                <c:pt idx="3">
                  <c:v>29</c:v>
                </c:pt>
                <c:pt idx="4">
                  <c:v>38</c:v>
                </c:pt>
                <c:pt idx="5">
                  <c:v>47</c:v>
                </c:pt>
                <c:pt idx="6">
                  <c:v>57</c:v>
                </c:pt>
                <c:pt idx="7">
                  <c:v>66</c:v>
                </c:pt>
                <c:pt idx="8">
                  <c:v>75</c:v>
                </c:pt>
              </c:numCache>
            </c:numRef>
          </c:xVal>
          <c:yVal>
            <c:numRef>
              <c:f>Hoja1!$O$5:$O$13</c:f>
              <c:numCache>
                <c:formatCode>General</c:formatCode>
                <c:ptCount val="9"/>
                <c:pt idx="0">
                  <c:v>4.07</c:v>
                </c:pt>
                <c:pt idx="1">
                  <c:v>5.09</c:v>
                </c:pt>
                <c:pt idx="2">
                  <c:v>9.07</c:v>
                </c:pt>
                <c:pt idx="3">
                  <c:v>13.94</c:v>
                </c:pt>
                <c:pt idx="4">
                  <c:v>12.07</c:v>
                </c:pt>
                <c:pt idx="5">
                  <c:v>18.38</c:v>
                </c:pt>
                <c:pt idx="6">
                  <c:v>10.040000000000001</c:v>
                </c:pt>
                <c:pt idx="7">
                  <c:v>9.67</c:v>
                </c:pt>
                <c:pt idx="8">
                  <c:v>2.15</c:v>
                </c:pt>
              </c:numCache>
            </c:numRef>
          </c:yVal>
          <c:smooth val="1"/>
        </c:ser>
        <c:ser>
          <c:idx val="1"/>
          <c:order val="1"/>
          <c:tx>
            <c:v>D50</c:v>
          </c:tx>
          <c:spPr>
            <a:ln w="19050">
              <a:solidFill>
                <a:srgbClr val="0070C0"/>
              </a:solidFill>
            </a:ln>
          </c:spPr>
          <c:marker>
            <c:symbol val="square"/>
            <c:size val="4"/>
            <c:spPr>
              <a:solidFill>
                <a:schemeClr val="tx1"/>
              </a:solidFill>
              <a:ln>
                <a:solidFill>
                  <a:schemeClr val="tx1"/>
                </a:solidFill>
              </a:ln>
            </c:spPr>
          </c:marker>
          <c:xVal>
            <c:numRef>
              <c:f>Hoja1!$J$5:$J$13</c:f>
              <c:numCache>
                <c:formatCode>General</c:formatCode>
                <c:ptCount val="9"/>
                <c:pt idx="0">
                  <c:v>0</c:v>
                </c:pt>
                <c:pt idx="1">
                  <c:v>9</c:v>
                </c:pt>
                <c:pt idx="2">
                  <c:v>19</c:v>
                </c:pt>
                <c:pt idx="3">
                  <c:v>29</c:v>
                </c:pt>
                <c:pt idx="4">
                  <c:v>38</c:v>
                </c:pt>
                <c:pt idx="5">
                  <c:v>47</c:v>
                </c:pt>
                <c:pt idx="6">
                  <c:v>57</c:v>
                </c:pt>
                <c:pt idx="7">
                  <c:v>66</c:v>
                </c:pt>
                <c:pt idx="8">
                  <c:v>75</c:v>
                </c:pt>
              </c:numCache>
            </c:numRef>
          </c:xVal>
          <c:yVal>
            <c:numRef>
              <c:f>Hoja1!$P$5:$P$13</c:f>
              <c:numCache>
                <c:formatCode>General</c:formatCode>
                <c:ptCount val="9"/>
                <c:pt idx="0">
                  <c:v>21.72</c:v>
                </c:pt>
                <c:pt idx="1">
                  <c:v>32.620000000000012</c:v>
                </c:pt>
                <c:pt idx="2">
                  <c:v>32.18</c:v>
                </c:pt>
                <c:pt idx="3">
                  <c:v>61.21</c:v>
                </c:pt>
                <c:pt idx="4">
                  <c:v>64.08</c:v>
                </c:pt>
                <c:pt idx="5">
                  <c:v>96.07</c:v>
                </c:pt>
                <c:pt idx="6">
                  <c:v>57.64</c:v>
                </c:pt>
                <c:pt idx="7">
                  <c:v>56.42</c:v>
                </c:pt>
                <c:pt idx="8">
                  <c:v>59.71</c:v>
                </c:pt>
              </c:numCache>
            </c:numRef>
          </c:yVal>
          <c:smooth val="1"/>
        </c:ser>
        <c:ser>
          <c:idx val="2"/>
          <c:order val="2"/>
          <c:tx>
            <c:v>D90</c:v>
          </c:tx>
          <c:spPr>
            <a:ln w="19050">
              <a:solidFill>
                <a:srgbClr val="00B050"/>
              </a:solidFill>
            </a:ln>
          </c:spPr>
          <c:marker>
            <c:spPr>
              <a:solidFill>
                <a:sysClr val="windowText" lastClr="000000"/>
              </a:solidFill>
            </c:spPr>
          </c:marker>
          <c:xVal>
            <c:numRef>
              <c:f>Hoja1!$J$5:$J$13</c:f>
              <c:numCache>
                <c:formatCode>General</c:formatCode>
                <c:ptCount val="9"/>
                <c:pt idx="0">
                  <c:v>0</c:v>
                </c:pt>
                <c:pt idx="1">
                  <c:v>9</c:v>
                </c:pt>
                <c:pt idx="2">
                  <c:v>19</c:v>
                </c:pt>
                <c:pt idx="3">
                  <c:v>29</c:v>
                </c:pt>
                <c:pt idx="4">
                  <c:v>38</c:v>
                </c:pt>
                <c:pt idx="5">
                  <c:v>47</c:v>
                </c:pt>
                <c:pt idx="6">
                  <c:v>57</c:v>
                </c:pt>
                <c:pt idx="7">
                  <c:v>66</c:v>
                </c:pt>
                <c:pt idx="8">
                  <c:v>75</c:v>
                </c:pt>
              </c:numCache>
            </c:numRef>
          </c:xVal>
          <c:yVal>
            <c:numRef>
              <c:f>Hoja1!$Q$5:$Q$13</c:f>
              <c:numCache>
                <c:formatCode>General</c:formatCode>
                <c:ptCount val="9"/>
                <c:pt idx="0">
                  <c:v>66.459999999999994</c:v>
                </c:pt>
                <c:pt idx="1">
                  <c:v>64.679999999999978</c:v>
                </c:pt>
                <c:pt idx="2">
                  <c:v>83.43</c:v>
                </c:pt>
                <c:pt idx="3">
                  <c:v>101.75</c:v>
                </c:pt>
                <c:pt idx="4">
                  <c:v>137.63999999999999</c:v>
                </c:pt>
                <c:pt idx="5">
                  <c:v>123.64</c:v>
                </c:pt>
                <c:pt idx="6">
                  <c:v>91.210000000000022</c:v>
                </c:pt>
                <c:pt idx="7">
                  <c:v>114.91000000000007</c:v>
                </c:pt>
                <c:pt idx="8">
                  <c:v>110.1</c:v>
                </c:pt>
              </c:numCache>
            </c:numRef>
          </c:yVal>
          <c:smooth val="1"/>
        </c:ser>
        <c:axId val="145715968"/>
        <c:axId val="145718272"/>
      </c:scatterChart>
      <c:valAx>
        <c:axId val="145715968"/>
        <c:scaling>
          <c:orientation val="minMax"/>
          <c:max val="75"/>
        </c:scaling>
        <c:axPos val="b"/>
        <c:title>
          <c:tx>
            <c:rich>
              <a:bodyPr/>
              <a:lstStyle/>
              <a:p>
                <a:pPr>
                  <a:defRPr b="0"/>
                </a:pPr>
                <a:r>
                  <a:rPr lang="en-US" b="0"/>
                  <a:t>Tiempo (min)</a:t>
                </a:r>
              </a:p>
            </c:rich>
          </c:tx>
        </c:title>
        <c:numFmt formatCode="General" sourceLinked="1"/>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en-US"/>
          </a:p>
        </c:txPr>
        <c:crossAx val="145718272"/>
        <c:crosses val="autoZero"/>
        <c:crossBetween val="midCat"/>
        <c:majorUnit val="5"/>
      </c:valAx>
      <c:valAx>
        <c:axId val="145718272"/>
        <c:scaling>
          <c:orientation val="minMax"/>
        </c:scaling>
        <c:axPos val="l"/>
        <c:majorGridlines/>
        <c:title>
          <c:tx>
            <c:rich>
              <a:bodyPr rot="-5400000" vert="horz"/>
              <a:lstStyle/>
              <a:p>
                <a:pPr>
                  <a:defRPr b="0"/>
                </a:pPr>
                <a:r>
                  <a:rPr lang="en-US" b="0"/>
                  <a:t>Diámetro equivalente (µm)</a:t>
                </a: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145715968"/>
        <c:crosses val="autoZero"/>
        <c:crossBetween val="midCat"/>
      </c:valAx>
      <c:spPr>
        <a:ln>
          <a:solidFill>
            <a:schemeClr val="tx1"/>
          </a:solidFill>
        </a:ln>
      </c:spPr>
    </c:plotArea>
    <c:legend>
      <c:legendPos val="r"/>
      <c:layout>
        <c:manualLayout>
          <c:xMode val="edge"/>
          <c:yMode val="edge"/>
          <c:x val="0.84919444444444558"/>
          <c:y val="0.11053514144065352"/>
          <c:w val="0.12858333333333341"/>
          <c:h val="0.25115157480314959"/>
        </c:manualLayout>
      </c:layout>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4497462817147871"/>
          <c:y val="5.1400554097404488E-2"/>
          <c:w val="0.70185870516185478"/>
          <c:h val="0.73444808982210552"/>
        </c:manualLayout>
      </c:layout>
      <c:scatterChart>
        <c:scatterStyle val="smoothMarker"/>
        <c:ser>
          <c:idx val="0"/>
          <c:order val="0"/>
          <c:tx>
            <c:v>D10</c:v>
          </c:tx>
          <c:spPr>
            <a:ln w="19050">
              <a:solidFill>
                <a:srgbClr val="FF0000"/>
              </a:solidFill>
            </a:ln>
          </c:spPr>
          <c:marker>
            <c:spPr>
              <a:solidFill>
                <a:sysClr val="windowText" lastClr="000000"/>
              </a:solidFill>
            </c:spPr>
          </c:marker>
          <c:xVal>
            <c:numRef>
              <c:f>Hoja1!$B$5:$B$13</c:f>
              <c:numCache>
                <c:formatCode>General</c:formatCode>
                <c:ptCount val="9"/>
                <c:pt idx="0">
                  <c:v>0</c:v>
                </c:pt>
                <c:pt idx="1">
                  <c:v>6</c:v>
                </c:pt>
                <c:pt idx="2">
                  <c:v>12</c:v>
                </c:pt>
                <c:pt idx="3">
                  <c:v>18</c:v>
                </c:pt>
                <c:pt idx="4">
                  <c:v>25</c:v>
                </c:pt>
                <c:pt idx="5">
                  <c:v>32</c:v>
                </c:pt>
                <c:pt idx="6">
                  <c:v>38</c:v>
                </c:pt>
                <c:pt idx="7">
                  <c:v>44</c:v>
                </c:pt>
                <c:pt idx="8">
                  <c:v>51</c:v>
                </c:pt>
              </c:numCache>
            </c:numRef>
          </c:xVal>
          <c:yVal>
            <c:numRef>
              <c:f>Hoja1!$C$5:$C$13</c:f>
              <c:numCache>
                <c:formatCode>General</c:formatCode>
                <c:ptCount val="9"/>
                <c:pt idx="0">
                  <c:v>14.34</c:v>
                </c:pt>
                <c:pt idx="1">
                  <c:v>26.630000000000017</c:v>
                </c:pt>
                <c:pt idx="2">
                  <c:v>18.989999999999974</c:v>
                </c:pt>
                <c:pt idx="3">
                  <c:v>22.979999999999986</c:v>
                </c:pt>
                <c:pt idx="4">
                  <c:v>15.76</c:v>
                </c:pt>
                <c:pt idx="5">
                  <c:v>16.2</c:v>
                </c:pt>
                <c:pt idx="6">
                  <c:v>16.21</c:v>
                </c:pt>
                <c:pt idx="7">
                  <c:v>10.81</c:v>
                </c:pt>
                <c:pt idx="8">
                  <c:v>12.77</c:v>
                </c:pt>
              </c:numCache>
            </c:numRef>
          </c:yVal>
          <c:smooth val="1"/>
        </c:ser>
        <c:ser>
          <c:idx val="1"/>
          <c:order val="1"/>
          <c:tx>
            <c:v>D50</c:v>
          </c:tx>
          <c:spPr>
            <a:ln w="19050">
              <a:solidFill>
                <a:srgbClr val="0070C0"/>
              </a:solidFill>
            </a:ln>
          </c:spPr>
          <c:marker>
            <c:symbol val="square"/>
            <c:size val="4"/>
            <c:spPr>
              <a:solidFill>
                <a:schemeClr val="tx1"/>
              </a:solidFill>
              <a:ln>
                <a:solidFill>
                  <a:schemeClr val="tx1"/>
                </a:solidFill>
              </a:ln>
            </c:spPr>
          </c:marker>
          <c:xVal>
            <c:numRef>
              <c:f>Hoja1!$B$5:$B$13</c:f>
              <c:numCache>
                <c:formatCode>General</c:formatCode>
                <c:ptCount val="9"/>
                <c:pt idx="0">
                  <c:v>0</c:v>
                </c:pt>
                <c:pt idx="1">
                  <c:v>6</c:v>
                </c:pt>
                <c:pt idx="2">
                  <c:v>12</c:v>
                </c:pt>
                <c:pt idx="3">
                  <c:v>18</c:v>
                </c:pt>
                <c:pt idx="4">
                  <c:v>25</c:v>
                </c:pt>
                <c:pt idx="5">
                  <c:v>32</c:v>
                </c:pt>
                <c:pt idx="6">
                  <c:v>38</c:v>
                </c:pt>
                <c:pt idx="7">
                  <c:v>44</c:v>
                </c:pt>
                <c:pt idx="8">
                  <c:v>51</c:v>
                </c:pt>
              </c:numCache>
            </c:numRef>
          </c:xVal>
          <c:yVal>
            <c:numRef>
              <c:f>Hoja1!$D$5:$D$13</c:f>
              <c:numCache>
                <c:formatCode>General</c:formatCode>
                <c:ptCount val="9"/>
                <c:pt idx="0">
                  <c:v>56.07</c:v>
                </c:pt>
                <c:pt idx="1">
                  <c:v>171.06</c:v>
                </c:pt>
                <c:pt idx="2">
                  <c:v>171.95000000000007</c:v>
                </c:pt>
                <c:pt idx="3">
                  <c:v>113.16</c:v>
                </c:pt>
                <c:pt idx="4">
                  <c:v>62.09</c:v>
                </c:pt>
                <c:pt idx="5">
                  <c:v>58.449999999999996</c:v>
                </c:pt>
                <c:pt idx="6">
                  <c:v>47.53</c:v>
                </c:pt>
                <c:pt idx="7">
                  <c:v>47.59</c:v>
                </c:pt>
                <c:pt idx="8">
                  <c:v>40.54</c:v>
                </c:pt>
              </c:numCache>
            </c:numRef>
          </c:yVal>
          <c:smooth val="1"/>
        </c:ser>
        <c:ser>
          <c:idx val="2"/>
          <c:order val="2"/>
          <c:tx>
            <c:v>D90</c:v>
          </c:tx>
          <c:spPr>
            <a:ln w="19050">
              <a:solidFill>
                <a:srgbClr val="00B050"/>
              </a:solidFill>
            </a:ln>
          </c:spPr>
          <c:marker>
            <c:spPr>
              <a:solidFill>
                <a:sysClr val="windowText" lastClr="000000"/>
              </a:solidFill>
            </c:spPr>
          </c:marker>
          <c:xVal>
            <c:numRef>
              <c:f>Hoja1!$B$5:$B$13</c:f>
              <c:numCache>
                <c:formatCode>General</c:formatCode>
                <c:ptCount val="9"/>
                <c:pt idx="0">
                  <c:v>0</c:v>
                </c:pt>
                <c:pt idx="1">
                  <c:v>6</c:v>
                </c:pt>
                <c:pt idx="2">
                  <c:v>12</c:v>
                </c:pt>
                <c:pt idx="3">
                  <c:v>18</c:v>
                </c:pt>
                <c:pt idx="4">
                  <c:v>25</c:v>
                </c:pt>
                <c:pt idx="5">
                  <c:v>32</c:v>
                </c:pt>
                <c:pt idx="6">
                  <c:v>38</c:v>
                </c:pt>
                <c:pt idx="7">
                  <c:v>44</c:v>
                </c:pt>
                <c:pt idx="8">
                  <c:v>51</c:v>
                </c:pt>
              </c:numCache>
            </c:numRef>
          </c:xVal>
          <c:yVal>
            <c:numRef>
              <c:f>Hoja1!$E$5:$E$13</c:f>
              <c:numCache>
                <c:formatCode>General</c:formatCode>
                <c:ptCount val="9"/>
                <c:pt idx="0">
                  <c:v>166.70999999999998</c:v>
                </c:pt>
                <c:pt idx="1">
                  <c:v>298.89</c:v>
                </c:pt>
                <c:pt idx="2">
                  <c:v>272.83999999999969</c:v>
                </c:pt>
                <c:pt idx="3">
                  <c:v>194.91</c:v>
                </c:pt>
                <c:pt idx="4">
                  <c:v>103.86999999999999</c:v>
                </c:pt>
                <c:pt idx="5">
                  <c:v>104.07</c:v>
                </c:pt>
                <c:pt idx="6">
                  <c:v>147.73999999999998</c:v>
                </c:pt>
                <c:pt idx="7">
                  <c:v>194.26</c:v>
                </c:pt>
                <c:pt idx="8">
                  <c:v>116.61</c:v>
                </c:pt>
              </c:numCache>
            </c:numRef>
          </c:yVal>
          <c:smooth val="1"/>
        </c:ser>
        <c:axId val="145747968"/>
        <c:axId val="145750272"/>
      </c:scatterChart>
      <c:valAx>
        <c:axId val="145747968"/>
        <c:scaling>
          <c:orientation val="minMax"/>
          <c:max val="51"/>
          <c:min val="0"/>
        </c:scaling>
        <c:axPos val="b"/>
        <c:title>
          <c:tx>
            <c:rich>
              <a:bodyPr/>
              <a:lstStyle/>
              <a:p>
                <a:pPr>
                  <a:defRPr b="0"/>
                </a:pPr>
                <a:r>
                  <a:rPr lang="en-US" b="0"/>
                  <a:t>Tiempo (min)</a:t>
                </a:r>
              </a:p>
            </c:rich>
          </c:tx>
        </c:title>
        <c:numFmt formatCode="General" sourceLinked="1"/>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en-US"/>
          </a:p>
        </c:txPr>
        <c:crossAx val="145750272"/>
        <c:crosses val="autoZero"/>
        <c:crossBetween val="midCat"/>
        <c:majorUnit val="5"/>
      </c:valAx>
      <c:valAx>
        <c:axId val="145750272"/>
        <c:scaling>
          <c:orientation val="minMax"/>
        </c:scaling>
        <c:axPos val="l"/>
        <c:majorGridlines/>
        <c:title>
          <c:tx>
            <c:rich>
              <a:bodyPr rot="-5400000" vert="horz"/>
              <a:lstStyle/>
              <a:p>
                <a:pPr>
                  <a:defRPr b="0"/>
                </a:pPr>
                <a:r>
                  <a:rPr lang="en-US" b="0"/>
                  <a:t>Diámetro equivalente (µm)</a:t>
                </a: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145747968"/>
        <c:crosses val="autoZero"/>
        <c:crossBetween val="midCat"/>
      </c:valAx>
      <c:spPr>
        <a:ln>
          <a:solidFill>
            <a:schemeClr val="tx1"/>
          </a:solidFill>
        </a:ln>
      </c:spPr>
    </c:plotArea>
    <c:legend>
      <c:legendPos val="r"/>
      <c:layout>
        <c:manualLayout>
          <c:xMode val="edge"/>
          <c:yMode val="edge"/>
          <c:x val="0.84919444444444558"/>
          <c:y val="0.11053514144065352"/>
          <c:w val="0.12858333333333341"/>
          <c:h val="0.25115157480314959"/>
        </c:manualLayout>
      </c:layout>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4497462817147871"/>
          <c:y val="5.1400554097404488E-2"/>
          <c:w val="0.70185870516185478"/>
          <c:h val="0.73444808982210552"/>
        </c:manualLayout>
      </c:layout>
      <c:scatterChart>
        <c:scatterStyle val="smoothMarker"/>
        <c:ser>
          <c:idx val="0"/>
          <c:order val="0"/>
          <c:tx>
            <c:v>D10</c:v>
          </c:tx>
          <c:spPr>
            <a:ln w="19050">
              <a:solidFill>
                <a:srgbClr val="FF0000"/>
              </a:solidFill>
            </a:ln>
          </c:spPr>
          <c:marker>
            <c:spPr>
              <a:solidFill>
                <a:sysClr val="windowText" lastClr="000000"/>
              </a:solidFill>
            </c:spPr>
          </c:marker>
          <c:xVal>
            <c:numRef>
              <c:f>Hoja1!$B$5:$B$13</c:f>
              <c:numCache>
                <c:formatCode>General</c:formatCode>
                <c:ptCount val="9"/>
                <c:pt idx="0">
                  <c:v>0</c:v>
                </c:pt>
                <c:pt idx="1">
                  <c:v>6</c:v>
                </c:pt>
                <c:pt idx="2">
                  <c:v>12</c:v>
                </c:pt>
                <c:pt idx="3">
                  <c:v>18</c:v>
                </c:pt>
                <c:pt idx="4">
                  <c:v>25</c:v>
                </c:pt>
                <c:pt idx="5">
                  <c:v>32</c:v>
                </c:pt>
                <c:pt idx="6">
                  <c:v>38</c:v>
                </c:pt>
                <c:pt idx="7">
                  <c:v>44</c:v>
                </c:pt>
                <c:pt idx="8">
                  <c:v>51</c:v>
                </c:pt>
              </c:numCache>
            </c:numRef>
          </c:xVal>
          <c:yVal>
            <c:numRef>
              <c:f>Hoja1!$G$5:$G$13</c:f>
              <c:numCache>
                <c:formatCode>General</c:formatCode>
                <c:ptCount val="9"/>
                <c:pt idx="0">
                  <c:v>4.07</c:v>
                </c:pt>
                <c:pt idx="1">
                  <c:v>7.99</c:v>
                </c:pt>
                <c:pt idx="2">
                  <c:v>25.21</c:v>
                </c:pt>
                <c:pt idx="3">
                  <c:v>23.47</c:v>
                </c:pt>
                <c:pt idx="4">
                  <c:v>13.94</c:v>
                </c:pt>
                <c:pt idx="5">
                  <c:v>11.719999999999999</c:v>
                </c:pt>
                <c:pt idx="6">
                  <c:v>3.69</c:v>
                </c:pt>
                <c:pt idx="7">
                  <c:v>2.7800000000000002</c:v>
                </c:pt>
                <c:pt idx="8">
                  <c:v>2.15</c:v>
                </c:pt>
              </c:numCache>
            </c:numRef>
          </c:yVal>
          <c:smooth val="1"/>
        </c:ser>
        <c:ser>
          <c:idx val="1"/>
          <c:order val="1"/>
          <c:tx>
            <c:v>D50</c:v>
          </c:tx>
          <c:spPr>
            <a:ln w="19050">
              <a:solidFill>
                <a:srgbClr val="0070C0"/>
              </a:solidFill>
            </a:ln>
          </c:spPr>
          <c:marker>
            <c:symbol val="square"/>
            <c:size val="4"/>
            <c:spPr>
              <a:solidFill>
                <a:schemeClr val="tx1"/>
              </a:solidFill>
              <a:ln>
                <a:solidFill>
                  <a:schemeClr val="tx1"/>
                </a:solidFill>
              </a:ln>
            </c:spPr>
          </c:marker>
          <c:xVal>
            <c:numRef>
              <c:f>Hoja1!$B$5:$B$13</c:f>
              <c:numCache>
                <c:formatCode>General</c:formatCode>
                <c:ptCount val="9"/>
                <c:pt idx="0">
                  <c:v>0</c:v>
                </c:pt>
                <c:pt idx="1">
                  <c:v>6</c:v>
                </c:pt>
                <c:pt idx="2">
                  <c:v>12</c:v>
                </c:pt>
                <c:pt idx="3">
                  <c:v>18</c:v>
                </c:pt>
                <c:pt idx="4">
                  <c:v>25</c:v>
                </c:pt>
                <c:pt idx="5">
                  <c:v>32</c:v>
                </c:pt>
                <c:pt idx="6">
                  <c:v>38</c:v>
                </c:pt>
                <c:pt idx="7">
                  <c:v>44</c:v>
                </c:pt>
                <c:pt idx="8">
                  <c:v>51</c:v>
                </c:pt>
              </c:numCache>
            </c:numRef>
          </c:xVal>
          <c:yVal>
            <c:numRef>
              <c:f>Hoja1!$H$5:$H$13</c:f>
              <c:numCache>
                <c:formatCode>General</c:formatCode>
                <c:ptCount val="9"/>
                <c:pt idx="0">
                  <c:v>21.72</c:v>
                </c:pt>
                <c:pt idx="1">
                  <c:v>101.28</c:v>
                </c:pt>
                <c:pt idx="2">
                  <c:v>140.53</c:v>
                </c:pt>
                <c:pt idx="3">
                  <c:v>94.08</c:v>
                </c:pt>
                <c:pt idx="4">
                  <c:v>78.910000000000025</c:v>
                </c:pt>
                <c:pt idx="5">
                  <c:v>61.21</c:v>
                </c:pt>
                <c:pt idx="6">
                  <c:v>63.51</c:v>
                </c:pt>
                <c:pt idx="7">
                  <c:v>50.59</c:v>
                </c:pt>
                <c:pt idx="8">
                  <c:v>59.71</c:v>
                </c:pt>
              </c:numCache>
            </c:numRef>
          </c:yVal>
          <c:smooth val="1"/>
        </c:ser>
        <c:ser>
          <c:idx val="2"/>
          <c:order val="2"/>
          <c:tx>
            <c:v>D90</c:v>
          </c:tx>
          <c:spPr>
            <a:ln w="19050">
              <a:solidFill>
                <a:srgbClr val="00B050"/>
              </a:solidFill>
            </a:ln>
          </c:spPr>
          <c:marker>
            <c:spPr>
              <a:solidFill>
                <a:sysClr val="windowText" lastClr="000000"/>
              </a:solidFill>
            </c:spPr>
          </c:marker>
          <c:xVal>
            <c:numRef>
              <c:f>Hoja1!$B$5:$B$13</c:f>
              <c:numCache>
                <c:formatCode>General</c:formatCode>
                <c:ptCount val="9"/>
                <c:pt idx="0">
                  <c:v>0</c:v>
                </c:pt>
                <c:pt idx="1">
                  <c:v>6</c:v>
                </c:pt>
                <c:pt idx="2">
                  <c:v>12</c:v>
                </c:pt>
                <c:pt idx="3">
                  <c:v>18</c:v>
                </c:pt>
                <c:pt idx="4">
                  <c:v>25</c:v>
                </c:pt>
                <c:pt idx="5">
                  <c:v>32</c:v>
                </c:pt>
                <c:pt idx="6">
                  <c:v>38</c:v>
                </c:pt>
                <c:pt idx="7">
                  <c:v>44</c:v>
                </c:pt>
                <c:pt idx="8">
                  <c:v>51</c:v>
                </c:pt>
              </c:numCache>
            </c:numRef>
          </c:xVal>
          <c:yVal>
            <c:numRef>
              <c:f>Hoja1!$I$5:$I$13</c:f>
              <c:numCache>
                <c:formatCode>General</c:formatCode>
                <c:ptCount val="9"/>
                <c:pt idx="0">
                  <c:v>66.459999999999994</c:v>
                </c:pt>
                <c:pt idx="1">
                  <c:v>185.15</c:v>
                </c:pt>
                <c:pt idx="2">
                  <c:v>166.67</c:v>
                </c:pt>
                <c:pt idx="3">
                  <c:v>152.9</c:v>
                </c:pt>
                <c:pt idx="4">
                  <c:v>106.69</c:v>
                </c:pt>
                <c:pt idx="5">
                  <c:v>101.75</c:v>
                </c:pt>
                <c:pt idx="6">
                  <c:v>123.69</c:v>
                </c:pt>
                <c:pt idx="7">
                  <c:v>86.42</c:v>
                </c:pt>
                <c:pt idx="8">
                  <c:v>110.1</c:v>
                </c:pt>
              </c:numCache>
            </c:numRef>
          </c:yVal>
          <c:smooth val="1"/>
        </c:ser>
        <c:axId val="145873920"/>
        <c:axId val="145880576"/>
      </c:scatterChart>
      <c:valAx>
        <c:axId val="145873920"/>
        <c:scaling>
          <c:orientation val="minMax"/>
          <c:max val="51"/>
          <c:min val="0"/>
        </c:scaling>
        <c:axPos val="b"/>
        <c:title>
          <c:tx>
            <c:rich>
              <a:bodyPr/>
              <a:lstStyle/>
              <a:p>
                <a:pPr>
                  <a:defRPr b="0"/>
                </a:pPr>
                <a:r>
                  <a:rPr lang="en-US" b="0"/>
                  <a:t>Tiempo (min)</a:t>
                </a:r>
              </a:p>
            </c:rich>
          </c:tx>
        </c:title>
        <c:numFmt formatCode="General" sourceLinked="1"/>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en-US"/>
          </a:p>
        </c:txPr>
        <c:crossAx val="145880576"/>
        <c:crosses val="autoZero"/>
        <c:crossBetween val="midCat"/>
        <c:majorUnit val="5"/>
      </c:valAx>
      <c:valAx>
        <c:axId val="145880576"/>
        <c:scaling>
          <c:orientation val="minMax"/>
        </c:scaling>
        <c:axPos val="l"/>
        <c:majorGridlines/>
        <c:title>
          <c:tx>
            <c:rich>
              <a:bodyPr rot="-5400000" vert="horz"/>
              <a:lstStyle/>
              <a:p>
                <a:pPr>
                  <a:defRPr b="0"/>
                </a:pPr>
                <a:r>
                  <a:rPr lang="en-US" b="0"/>
                  <a:t>Diámetro equivalente (µm)</a:t>
                </a: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145873920"/>
        <c:crosses val="autoZero"/>
        <c:crossBetween val="midCat"/>
      </c:valAx>
      <c:spPr>
        <a:ln>
          <a:solidFill>
            <a:schemeClr val="tx1"/>
          </a:solidFill>
        </a:ln>
      </c:spPr>
    </c:plotArea>
    <c:legend>
      <c:legendPos val="r"/>
      <c:layout>
        <c:manualLayout>
          <c:xMode val="edge"/>
          <c:yMode val="edge"/>
          <c:x val="0.84919444444444558"/>
          <c:y val="0.11053514144065352"/>
          <c:w val="0.12858333333333341"/>
          <c:h val="0.25115157480314959"/>
        </c:manualLayout>
      </c:layout>
    </c:legend>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694999663503595"/>
          <c:y val="3.9526503428387719E-2"/>
          <c:w val="0.87247395580182108"/>
          <c:h val="0.78987188288378773"/>
        </c:manualLayout>
      </c:layout>
      <c:scatterChart>
        <c:scatterStyle val="smoothMarker"/>
        <c:ser>
          <c:idx val="0"/>
          <c:order val="0"/>
          <c:tx>
            <c:v>Anillos de vidrio</c:v>
          </c:tx>
          <c:spPr>
            <a:ln w="22225">
              <a:solidFill>
                <a:srgbClr val="00B050"/>
              </a:solidFill>
            </a:ln>
          </c:spPr>
          <c:marker>
            <c:symbol val="diamond"/>
            <c:size val="7"/>
            <c:spPr>
              <a:solidFill>
                <a:sysClr val="windowText" lastClr="000000"/>
              </a:solidFill>
            </c:spPr>
          </c:marker>
          <c:xVal>
            <c:numRef>
              <c:f>Hoja1!$C$6:$C$14</c:f>
              <c:numCache>
                <c:formatCode>0.0</c:formatCode>
                <c:ptCount val="9"/>
                <c:pt idx="0">
                  <c:v>0</c:v>
                </c:pt>
                <c:pt idx="1">
                  <c:v>5</c:v>
                </c:pt>
                <c:pt idx="2">
                  <c:v>10</c:v>
                </c:pt>
                <c:pt idx="3">
                  <c:v>15</c:v>
                </c:pt>
                <c:pt idx="4">
                  <c:v>20</c:v>
                </c:pt>
                <c:pt idx="5">
                  <c:v>25</c:v>
                </c:pt>
                <c:pt idx="6">
                  <c:v>30</c:v>
                </c:pt>
                <c:pt idx="7">
                  <c:v>35</c:v>
                </c:pt>
                <c:pt idx="8">
                  <c:v>40</c:v>
                </c:pt>
              </c:numCache>
            </c:numRef>
          </c:xVal>
          <c:yVal>
            <c:numRef>
              <c:f>Hoja1!$H$6:$H$14</c:f>
              <c:numCache>
                <c:formatCode>0.0</c:formatCode>
                <c:ptCount val="9"/>
                <c:pt idx="0">
                  <c:v>1</c:v>
                </c:pt>
                <c:pt idx="1">
                  <c:v>0.53846153846153844</c:v>
                </c:pt>
                <c:pt idx="2">
                  <c:v>0.76923076923076916</c:v>
                </c:pt>
                <c:pt idx="3">
                  <c:v>0.46153846153846212</c:v>
                </c:pt>
                <c:pt idx="4">
                  <c:v>1.2307692307692286</c:v>
                </c:pt>
                <c:pt idx="5">
                  <c:v>3.1538461538461533</c:v>
                </c:pt>
                <c:pt idx="6">
                  <c:v>5.9230769230769225</c:v>
                </c:pt>
                <c:pt idx="7">
                  <c:v>1.2307692307692286</c:v>
                </c:pt>
                <c:pt idx="8">
                  <c:v>0.8461538461538477</c:v>
                </c:pt>
              </c:numCache>
            </c:numRef>
          </c:yVal>
          <c:smooth val="1"/>
        </c:ser>
        <c:ser>
          <c:idx val="1"/>
          <c:order val="1"/>
          <c:tx>
            <c:v>Polietileno</c:v>
          </c:tx>
          <c:spPr>
            <a:ln w="22225"/>
          </c:spPr>
          <c:marker>
            <c:symbol val="square"/>
            <c:size val="5"/>
            <c:spPr>
              <a:solidFill>
                <a:sysClr val="windowText" lastClr="000000"/>
              </a:solidFill>
            </c:spPr>
          </c:marker>
          <c:xVal>
            <c:numRef>
              <c:f>Hoja1!$C$6:$C$14</c:f>
              <c:numCache>
                <c:formatCode>0.0</c:formatCode>
                <c:ptCount val="9"/>
                <c:pt idx="0">
                  <c:v>0</c:v>
                </c:pt>
                <c:pt idx="1">
                  <c:v>5</c:v>
                </c:pt>
                <c:pt idx="2">
                  <c:v>10</c:v>
                </c:pt>
                <c:pt idx="3">
                  <c:v>15</c:v>
                </c:pt>
                <c:pt idx="4">
                  <c:v>20</c:v>
                </c:pt>
                <c:pt idx="5">
                  <c:v>25</c:v>
                </c:pt>
                <c:pt idx="6">
                  <c:v>30</c:v>
                </c:pt>
                <c:pt idx="7">
                  <c:v>35</c:v>
                </c:pt>
                <c:pt idx="8">
                  <c:v>40</c:v>
                </c:pt>
              </c:numCache>
            </c:numRef>
          </c:xVal>
          <c:yVal>
            <c:numRef>
              <c:f>Hoja1!$J$6:$J$14</c:f>
              <c:numCache>
                <c:formatCode>0.0</c:formatCode>
                <c:ptCount val="9"/>
                <c:pt idx="0">
                  <c:v>1</c:v>
                </c:pt>
                <c:pt idx="1">
                  <c:v>3.3076923076923119</c:v>
                </c:pt>
                <c:pt idx="2">
                  <c:v>2.6923076923076952</c:v>
                </c:pt>
                <c:pt idx="3">
                  <c:v>3</c:v>
                </c:pt>
                <c:pt idx="4">
                  <c:v>1</c:v>
                </c:pt>
                <c:pt idx="5">
                  <c:v>1.1538461538461537</c:v>
                </c:pt>
                <c:pt idx="6">
                  <c:v>0.92307692307692257</c:v>
                </c:pt>
                <c:pt idx="7">
                  <c:v>1.2307692307692286</c:v>
                </c:pt>
                <c:pt idx="8">
                  <c:v>0.53846153846153844</c:v>
                </c:pt>
              </c:numCache>
            </c:numRef>
          </c:yVal>
          <c:smooth val="1"/>
        </c:ser>
        <c:axId val="145896960"/>
        <c:axId val="145903616"/>
      </c:scatterChart>
      <c:valAx>
        <c:axId val="145896960"/>
        <c:scaling>
          <c:orientation val="minMax"/>
          <c:max val="40"/>
          <c:min val="0"/>
        </c:scaling>
        <c:axPos val="b"/>
        <c:title>
          <c:tx>
            <c:rich>
              <a:bodyPr/>
              <a:lstStyle/>
              <a:p>
                <a:pPr>
                  <a:defRPr b="0"/>
                </a:pPr>
                <a:r>
                  <a:rPr lang="en-US" b="0"/>
                  <a:t>Volumen recolectado (ml)</a:t>
                </a:r>
              </a:p>
            </c:rich>
          </c:tx>
          <c:layout>
            <c:manualLayout>
              <c:xMode val="edge"/>
              <c:yMode val="edge"/>
              <c:x val="0.34555803812581998"/>
              <c:y val="0.92589246656668034"/>
            </c:manualLayout>
          </c:layout>
        </c:title>
        <c:numFmt formatCode="0.0" sourceLinked="1"/>
        <c:tickLblPos val="nextTo"/>
        <c:txPr>
          <a:bodyPr/>
          <a:lstStyle/>
          <a:p>
            <a:pPr>
              <a:defRPr sz="1000"/>
            </a:pPr>
            <a:endParaRPr lang="en-US"/>
          </a:p>
        </c:txPr>
        <c:crossAx val="145903616"/>
        <c:crosses val="autoZero"/>
        <c:crossBetween val="midCat"/>
        <c:majorUnit val="5"/>
      </c:valAx>
      <c:valAx>
        <c:axId val="145903616"/>
        <c:scaling>
          <c:orientation val="minMax"/>
        </c:scaling>
        <c:axPos val="l"/>
        <c:majorGridlines/>
        <c:title>
          <c:tx>
            <c:rich>
              <a:bodyPr rot="-5400000" vert="horz"/>
              <a:lstStyle/>
              <a:p>
                <a:pPr>
                  <a:defRPr b="0"/>
                </a:pPr>
                <a:r>
                  <a:rPr lang="en-US" b="0"/>
                  <a:t>FD (-)</a:t>
                </a:r>
              </a:p>
            </c:rich>
          </c:tx>
        </c:title>
        <c:numFmt formatCode="0.0" sourceLinked="1"/>
        <c:tickLblPos val="nextTo"/>
        <c:txPr>
          <a:bodyPr/>
          <a:lstStyle/>
          <a:p>
            <a:pPr>
              <a:defRPr sz="1000"/>
            </a:pPr>
            <a:endParaRPr lang="en-US"/>
          </a:p>
        </c:txPr>
        <c:crossAx val="145896960"/>
        <c:crosses val="autoZero"/>
        <c:crossBetween val="midCat"/>
      </c:valAx>
      <c:spPr>
        <a:ln>
          <a:solidFill>
            <a:sysClr val="windowText" lastClr="000000"/>
          </a:solidFill>
        </a:ln>
      </c:spPr>
    </c:plotArea>
    <c:legend>
      <c:legendPos val="r"/>
      <c:layout>
        <c:manualLayout>
          <c:xMode val="edge"/>
          <c:yMode val="edge"/>
          <c:x val="0.11531069639149714"/>
          <c:y val="5.8173543068354358E-2"/>
          <c:w val="0.25431244334812536"/>
          <c:h val="0.17241738171184301"/>
        </c:manualLayout>
      </c:layout>
      <c:spPr>
        <a:solidFill>
          <a:schemeClr val="bg1"/>
        </a:solidFill>
        <a:ln>
          <a:solidFill>
            <a:schemeClr val="tx1"/>
          </a:solidFill>
        </a:ln>
      </c:spPr>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956891314839518"/>
          <c:y val="3.9409185375743491E-2"/>
          <c:w val="0.8698372172168829"/>
          <c:h val="0.79049560004047814"/>
        </c:manualLayout>
      </c:layout>
      <c:scatterChart>
        <c:scatterStyle val="smoothMarker"/>
        <c:ser>
          <c:idx val="0"/>
          <c:order val="0"/>
          <c:tx>
            <c:v>Anillos de vidrio</c:v>
          </c:tx>
          <c:spPr>
            <a:ln w="22225">
              <a:solidFill>
                <a:srgbClr val="00B050"/>
              </a:solidFill>
            </a:ln>
          </c:spPr>
          <c:marker>
            <c:spPr>
              <a:solidFill>
                <a:sysClr val="windowText" lastClr="000000"/>
              </a:solidFill>
            </c:spPr>
          </c:marker>
          <c:xVal>
            <c:numRef>
              <c:f>Hoja1!$C$6:$C$14</c:f>
              <c:numCache>
                <c:formatCode>0.0</c:formatCode>
                <c:ptCount val="9"/>
                <c:pt idx="0">
                  <c:v>0</c:v>
                </c:pt>
                <c:pt idx="1">
                  <c:v>5</c:v>
                </c:pt>
                <c:pt idx="2">
                  <c:v>10</c:v>
                </c:pt>
                <c:pt idx="3">
                  <c:v>15</c:v>
                </c:pt>
                <c:pt idx="4">
                  <c:v>20</c:v>
                </c:pt>
                <c:pt idx="5">
                  <c:v>25</c:v>
                </c:pt>
                <c:pt idx="6">
                  <c:v>30</c:v>
                </c:pt>
                <c:pt idx="7">
                  <c:v>35</c:v>
                </c:pt>
                <c:pt idx="8">
                  <c:v>40</c:v>
                </c:pt>
              </c:numCache>
            </c:numRef>
          </c:xVal>
          <c:yVal>
            <c:numRef>
              <c:f>Hoja1!$I$6:$I$14</c:f>
              <c:numCache>
                <c:formatCode>0.0</c:formatCode>
                <c:ptCount val="9"/>
                <c:pt idx="0">
                  <c:v>1</c:v>
                </c:pt>
                <c:pt idx="1">
                  <c:v>2</c:v>
                </c:pt>
                <c:pt idx="2">
                  <c:v>1.35</c:v>
                </c:pt>
                <c:pt idx="3">
                  <c:v>2.9499999999999997</c:v>
                </c:pt>
                <c:pt idx="4">
                  <c:v>2.65</c:v>
                </c:pt>
                <c:pt idx="5">
                  <c:v>3.6</c:v>
                </c:pt>
                <c:pt idx="6">
                  <c:v>2.7</c:v>
                </c:pt>
                <c:pt idx="7">
                  <c:v>1.9500000000000022</c:v>
                </c:pt>
                <c:pt idx="8">
                  <c:v>1.6500000000000001</c:v>
                </c:pt>
              </c:numCache>
            </c:numRef>
          </c:yVal>
          <c:smooth val="1"/>
        </c:ser>
        <c:ser>
          <c:idx val="1"/>
          <c:order val="1"/>
          <c:tx>
            <c:v>Polietileno</c:v>
          </c:tx>
          <c:spPr>
            <a:ln w="22225"/>
          </c:spPr>
          <c:marker>
            <c:spPr>
              <a:solidFill>
                <a:sysClr val="windowText" lastClr="000000"/>
              </a:solidFill>
            </c:spPr>
          </c:marker>
          <c:xVal>
            <c:numRef>
              <c:f>Hoja1!$C$6:$C$14</c:f>
              <c:numCache>
                <c:formatCode>0.0</c:formatCode>
                <c:ptCount val="9"/>
                <c:pt idx="0">
                  <c:v>0</c:v>
                </c:pt>
                <c:pt idx="1">
                  <c:v>5</c:v>
                </c:pt>
                <c:pt idx="2">
                  <c:v>10</c:v>
                </c:pt>
                <c:pt idx="3">
                  <c:v>15</c:v>
                </c:pt>
                <c:pt idx="4">
                  <c:v>20</c:v>
                </c:pt>
                <c:pt idx="5">
                  <c:v>25</c:v>
                </c:pt>
                <c:pt idx="6">
                  <c:v>30</c:v>
                </c:pt>
                <c:pt idx="7">
                  <c:v>35</c:v>
                </c:pt>
                <c:pt idx="8">
                  <c:v>40</c:v>
                </c:pt>
              </c:numCache>
            </c:numRef>
          </c:xVal>
          <c:yVal>
            <c:numRef>
              <c:f>Hoja1!$K$6:$K$14</c:f>
              <c:numCache>
                <c:formatCode>0.0</c:formatCode>
                <c:ptCount val="9"/>
                <c:pt idx="0">
                  <c:v>1</c:v>
                </c:pt>
                <c:pt idx="1">
                  <c:v>6.1</c:v>
                </c:pt>
                <c:pt idx="2">
                  <c:v>5.9</c:v>
                </c:pt>
                <c:pt idx="3">
                  <c:v>5.25</c:v>
                </c:pt>
                <c:pt idx="4">
                  <c:v>3.55</c:v>
                </c:pt>
                <c:pt idx="5">
                  <c:v>2.9499999999999997</c:v>
                </c:pt>
                <c:pt idx="6">
                  <c:v>2.65</c:v>
                </c:pt>
                <c:pt idx="7">
                  <c:v>1.6</c:v>
                </c:pt>
                <c:pt idx="8">
                  <c:v>2.65</c:v>
                </c:pt>
              </c:numCache>
            </c:numRef>
          </c:yVal>
          <c:smooth val="1"/>
        </c:ser>
        <c:axId val="145920000"/>
        <c:axId val="145922304"/>
      </c:scatterChart>
      <c:valAx>
        <c:axId val="145920000"/>
        <c:scaling>
          <c:orientation val="minMax"/>
          <c:max val="40"/>
        </c:scaling>
        <c:axPos val="b"/>
        <c:title>
          <c:tx>
            <c:rich>
              <a:bodyPr/>
              <a:lstStyle/>
              <a:p>
                <a:pPr>
                  <a:defRPr b="0"/>
                </a:pPr>
                <a:r>
                  <a:rPr lang="en-US" b="0"/>
                  <a:t>Volumen recolectado (ml)</a:t>
                </a:r>
              </a:p>
            </c:rich>
          </c:tx>
          <c:layout>
            <c:manualLayout>
              <c:xMode val="edge"/>
              <c:yMode val="edge"/>
              <c:x val="0.35967517629953732"/>
              <c:y val="0.92639904386951744"/>
            </c:manualLayout>
          </c:layout>
        </c:title>
        <c:numFmt formatCode="0.0" sourceLinked="1"/>
        <c:tickLblPos val="nextTo"/>
        <c:txPr>
          <a:bodyPr/>
          <a:lstStyle/>
          <a:p>
            <a:pPr>
              <a:defRPr sz="800"/>
            </a:pPr>
            <a:endParaRPr lang="en-US"/>
          </a:p>
        </c:txPr>
        <c:crossAx val="145922304"/>
        <c:crosses val="autoZero"/>
        <c:crossBetween val="midCat"/>
        <c:majorUnit val="5"/>
      </c:valAx>
      <c:valAx>
        <c:axId val="145922304"/>
        <c:scaling>
          <c:orientation val="minMax"/>
        </c:scaling>
        <c:axPos val="l"/>
        <c:majorGridlines/>
        <c:title>
          <c:tx>
            <c:rich>
              <a:bodyPr rot="-5400000" vert="horz"/>
              <a:lstStyle/>
              <a:p>
                <a:pPr>
                  <a:defRPr b="0"/>
                </a:pPr>
                <a:r>
                  <a:rPr lang="en-US" b="0"/>
                  <a:t>FD (-)</a:t>
                </a:r>
              </a:p>
            </c:rich>
          </c:tx>
          <c:layout>
            <c:manualLayout>
              <c:xMode val="edge"/>
              <c:yMode val="edge"/>
              <c:x val="4.5083548072395565E-3"/>
              <c:y val="0.36456341394825692"/>
            </c:manualLayout>
          </c:layout>
        </c:title>
        <c:numFmt formatCode="0.0" sourceLinked="1"/>
        <c:tickLblPos val="nextTo"/>
        <c:txPr>
          <a:bodyPr/>
          <a:lstStyle/>
          <a:p>
            <a:pPr>
              <a:defRPr sz="800"/>
            </a:pPr>
            <a:endParaRPr lang="en-US"/>
          </a:p>
        </c:txPr>
        <c:crossAx val="145920000"/>
        <c:crosses val="autoZero"/>
        <c:crossBetween val="midCat"/>
      </c:valAx>
      <c:spPr>
        <a:ln>
          <a:solidFill>
            <a:schemeClr val="tx1"/>
          </a:solidFill>
        </a:ln>
      </c:spPr>
    </c:plotArea>
    <c:legend>
      <c:legendPos val="r"/>
      <c:layout>
        <c:manualLayout>
          <c:xMode val="edge"/>
          <c:yMode val="edge"/>
          <c:x val="0.69997170138889375"/>
          <c:y val="5.7585916458411934E-2"/>
          <c:w val="0.26078315972222221"/>
          <c:h val="0.16841839063872527"/>
        </c:manualLayout>
      </c:layout>
      <c:spPr>
        <a:solidFill>
          <a:schemeClr val="bg1"/>
        </a:solidFill>
        <a:ln>
          <a:solidFill>
            <a:schemeClr val="tx1"/>
          </a:solidFill>
        </a:ln>
      </c:spPr>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9724394837182026E-2"/>
          <c:y val="4.1431930383702027E-2"/>
          <c:w val="0.85460079412069478"/>
          <c:h val="0.77974087456575292"/>
        </c:manualLayout>
      </c:layout>
      <c:scatterChart>
        <c:scatterStyle val="smoothMarker"/>
        <c:ser>
          <c:idx val="0"/>
          <c:order val="0"/>
          <c:tx>
            <c:v>Anillos de vidrio</c:v>
          </c:tx>
          <c:spPr>
            <a:ln w="22225">
              <a:solidFill>
                <a:srgbClr val="00B050"/>
              </a:solidFill>
            </a:ln>
          </c:spPr>
          <c:marker>
            <c:symbol val="diamond"/>
            <c:size val="5"/>
            <c:spPr>
              <a:solidFill>
                <a:sysClr val="windowText" lastClr="000000"/>
              </a:solidFill>
            </c:spPr>
          </c:marker>
          <c:xVal>
            <c:numRef>
              <c:f>'Merey 31'!$S$17:$AA$17</c:f>
              <c:numCache>
                <c:formatCode>0.0</c:formatCode>
                <c:ptCount val="9"/>
                <c:pt idx="0">
                  <c:v>0</c:v>
                </c:pt>
                <c:pt idx="1">
                  <c:v>5</c:v>
                </c:pt>
                <c:pt idx="2">
                  <c:v>10</c:v>
                </c:pt>
                <c:pt idx="3">
                  <c:v>15</c:v>
                </c:pt>
                <c:pt idx="4">
                  <c:v>20</c:v>
                </c:pt>
                <c:pt idx="5">
                  <c:v>25</c:v>
                </c:pt>
                <c:pt idx="6">
                  <c:v>30</c:v>
                </c:pt>
                <c:pt idx="7">
                  <c:v>35</c:v>
                </c:pt>
                <c:pt idx="8">
                  <c:v>40</c:v>
                </c:pt>
              </c:numCache>
            </c:numRef>
          </c:xVal>
          <c:yVal>
            <c:numRef>
              <c:f>'Merey 31'!$S$18:$AA$18</c:f>
              <c:numCache>
                <c:formatCode>General</c:formatCode>
                <c:ptCount val="9"/>
                <c:pt idx="0">
                  <c:v>24</c:v>
                </c:pt>
                <c:pt idx="1">
                  <c:v>48.5</c:v>
                </c:pt>
                <c:pt idx="2">
                  <c:v>52.5</c:v>
                </c:pt>
                <c:pt idx="3">
                  <c:v>57</c:v>
                </c:pt>
                <c:pt idx="4">
                  <c:v>60</c:v>
                </c:pt>
                <c:pt idx="5">
                  <c:v>60</c:v>
                </c:pt>
                <c:pt idx="6">
                  <c:v>61</c:v>
                </c:pt>
                <c:pt idx="7">
                  <c:v>61</c:v>
                </c:pt>
                <c:pt idx="8">
                  <c:v>61.5</c:v>
                </c:pt>
              </c:numCache>
            </c:numRef>
          </c:yVal>
          <c:smooth val="1"/>
        </c:ser>
        <c:ser>
          <c:idx val="1"/>
          <c:order val="1"/>
          <c:tx>
            <c:v>Polietileno</c:v>
          </c:tx>
          <c:spPr>
            <a:ln w="22225"/>
          </c:spPr>
          <c:marker>
            <c:symbol val="square"/>
            <c:size val="5"/>
            <c:spPr>
              <a:solidFill>
                <a:sysClr val="windowText" lastClr="000000"/>
              </a:solidFill>
            </c:spPr>
          </c:marker>
          <c:xVal>
            <c:numRef>
              <c:f>'Merey 31'!$S$17:$AA$17</c:f>
              <c:numCache>
                <c:formatCode>0.0</c:formatCode>
                <c:ptCount val="9"/>
                <c:pt idx="0">
                  <c:v>0</c:v>
                </c:pt>
                <c:pt idx="1">
                  <c:v>5</c:v>
                </c:pt>
                <c:pt idx="2">
                  <c:v>10</c:v>
                </c:pt>
                <c:pt idx="3">
                  <c:v>15</c:v>
                </c:pt>
                <c:pt idx="4">
                  <c:v>20</c:v>
                </c:pt>
                <c:pt idx="5">
                  <c:v>25</c:v>
                </c:pt>
                <c:pt idx="6">
                  <c:v>30</c:v>
                </c:pt>
                <c:pt idx="7">
                  <c:v>35</c:v>
                </c:pt>
                <c:pt idx="8">
                  <c:v>40</c:v>
                </c:pt>
              </c:numCache>
            </c:numRef>
          </c:xVal>
          <c:yVal>
            <c:numRef>
              <c:f>'Merey 31'!$S$19:$AA$19</c:f>
              <c:numCache>
                <c:formatCode>General</c:formatCode>
                <c:ptCount val="9"/>
                <c:pt idx="0">
                  <c:v>24</c:v>
                </c:pt>
                <c:pt idx="1">
                  <c:v>46.5</c:v>
                </c:pt>
                <c:pt idx="2">
                  <c:v>54.5</c:v>
                </c:pt>
                <c:pt idx="3">
                  <c:v>58</c:v>
                </c:pt>
                <c:pt idx="4">
                  <c:v>57.5</c:v>
                </c:pt>
                <c:pt idx="5">
                  <c:v>57.5</c:v>
                </c:pt>
                <c:pt idx="6">
                  <c:v>57</c:v>
                </c:pt>
                <c:pt idx="7">
                  <c:v>58</c:v>
                </c:pt>
                <c:pt idx="8">
                  <c:v>57.5</c:v>
                </c:pt>
              </c:numCache>
            </c:numRef>
          </c:yVal>
          <c:smooth val="1"/>
        </c:ser>
        <c:axId val="146094336"/>
        <c:axId val="146100992"/>
      </c:scatterChart>
      <c:valAx>
        <c:axId val="146094336"/>
        <c:scaling>
          <c:orientation val="minMax"/>
          <c:max val="40"/>
          <c:min val="0"/>
        </c:scaling>
        <c:axPos val="b"/>
        <c:title>
          <c:tx>
            <c:rich>
              <a:bodyPr/>
              <a:lstStyle/>
              <a:p>
                <a:pPr>
                  <a:defRPr b="0"/>
                </a:pPr>
                <a:r>
                  <a:rPr lang="en-US" b="0"/>
                  <a:t>Volumen recolectado (ml)</a:t>
                </a:r>
              </a:p>
            </c:rich>
          </c:tx>
        </c:title>
        <c:numFmt formatCode="0.0" sourceLinked="1"/>
        <c:tickLblPos val="nextTo"/>
        <c:crossAx val="146100992"/>
        <c:crosses val="autoZero"/>
        <c:crossBetween val="midCat"/>
        <c:majorUnit val="5"/>
      </c:valAx>
      <c:valAx>
        <c:axId val="146100992"/>
        <c:scaling>
          <c:orientation val="minMax"/>
        </c:scaling>
        <c:axPos val="l"/>
        <c:majorGridlines/>
        <c:title>
          <c:tx>
            <c:rich>
              <a:bodyPr rot="-5400000" vert="horz"/>
              <a:lstStyle/>
              <a:p>
                <a:pPr>
                  <a:defRPr b="0"/>
                </a:pPr>
                <a:r>
                  <a:rPr lang="en-US" b="0"/>
                  <a:t>Temperatura promedio en la celda (°C)</a:t>
                </a:r>
              </a:p>
            </c:rich>
          </c:tx>
          <c:layout>
            <c:manualLayout>
              <c:xMode val="edge"/>
              <c:yMode val="edge"/>
              <c:x val="1.028882699467134E-3"/>
              <c:y val="8.3456976079286205E-2"/>
            </c:manualLayout>
          </c:layout>
        </c:title>
        <c:numFmt formatCode="General" sourceLinked="1"/>
        <c:tickLblPos val="nextTo"/>
        <c:crossAx val="146094336"/>
        <c:crosses val="autoZero"/>
        <c:crossBetween val="midCat"/>
      </c:valAx>
      <c:spPr>
        <a:ln>
          <a:solidFill>
            <a:sysClr val="windowText" lastClr="000000"/>
          </a:solidFill>
        </a:ln>
      </c:spPr>
    </c:plotArea>
    <c:legend>
      <c:legendPos val="r"/>
      <c:layout>
        <c:manualLayout>
          <c:xMode val="edge"/>
          <c:yMode val="edge"/>
          <c:x val="0.63318730469015261"/>
          <c:y val="0.5716051118610177"/>
          <c:w val="0.27950642361111111"/>
          <c:h val="0.1708358700308914"/>
        </c:manualLayout>
      </c:layout>
      <c:spPr>
        <a:solidFill>
          <a:schemeClr val="bg1"/>
        </a:solidFill>
        <a:ln>
          <a:solidFill>
            <a:schemeClr val="tx1"/>
          </a:solidFill>
        </a:ln>
      </c:spPr>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342822531798965"/>
          <c:y val="4.9117217696491501E-2"/>
          <c:w val="0.85893628472221872"/>
          <c:h val="0.77974087456575336"/>
        </c:manualLayout>
      </c:layout>
      <c:scatterChart>
        <c:scatterStyle val="smoothMarker"/>
        <c:ser>
          <c:idx val="0"/>
          <c:order val="0"/>
          <c:tx>
            <c:v>Anillos de vidrio</c:v>
          </c:tx>
          <c:spPr>
            <a:ln w="22225">
              <a:solidFill>
                <a:srgbClr val="00B050"/>
              </a:solidFill>
            </a:ln>
          </c:spPr>
          <c:marker>
            <c:symbol val="diamond"/>
            <c:size val="5"/>
            <c:spPr>
              <a:solidFill>
                <a:sysClr val="windowText" lastClr="000000"/>
              </a:solidFill>
            </c:spPr>
          </c:marker>
          <c:xVal>
            <c:numRef>
              <c:f>'Merey 31'!$S$17:$AA$17</c:f>
              <c:numCache>
                <c:formatCode>0.0</c:formatCode>
                <c:ptCount val="9"/>
                <c:pt idx="0">
                  <c:v>0</c:v>
                </c:pt>
                <c:pt idx="1">
                  <c:v>5</c:v>
                </c:pt>
                <c:pt idx="2">
                  <c:v>10</c:v>
                </c:pt>
                <c:pt idx="3">
                  <c:v>15</c:v>
                </c:pt>
                <c:pt idx="4">
                  <c:v>20</c:v>
                </c:pt>
                <c:pt idx="5">
                  <c:v>25</c:v>
                </c:pt>
                <c:pt idx="6">
                  <c:v>30</c:v>
                </c:pt>
                <c:pt idx="7">
                  <c:v>35</c:v>
                </c:pt>
                <c:pt idx="8">
                  <c:v>40</c:v>
                </c:pt>
              </c:numCache>
            </c:numRef>
          </c:xVal>
          <c:yVal>
            <c:numRef>
              <c:f>'Merey 31'!$K$44:$K$52</c:f>
              <c:numCache>
                <c:formatCode>0</c:formatCode>
                <c:ptCount val="9"/>
                <c:pt idx="1">
                  <c:v>429.24000000000007</c:v>
                </c:pt>
                <c:pt idx="2">
                  <c:v>535.92000000000007</c:v>
                </c:pt>
                <c:pt idx="3">
                  <c:v>488.04000000000008</c:v>
                </c:pt>
                <c:pt idx="4">
                  <c:v>469.56000000000006</c:v>
                </c:pt>
                <c:pt idx="5">
                  <c:v>470.40000000000003</c:v>
                </c:pt>
                <c:pt idx="6">
                  <c:v>467.88</c:v>
                </c:pt>
                <c:pt idx="7">
                  <c:v>468.71999999999969</c:v>
                </c:pt>
                <c:pt idx="8">
                  <c:v>474.6</c:v>
                </c:pt>
              </c:numCache>
            </c:numRef>
          </c:yVal>
          <c:smooth val="1"/>
        </c:ser>
        <c:ser>
          <c:idx val="1"/>
          <c:order val="1"/>
          <c:tx>
            <c:v>Polietileno</c:v>
          </c:tx>
          <c:spPr>
            <a:ln w="22225"/>
          </c:spPr>
          <c:marker>
            <c:symbol val="square"/>
            <c:size val="5"/>
            <c:spPr>
              <a:solidFill>
                <a:sysClr val="windowText" lastClr="000000"/>
              </a:solidFill>
            </c:spPr>
          </c:marker>
          <c:xVal>
            <c:numRef>
              <c:f>'Merey 31'!$S$17:$AA$17</c:f>
              <c:numCache>
                <c:formatCode>0.0</c:formatCode>
                <c:ptCount val="9"/>
                <c:pt idx="0">
                  <c:v>0</c:v>
                </c:pt>
                <c:pt idx="1">
                  <c:v>5</c:v>
                </c:pt>
                <c:pt idx="2">
                  <c:v>10</c:v>
                </c:pt>
                <c:pt idx="3">
                  <c:v>15</c:v>
                </c:pt>
                <c:pt idx="4">
                  <c:v>20</c:v>
                </c:pt>
                <c:pt idx="5">
                  <c:v>25</c:v>
                </c:pt>
                <c:pt idx="6">
                  <c:v>30</c:v>
                </c:pt>
                <c:pt idx="7">
                  <c:v>35</c:v>
                </c:pt>
                <c:pt idx="8">
                  <c:v>40</c:v>
                </c:pt>
              </c:numCache>
            </c:numRef>
          </c:xVal>
          <c:yVal>
            <c:numRef>
              <c:f>'Merey 31'!$K$34:$K$42</c:f>
              <c:numCache>
                <c:formatCode>0</c:formatCode>
                <c:ptCount val="9"/>
                <c:pt idx="1">
                  <c:v>190.84</c:v>
                </c:pt>
                <c:pt idx="2">
                  <c:v>182.52</c:v>
                </c:pt>
                <c:pt idx="3">
                  <c:v>180.44000000000003</c:v>
                </c:pt>
                <c:pt idx="4">
                  <c:v>213.72</c:v>
                </c:pt>
                <c:pt idx="5">
                  <c:v>217.36</c:v>
                </c:pt>
                <c:pt idx="6">
                  <c:v>201.23999999999998</c:v>
                </c:pt>
                <c:pt idx="7">
                  <c:v>225</c:v>
                </c:pt>
                <c:pt idx="8">
                  <c:v>237</c:v>
                </c:pt>
              </c:numCache>
            </c:numRef>
          </c:yVal>
          <c:smooth val="1"/>
        </c:ser>
        <c:axId val="146117376"/>
        <c:axId val="146119680"/>
      </c:scatterChart>
      <c:valAx>
        <c:axId val="146117376"/>
        <c:scaling>
          <c:orientation val="minMax"/>
          <c:max val="40"/>
          <c:min val="0"/>
        </c:scaling>
        <c:axPos val="b"/>
        <c:title>
          <c:tx>
            <c:rich>
              <a:bodyPr/>
              <a:lstStyle/>
              <a:p>
                <a:pPr>
                  <a:defRPr b="0"/>
                </a:pPr>
                <a:r>
                  <a:rPr lang="en-US" b="0"/>
                  <a:t>Volumen recolectado (ml)</a:t>
                </a:r>
              </a:p>
            </c:rich>
          </c:tx>
          <c:layout>
            <c:manualLayout>
              <c:xMode val="edge"/>
              <c:yMode val="edge"/>
              <c:x val="0.39865622265966805"/>
              <c:y val="0.92048766948862659"/>
            </c:manualLayout>
          </c:layout>
        </c:title>
        <c:numFmt formatCode="0.0" sourceLinked="1"/>
        <c:tickLblPos val="nextTo"/>
        <c:txPr>
          <a:bodyPr/>
          <a:lstStyle/>
          <a:p>
            <a:pPr>
              <a:defRPr>
                <a:solidFill>
                  <a:schemeClr val="tx1"/>
                </a:solidFill>
              </a:defRPr>
            </a:pPr>
            <a:endParaRPr lang="en-US"/>
          </a:p>
        </c:txPr>
        <c:crossAx val="146119680"/>
        <c:crosses val="autoZero"/>
        <c:crossBetween val="midCat"/>
        <c:majorUnit val="5"/>
      </c:valAx>
      <c:valAx>
        <c:axId val="146119680"/>
        <c:scaling>
          <c:orientation val="minMax"/>
        </c:scaling>
        <c:axPos val="l"/>
        <c:majorGridlines/>
        <c:title>
          <c:tx>
            <c:rich>
              <a:bodyPr rot="-5400000" vert="horz"/>
              <a:lstStyle/>
              <a:p>
                <a:pPr>
                  <a:defRPr b="0"/>
                </a:pPr>
                <a:r>
                  <a:rPr lang="en-US" b="0"/>
                  <a:t>Timepo de residencia (s)</a:t>
                </a:r>
              </a:p>
            </c:rich>
          </c:tx>
          <c:layout>
            <c:manualLayout>
              <c:xMode val="edge"/>
              <c:yMode val="edge"/>
              <c:x val="7.7528770442156691E-4"/>
              <c:y val="0.19062379450407316"/>
            </c:manualLayout>
          </c:layout>
        </c:title>
        <c:numFmt formatCode="General" sourceLinked="1"/>
        <c:tickLblPos val="nextTo"/>
        <c:crossAx val="146117376"/>
        <c:crosses val="autoZero"/>
        <c:crossBetween val="midCat"/>
      </c:valAx>
      <c:spPr>
        <a:ln>
          <a:solidFill>
            <a:sysClr val="windowText" lastClr="000000"/>
          </a:solidFill>
        </a:ln>
      </c:spPr>
    </c:plotArea>
    <c:legend>
      <c:legendPos val="r"/>
      <c:layout>
        <c:manualLayout>
          <c:xMode val="edge"/>
          <c:yMode val="edge"/>
          <c:x val="0.69695468750000289"/>
          <c:y val="0.63015209778383763"/>
          <c:w val="0.2491152777777785"/>
          <c:h val="0.17524148493505276"/>
        </c:manualLayout>
      </c:layout>
      <c:spPr>
        <a:solidFill>
          <a:schemeClr val="bg1"/>
        </a:solidFill>
        <a:ln>
          <a:solidFill>
            <a:schemeClr val="tx1"/>
          </a:solidFill>
        </a:ln>
      </c:spPr>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306452252706154"/>
          <c:y val="4.0531644085953382E-2"/>
          <c:w val="0.76550069384712061"/>
          <c:h val="0.79801716952124013"/>
        </c:manualLayout>
      </c:layout>
      <c:scatterChart>
        <c:scatterStyle val="smoothMarker"/>
        <c:ser>
          <c:idx val="0"/>
          <c:order val="0"/>
          <c:tx>
            <c:v>D10</c:v>
          </c:tx>
          <c:spPr>
            <a:ln w="19050">
              <a:solidFill>
                <a:srgbClr val="FF0000"/>
              </a:solidFill>
            </a:ln>
          </c:spPr>
          <c:marker>
            <c:symbol val="diamond"/>
            <c:size val="5"/>
            <c:spPr>
              <a:solidFill>
                <a:sysClr val="windowText" lastClr="000000"/>
              </a:solidFill>
            </c:spPr>
          </c:marker>
          <c:xVal>
            <c:numRef>
              <c:f>Hoja3!$B$4:$B$12</c:f>
              <c:numCache>
                <c:formatCode>General</c:formatCode>
                <c:ptCount val="9"/>
                <c:pt idx="0">
                  <c:v>0</c:v>
                </c:pt>
                <c:pt idx="1">
                  <c:v>9</c:v>
                </c:pt>
                <c:pt idx="2">
                  <c:v>19</c:v>
                </c:pt>
                <c:pt idx="3">
                  <c:v>29</c:v>
                </c:pt>
                <c:pt idx="4">
                  <c:v>38</c:v>
                </c:pt>
                <c:pt idx="5">
                  <c:v>47</c:v>
                </c:pt>
                <c:pt idx="6">
                  <c:v>57</c:v>
                </c:pt>
                <c:pt idx="7">
                  <c:v>66</c:v>
                </c:pt>
                <c:pt idx="8">
                  <c:v>75</c:v>
                </c:pt>
              </c:numCache>
            </c:numRef>
          </c:xVal>
          <c:yVal>
            <c:numRef>
              <c:f>Hoja3!$C$4:$C$12</c:f>
              <c:numCache>
                <c:formatCode>General</c:formatCode>
                <c:ptCount val="9"/>
                <c:pt idx="0">
                  <c:v>14.34</c:v>
                </c:pt>
                <c:pt idx="1">
                  <c:v>7.01</c:v>
                </c:pt>
                <c:pt idx="2">
                  <c:v>6.92</c:v>
                </c:pt>
                <c:pt idx="3">
                  <c:v>12.4</c:v>
                </c:pt>
                <c:pt idx="4">
                  <c:v>17.760000000000002</c:v>
                </c:pt>
                <c:pt idx="5">
                  <c:v>22.07</c:v>
                </c:pt>
                <c:pt idx="6">
                  <c:v>14.8</c:v>
                </c:pt>
                <c:pt idx="7">
                  <c:v>9.08</c:v>
                </c:pt>
                <c:pt idx="8">
                  <c:v>7.89</c:v>
                </c:pt>
              </c:numCache>
            </c:numRef>
          </c:yVal>
          <c:smooth val="1"/>
        </c:ser>
        <c:ser>
          <c:idx val="1"/>
          <c:order val="1"/>
          <c:tx>
            <c:v>D50</c:v>
          </c:tx>
          <c:spPr>
            <a:ln w="19050">
              <a:solidFill>
                <a:srgbClr val="0070C0"/>
              </a:solidFill>
            </a:ln>
          </c:spPr>
          <c:marker>
            <c:symbol val="square"/>
            <c:size val="3"/>
            <c:spPr>
              <a:solidFill>
                <a:sysClr val="windowText" lastClr="000000"/>
              </a:solidFill>
              <a:ln>
                <a:solidFill>
                  <a:schemeClr val="tx1"/>
                </a:solidFill>
              </a:ln>
            </c:spPr>
          </c:marker>
          <c:xVal>
            <c:numRef>
              <c:f>Hoja3!$B$4:$B$12</c:f>
              <c:numCache>
                <c:formatCode>General</c:formatCode>
                <c:ptCount val="9"/>
                <c:pt idx="0">
                  <c:v>0</c:v>
                </c:pt>
                <c:pt idx="1">
                  <c:v>9</c:v>
                </c:pt>
                <c:pt idx="2">
                  <c:v>19</c:v>
                </c:pt>
                <c:pt idx="3">
                  <c:v>29</c:v>
                </c:pt>
                <c:pt idx="4">
                  <c:v>38</c:v>
                </c:pt>
                <c:pt idx="5">
                  <c:v>47</c:v>
                </c:pt>
                <c:pt idx="6">
                  <c:v>57</c:v>
                </c:pt>
                <c:pt idx="7">
                  <c:v>66</c:v>
                </c:pt>
                <c:pt idx="8">
                  <c:v>75</c:v>
                </c:pt>
              </c:numCache>
            </c:numRef>
          </c:xVal>
          <c:yVal>
            <c:numRef>
              <c:f>Hoja3!$D$4:$D$12</c:f>
              <c:numCache>
                <c:formatCode>General</c:formatCode>
                <c:ptCount val="9"/>
                <c:pt idx="0">
                  <c:v>56.07</c:v>
                </c:pt>
                <c:pt idx="1">
                  <c:v>14.38</c:v>
                </c:pt>
                <c:pt idx="2">
                  <c:v>14.57</c:v>
                </c:pt>
                <c:pt idx="3">
                  <c:v>27</c:v>
                </c:pt>
                <c:pt idx="4">
                  <c:v>51.660000000000011</c:v>
                </c:pt>
                <c:pt idx="5">
                  <c:v>101.35</c:v>
                </c:pt>
                <c:pt idx="6">
                  <c:v>112.91000000000007</c:v>
                </c:pt>
                <c:pt idx="7">
                  <c:v>22.5</c:v>
                </c:pt>
                <c:pt idx="8">
                  <c:v>14.02</c:v>
                </c:pt>
              </c:numCache>
            </c:numRef>
          </c:yVal>
          <c:smooth val="1"/>
        </c:ser>
        <c:ser>
          <c:idx val="2"/>
          <c:order val="2"/>
          <c:tx>
            <c:v>D90</c:v>
          </c:tx>
          <c:spPr>
            <a:ln w="19050">
              <a:solidFill>
                <a:srgbClr val="00B050"/>
              </a:solidFill>
            </a:ln>
          </c:spPr>
          <c:marker>
            <c:symbol val="triangle"/>
            <c:size val="5"/>
            <c:spPr>
              <a:solidFill>
                <a:sysClr val="windowText" lastClr="000000"/>
              </a:solidFill>
            </c:spPr>
          </c:marker>
          <c:xVal>
            <c:numRef>
              <c:f>Hoja3!$B$4:$B$12</c:f>
              <c:numCache>
                <c:formatCode>General</c:formatCode>
                <c:ptCount val="9"/>
                <c:pt idx="0">
                  <c:v>0</c:v>
                </c:pt>
                <c:pt idx="1">
                  <c:v>9</c:v>
                </c:pt>
                <c:pt idx="2">
                  <c:v>19</c:v>
                </c:pt>
                <c:pt idx="3">
                  <c:v>29</c:v>
                </c:pt>
                <c:pt idx="4">
                  <c:v>38</c:v>
                </c:pt>
                <c:pt idx="5">
                  <c:v>47</c:v>
                </c:pt>
                <c:pt idx="6">
                  <c:v>57</c:v>
                </c:pt>
                <c:pt idx="7">
                  <c:v>66</c:v>
                </c:pt>
                <c:pt idx="8">
                  <c:v>75</c:v>
                </c:pt>
              </c:numCache>
            </c:numRef>
          </c:xVal>
          <c:yVal>
            <c:numRef>
              <c:f>Hoja3!$E$4:$E$12</c:f>
              <c:numCache>
                <c:formatCode>General</c:formatCode>
                <c:ptCount val="9"/>
                <c:pt idx="0">
                  <c:v>166.70999999999998</c:v>
                </c:pt>
                <c:pt idx="1">
                  <c:v>23.75</c:v>
                </c:pt>
                <c:pt idx="2">
                  <c:v>36.980000000000004</c:v>
                </c:pt>
                <c:pt idx="3">
                  <c:v>55.96</c:v>
                </c:pt>
                <c:pt idx="4">
                  <c:v>93.83</c:v>
                </c:pt>
                <c:pt idx="5">
                  <c:v>143.30000000000001</c:v>
                </c:pt>
                <c:pt idx="6">
                  <c:v>227.2</c:v>
                </c:pt>
                <c:pt idx="7">
                  <c:v>40.230000000000011</c:v>
                </c:pt>
                <c:pt idx="8">
                  <c:v>21.08</c:v>
                </c:pt>
              </c:numCache>
            </c:numRef>
          </c:yVal>
          <c:smooth val="1"/>
        </c:ser>
        <c:axId val="146251776"/>
        <c:axId val="146254080"/>
      </c:scatterChart>
      <c:valAx>
        <c:axId val="146251776"/>
        <c:scaling>
          <c:orientation val="minMax"/>
          <c:max val="75"/>
        </c:scaling>
        <c:axPos val="b"/>
        <c:title>
          <c:tx>
            <c:rich>
              <a:bodyPr/>
              <a:lstStyle/>
              <a:p>
                <a:pPr>
                  <a:defRPr sz="1200" b="0"/>
                </a:pPr>
                <a:r>
                  <a:rPr lang="en-US" sz="1200" b="0"/>
                  <a:t>Tiempo (min)</a:t>
                </a:r>
              </a:p>
            </c:rich>
          </c:tx>
          <c:layout>
            <c:manualLayout>
              <c:xMode val="edge"/>
              <c:yMode val="edge"/>
              <c:x val="0.40659136117107431"/>
              <c:y val="0.92023910775466888"/>
            </c:manualLayout>
          </c:layout>
        </c:title>
        <c:numFmt formatCode="General" sourceLinked="1"/>
        <c:tickLblPos val="nextTo"/>
        <c:txPr>
          <a:bodyPr/>
          <a:lstStyle/>
          <a:p>
            <a:pPr>
              <a:defRPr>
                <a:latin typeface="Times New Roman" pitchFamily="18" charset="0"/>
                <a:cs typeface="Times New Roman" pitchFamily="18" charset="0"/>
              </a:defRPr>
            </a:pPr>
            <a:endParaRPr lang="en-US"/>
          </a:p>
        </c:txPr>
        <c:crossAx val="146254080"/>
        <c:crosses val="autoZero"/>
        <c:crossBetween val="midCat"/>
        <c:majorUnit val="5"/>
        <c:minorUnit val="0.4"/>
      </c:valAx>
      <c:valAx>
        <c:axId val="146254080"/>
        <c:scaling>
          <c:orientation val="minMax"/>
        </c:scaling>
        <c:axPos val="l"/>
        <c:majorGridlines/>
        <c:title>
          <c:tx>
            <c:rich>
              <a:bodyPr rot="-5400000" vert="horz"/>
              <a:lstStyle/>
              <a:p>
                <a:pPr>
                  <a:defRPr sz="1200" b="0"/>
                </a:pPr>
                <a:r>
                  <a:rPr lang="en-US" sz="1200" b="0"/>
                  <a:t>Diámetro equivalente</a:t>
                </a:r>
                <a:r>
                  <a:rPr lang="en-US" sz="1200" b="0" baseline="0"/>
                  <a:t> (</a:t>
                </a:r>
                <a:r>
                  <a:rPr lang="es-ES" sz="1200" b="0" i="0" u="none" strike="noStrike" baseline="0"/>
                  <a:t>µm)</a:t>
                </a:r>
                <a:endParaRPr lang="en-US" sz="1200" b="0"/>
              </a:p>
            </c:rich>
          </c:tx>
          <c:layout>
            <c:manualLayout>
              <c:xMode val="edge"/>
              <c:yMode val="edge"/>
              <c:x val="5.0890033114120957E-4"/>
              <c:y val="0.17937216662695218"/>
            </c:manualLayout>
          </c:layout>
        </c:title>
        <c:numFmt formatCode="General" sourceLinked="1"/>
        <c:tickLblPos val="nextTo"/>
        <c:txPr>
          <a:bodyPr/>
          <a:lstStyle/>
          <a:p>
            <a:pPr>
              <a:defRPr sz="1000">
                <a:latin typeface="Times New Roman" pitchFamily="18" charset="0"/>
                <a:cs typeface="Times New Roman" pitchFamily="18" charset="0"/>
              </a:defRPr>
            </a:pPr>
            <a:endParaRPr lang="en-US"/>
          </a:p>
        </c:txPr>
        <c:crossAx val="146251776"/>
        <c:crosses val="autoZero"/>
        <c:crossBetween val="midCat"/>
        <c:majorUnit val="50"/>
      </c:valAx>
      <c:spPr>
        <a:ln>
          <a:solidFill>
            <a:schemeClr val="tx1"/>
          </a:solidFill>
        </a:ln>
      </c:spPr>
    </c:plotArea>
    <c:legend>
      <c:legendPos val="r"/>
      <c:layout>
        <c:manualLayout>
          <c:xMode val="edge"/>
          <c:yMode val="edge"/>
          <c:x val="0.87844045950886018"/>
          <c:y val="9.4318691939930338E-2"/>
          <c:w val="9.8825640405810683E-2"/>
          <c:h val="0.1995817514065702"/>
        </c:manualLayout>
      </c:layout>
      <c:txPr>
        <a:bodyPr/>
        <a:lstStyle/>
        <a:p>
          <a:pPr>
            <a:defRPr sz="1000"/>
          </a:pPr>
          <a:endParaRPr lang="en-US"/>
        </a:p>
      </c:txP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306452252706157"/>
          <c:y val="4.0531644085953382E-2"/>
          <c:w val="0.76550069384712061"/>
          <c:h val="0.79801716952123969"/>
        </c:manualLayout>
      </c:layout>
      <c:scatterChart>
        <c:scatterStyle val="smoothMarker"/>
        <c:ser>
          <c:idx val="0"/>
          <c:order val="0"/>
          <c:tx>
            <c:v>D10</c:v>
          </c:tx>
          <c:spPr>
            <a:ln w="19050">
              <a:solidFill>
                <a:srgbClr val="FF0000"/>
              </a:solidFill>
            </a:ln>
          </c:spPr>
          <c:marker>
            <c:symbol val="diamond"/>
            <c:size val="5"/>
            <c:spPr>
              <a:solidFill>
                <a:sysClr val="windowText" lastClr="000000"/>
              </a:solidFill>
            </c:spPr>
          </c:marker>
          <c:xVal>
            <c:numRef>
              <c:f>Hoja3!$B$4:$B$12</c:f>
              <c:numCache>
                <c:formatCode>General</c:formatCode>
                <c:ptCount val="9"/>
                <c:pt idx="0">
                  <c:v>0</c:v>
                </c:pt>
                <c:pt idx="1">
                  <c:v>9</c:v>
                </c:pt>
                <c:pt idx="2">
                  <c:v>19</c:v>
                </c:pt>
                <c:pt idx="3">
                  <c:v>29</c:v>
                </c:pt>
                <c:pt idx="4">
                  <c:v>38</c:v>
                </c:pt>
                <c:pt idx="5">
                  <c:v>47</c:v>
                </c:pt>
                <c:pt idx="6">
                  <c:v>57</c:v>
                </c:pt>
                <c:pt idx="7">
                  <c:v>66</c:v>
                </c:pt>
                <c:pt idx="8">
                  <c:v>75</c:v>
                </c:pt>
              </c:numCache>
            </c:numRef>
          </c:xVal>
          <c:yVal>
            <c:numRef>
              <c:f>Hoja3!$G$4:$G$12</c:f>
              <c:numCache>
                <c:formatCode>General</c:formatCode>
                <c:ptCount val="9"/>
                <c:pt idx="0">
                  <c:v>4.07</c:v>
                </c:pt>
                <c:pt idx="1">
                  <c:v>1.920000000000001</c:v>
                </c:pt>
                <c:pt idx="2">
                  <c:v>2.0299999999999998</c:v>
                </c:pt>
                <c:pt idx="3">
                  <c:v>2.2400000000000002</c:v>
                </c:pt>
                <c:pt idx="4">
                  <c:v>3.03</c:v>
                </c:pt>
                <c:pt idx="5">
                  <c:v>3.9</c:v>
                </c:pt>
                <c:pt idx="6">
                  <c:v>4.83</c:v>
                </c:pt>
                <c:pt idx="7">
                  <c:v>3.09</c:v>
                </c:pt>
                <c:pt idx="8">
                  <c:v>1.87</c:v>
                </c:pt>
              </c:numCache>
            </c:numRef>
          </c:yVal>
          <c:smooth val="1"/>
        </c:ser>
        <c:ser>
          <c:idx val="1"/>
          <c:order val="1"/>
          <c:tx>
            <c:v>D50</c:v>
          </c:tx>
          <c:spPr>
            <a:ln w="19050">
              <a:solidFill>
                <a:srgbClr val="0070C0"/>
              </a:solidFill>
            </a:ln>
          </c:spPr>
          <c:marker>
            <c:symbol val="square"/>
            <c:size val="3"/>
            <c:spPr>
              <a:solidFill>
                <a:sysClr val="windowText" lastClr="000000"/>
              </a:solidFill>
              <a:ln>
                <a:solidFill>
                  <a:schemeClr val="tx1"/>
                </a:solidFill>
              </a:ln>
            </c:spPr>
          </c:marker>
          <c:xVal>
            <c:numRef>
              <c:f>Hoja3!$B$4:$B$12</c:f>
              <c:numCache>
                <c:formatCode>General</c:formatCode>
                <c:ptCount val="9"/>
                <c:pt idx="0">
                  <c:v>0</c:v>
                </c:pt>
                <c:pt idx="1">
                  <c:v>9</c:v>
                </c:pt>
                <c:pt idx="2">
                  <c:v>19</c:v>
                </c:pt>
                <c:pt idx="3">
                  <c:v>29</c:v>
                </c:pt>
                <c:pt idx="4">
                  <c:v>38</c:v>
                </c:pt>
                <c:pt idx="5">
                  <c:v>47</c:v>
                </c:pt>
                <c:pt idx="6">
                  <c:v>57</c:v>
                </c:pt>
                <c:pt idx="7">
                  <c:v>66</c:v>
                </c:pt>
                <c:pt idx="8">
                  <c:v>75</c:v>
                </c:pt>
              </c:numCache>
            </c:numRef>
          </c:xVal>
          <c:yVal>
            <c:numRef>
              <c:f>Hoja3!$H$4:$H$12</c:f>
              <c:numCache>
                <c:formatCode>General</c:formatCode>
                <c:ptCount val="9"/>
                <c:pt idx="0">
                  <c:v>21.72</c:v>
                </c:pt>
                <c:pt idx="1">
                  <c:v>3.8</c:v>
                </c:pt>
                <c:pt idx="2">
                  <c:v>6.59</c:v>
                </c:pt>
                <c:pt idx="3">
                  <c:v>14.229999999999999</c:v>
                </c:pt>
                <c:pt idx="4">
                  <c:v>16.29</c:v>
                </c:pt>
                <c:pt idx="5">
                  <c:v>53.39</c:v>
                </c:pt>
                <c:pt idx="6">
                  <c:v>39.590000000000003</c:v>
                </c:pt>
                <c:pt idx="7">
                  <c:v>16.43</c:v>
                </c:pt>
                <c:pt idx="8">
                  <c:v>3.36</c:v>
                </c:pt>
              </c:numCache>
            </c:numRef>
          </c:yVal>
          <c:smooth val="1"/>
        </c:ser>
        <c:ser>
          <c:idx val="2"/>
          <c:order val="2"/>
          <c:tx>
            <c:v>D90</c:v>
          </c:tx>
          <c:spPr>
            <a:ln w="19050">
              <a:solidFill>
                <a:srgbClr val="00B050"/>
              </a:solidFill>
            </a:ln>
          </c:spPr>
          <c:marker>
            <c:symbol val="triangle"/>
            <c:size val="5"/>
            <c:spPr>
              <a:solidFill>
                <a:sysClr val="windowText" lastClr="000000"/>
              </a:solidFill>
            </c:spPr>
          </c:marker>
          <c:xVal>
            <c:numRef>
              <c:f>Hoja3!$B$4:$B$12</c:f>
              <c:numCache>
                <c:formatCode>General</c:formatCode>
                <c:ptCount val="9"/>
                <c:pt idx="0">
                  <c:v>0</c:v>
                </c:pt>
                <c:pt idx="1">
                  <c:v>9</c:v>
                </c:pt>
                <c:pt idx="2">
                  <c:v>19</c:v>
                </c:pt>
                <c:pt idx="3">
                  <c:v>29</c:v>
                </c:pt>
                <c:pt idx="4">
                  <c:v>38</c:v>
                </c:pt>
                <c:pt idx="5">
                  <c:v>47</c:v>
                </c:pt>
                <c:pt idx="6">
                  <c:v>57</c:v>
                </c:pt>
                <c:pt idx="7">
                  <c:v>66</c:v>
                </c:pt>
                <c:pt idx="8">
                  <c:v>75</c:v>
                </c:pt>
              </c:numCache>
            </c:numRef>
          </c:xVal>
          <c:yVal>
            <c:numRef>
              <c:f>Hoja3!$I$4:$I$12</c:f>
              <c:numCache>
                <c:formatCode>General</c:formatCode>
                <c:ptCount val="9"/>
                <c:pt idx="0">
                  <c:v>66.459999999999994</c:v>
                </c:pt>
                <c:pt idx="1">
                  <c:v>18.899999999999999</c:v>
                </c:pt>
                <c:pt idx="2">
                  <c:v>25.79</c:v>
                </c:pt>
                <c:pt idx="3">
                  <c:v>34.83</c:v>
                </c:pt>
                <c:pt idx="4">
                  <c:v>48.86</c:v>
                </c:pt>
                <c:pt idx="5">
                  <c:v>82.8</c:v>
                </c:pt>
                <c:pt idx="6">
                  <c:v>72.42</c:v>
                </c:pt>
                <c:pt idx="7">
                  <c:v>46.94</c:v>
                </c:pt>
                <c:pt idx="8">
                  <c:v>8.2100000000000009</c:v>
                </c:pt>
              </c:numCache>
            </c:numRef>
          </c:yVal>
          <c:smooth val="1"/>
        </c:ser>
        <c:axId val="146435072"/>
        <c:axId val="146437632"/>
      </c:scatterChart>
      <c:valAx>
        <c:axId val="146435072"/>
        <c:scaling>
          <c:orientation val="minMax"/>
          <c:max val="75"/>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mn-lt"/>
                    <a:ea typeface="+mn-ea"/>
                    <a:cs typeface="+mn-cs"/>
                  </a:defRPr>
                </a:pPr>
                <a:r>
                  <a:rPr lang="en-US" sz="1200" b="0"/>
                  <a:t>Tiempo (min)</a:t>
                </a:r>
              </a:p>
            </c:rich>
          </c:tx>
          <c:layout>
            <c:manualLayout>
              <c:xMode val="edge"/>
              <c:yMode val="edge"/>
              <c:x val="0.40659136117107431"/>
              <c:y val="0.92023910775466866"/>
            </c:manualLayout>
          </c:layout>
        </c:title>
        <c:numFmt formatCode="General" sourceLinked="1"/>
        <c:tickLblPos val="nextTo"/>
        <c:txPr>
          <a:bodyPr/>
          <a:lstStyle/>
          <a:p>
            <a:pPr>
              <a:defRPr>
                <a:latin typeface="Times New Roman" pitchFamily="18" charset="0"/>
                <a:cs typeface="Times New Roman" pitchFamily="18" charset="0"/>
              </a:defRPr>
            </a:pPr>
            <a:endParaRPr lang="en-US"/>
          </a:p>
        </c:txPr>
        <c:crossAx val="146437632"/>
        <c:crosses val="autoZero"/>
        <c:crossBetween val="midCat"/>
        <c:majorUnit val="5"/>
        <c:minorUnit val="0.4"/>
      </c:valAx>
      <c:valAx>
        <c:axId val="146437632"/>
        <c:scaling>
          <c:orientation val="minMax"/>
        </c:scaling>
        <c:axPos val="l"/>
        <c:majorGridlines/>
        <c:title>
          <c:tx>
            <c:rich>
              <a:bodyPr rot="-5400000" vert="horz"/>
              <a:lstStyle/>
              <a:p>
                <a:pPr>
                  <a:defRPr sz="1200" b="0"/>
                </a:pPr>
                <a:r>
                  <a:rPr lang="en-US" sz="1200" b="0"/>
                  <a:t>Diámetro equivalente</a:t>
                </a:r>
                <a:r>
                  <a:rPr lang="en-US" sz="1200" b="0" baseline="0"/>
                  <a:t> (</a:t>
                </a:r>
                <a:r>
                  <a:rPr lang="es-ES" sz="1200" b="0" i="0" u="none" strike="noStrike" baseline="0"/>
                  <a:t>µm)</a:t>
                </a:r>
                <a:endParaRPr lang="en-US" sz="1200" b="0"/>
              </a:p>
            </c:rich>
          </c:tx>
          <c:layout>
            <c:manualLayout>
              <c:xMode val="edge"/>
              <c:yMode val="edge"/>
              <c:x val="5.0890033114121E-4"/>
              <c:y val="0.17937216662695218"/>
            </c:manualLayout>
          </c:layout>
        </c:title>
        <c:numFmt formatCode="General" sourceLinked="1"/>
        <c:tickLblPos val="nextTo"/>
        <c:txPr>
          <a:bodyPr/>
          <a:lstStyle/>
          <a:p>
            <a:pPr>
              <a:defRPr sz="1000">
                <a:latin typeface="Times New Roman" pitchFamily="18" charset="0"/>
                <a:cs typeface="Times New Roman" pitchFamily="18" charset="0"/>
              </a:defRPr>
            </a:pPr>
            <a:endParaRPr lang="en-US"/>
          </a:p>
        </c:txPr>
        <c:crossAx val="146435072"/>
        <c:crosses val="autoZero"/>
        <c:crossBetween val="midCat"/>
      </c:valAx>
      <c:spPr>
        <a:ln>
          <a:solidFill>
            <a:schemeClr val="tx1"/>
          </a:solidFill>
        </a:ln>
      </c:spPr>
    </c:plotArea>
    <c:legend>
      <c:legendPos val="r"/>
      <c:layout>
        <c:manualLayout>
          <c:xMode val="edge"/>
          <c:yMode val="edge"/>
          <c:x val="0.87844045950886063"/>
          <c:y val="9.4318691939930338E-2"/>
          <c:w val="9.8825623792801742E-2"/>
          <c:h val="0.1995817514065702"/>
        </c:manualLayout>
      </c:layout>
      <c:txPr>
        <a:bodyPr/>
        <a:lstStyle/>
        <a:p>
          <a:pPr>
            <a:defRPr sz="1000"/>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2363188976377963"/>
          <c:y val="5.555555555555549E-2"/>
          <c:w val="0.65982939632546056"/>
          <c:h val="0.769777777777779"/>
        </c:manualLayout>
      </c:layout>
      <c:barChart>
        <c:barDir val="col"/>
        <c:grouping val="clustered"/>
        <c:ser>
          <c:idx val="0"/>
          <c:order val="0"/>
          <c:tx>
            <c:v>Polietileno</c:v>
          </c:tx>
          <c:cat>
            <c:strRef>
              <c:f>DC!$E$60:$F$60</c:f>
              <c:strCache>
                <c:ptCount val="2"/>
                <c:pt idx="0">
                  <c:v>Campo DC</c:v>
                </c:pt>
                <c:pt idx="1">
                  <c:v>Campo DC + Centrifugación</c:v>
                </c:pt>
              </c:strCache>
            </c:strRef>
          </c:cat>
          <c:val>
            <c:numRef>
              <c:f>DC!$E$61:$F$61</c:f>
              <c:numCache>
                <c:formatCode>0</c:formatCode>
                <c:ptCount val="2"/>
                <c:pt idx="0">
                  <c:v>40.540540540540498</c:v>
                </c:pt>
                <c:pt idx="1">
                  <c:v>91.891891891891888</c:v>
                </c:pt>
              </c:numCache>
            </c:numRef>
          </c:val>
        </c:ser>
        <c:ser>
          <c:idx val="1"/>
          <c:order val="1"/>
          <c:tx>
            <c:v>Anillos de vidrio</c:v>
          </c:tx>
          <c:cat>
            <c:strRef>
              <c:f>DC!$E$60:$F$60</c:f>
              <c:strCache>
                <c:ptCount val="2"/>
                <c:pt idx="0">
                  <c:v>Campo DC</c:v>
                </c:pt>
                <c:pt idx="1">
                  <c:v>Campo DC + Centrifugación</c:v>
                </c:pt>
              </c:strCache>
            </c:strRef>
          </c:cat>
          <c:val>
            <c:numRef>
              <c:f>DC!$E$62:$F$62</c:f>
              <c:numCache>
                <c:formatCode>0</c:formatCode>
                <c:ptCount val="2"/>
                <c:pt idx="0">
                  <c:v>43.243243243243057</c:v>
                </c:pt>
                <c:pt idx="1">
                  <c:v>97.297297297297732</c:v>
                </c:pt>
              </c:numCache>
            </c:numRef>
          </c:val>
        </c:ser>
        <c:ser>
          <c:idx val="2"/>
          <c:order val="2"/>
          <c:tx>
            <c:v>Esferas de vidrio</c:v>
          </c:tx>
          <c:cat>
            <c:strRef>
              <c:f>DC!$E$60:$F$60</c:f>
              <c:strCache>
                <c:ptCount val="2"/>
                <c:pt idx="0">
                  <c:v>Campo DC</c:v>
                </c:pt>
                <c:pt idx="1">
                  <c:v>Campo DC + Centrifugación</c:v>
                </c:pt>
              </c:strCache>
            </c:strRef>
          </c:cat>
          <c:val>
            <c:numRef>
              <c:f>DC!$E$63:$F$63</c:f>
              <c:numCache>
                <c:formatCode>0</c:formatCode>
                <c:ptCount val="2"/>
                <c:pt idx="0">
                  <c:v>27.027027027027025</c:v>
                </c:pt>
                <c:pt idx="1">
                  <c:v>64.864864864864856</c:v>
                </c:pt>
              </c:numCache>
            </c:numRef>
          </c:val>
        </c:ser>
        <c:ser>
          <c:idx val="3"/>
          <c:order val="3"/>
          <c:tx>
            <c:v>Cáscaras de maní</c:v>
          </c:tx>
          <c:cat>
            <c:strRef>
              <c:f>DC!$E$60:$F$60</c:f>
              <c:strCache>
                <c:ptCount val="2"/>
                <c:pt idx="0">
                  <c:v>Campo DC</c:v>
                </c:pt>
                <c:pt idx="1">
                  <c:v>Campo DC + Centrifugación</c:v>
                </c:pt>
              </c:strCache>
            </c:strRef>
          </c:cat>
          <c:val>
            <c:numRef>
              <c:f>DC!$E$64:$F$64</c:f>
              <c:numCache>
                <c:formatCode>0</c:formatCode>
                <c:ptCount val="2"/>
                <c:pt idx="0">
                  <c:v>0</c:v>
                </c:pt>
                <c:pt idx="1">
                  <c:v>10.810810810810812</c:v>
                </c:pt>
              </c:numCache>
            </c:numRef>
          </c:val>
        </c:ser>
        <c:ser>
          <c:idx val="4"/>
          <c:order val="4"/>
          <c:tx>
            <c:v>Rocas</c:v>
          </c:tx>
          <c:cat>
            <c:strRef>
              <c:f>DC!$E$60:$F$60</c:f>
              <c:strCache>
                <c:ptCount val="2"/>
                <c:pt idx="0">
                  <c:v>Campo DC</c:v>
                </c:pt>
                <c:pt idx="1">
                  <c:v>Campo DC + Centrifugación</c:v>
                </c:pt>
              </c:strCache>
            </c:strRef>
          </c:cat>
          <c:val>
            <c:numRef>
              <c:f>DC!$E$65:$F$65</c:f>
              <c:numCache>
                <c:formatCode>0</c:formatCode>
                <c:ptCount val="2"/>
                <c:pt idx="0">
                  <c:v>40.54054054054054</c:v>
                </c:pt>
                <c:pt idx="1">
                  <c:v>70.270270270270274</c:v>
                </c:pt>
              </c:numCache>
            </c:numRef>
          </c:val>
        </c:ser>
        <c:ser>
          <c:idx val="6"/>
          <c:order val="5"/>
          <c:tx>
            <c:v>Sin medio</c:v>
          </c:tx>
          <c:cat>
            <c:strRef>
              <c:f>DC!$E$60:$F$60</c:f>
              <c:strCache>
                <c:ptCount val="2"/>
                <c:pt idx="0">
                  <c:v>Campo DC</c:v>
                </c:pt>
                <c:pt idx="1">
                  <c:v>Campo DC + Centrifugación</c:v>
                </c:pt>
              </c:strCache>
            </c:strRef>
          </c:cat>
          <c:val>
            <c:numRef>
              <c:f>DC!$E$66:$F$66</c:f>
              <c:numCache>
                <c:formatCode>0</c:formatCode>
                <c:ptCount val="2"/>
                <c:pt idx="0">
                  <c:v>0</c:v>
                </c:pt>
                <c:pt idx="1">
                  <c:v>5.4054054054054053</c:v>
                </c:pt>
              </c:numCache>
            </c:numRef>
          </c:val>
        </c:ser>
        <c:axId val="81587200"/>
        <c:axId val="110428928"/>
      </c:barChart>
      <c:catAx>
        <c:axId val="81587200"/>
        <c:scaling>
          <c:orientation val="minMax"/>
        </c:scaling>
        <c:axPos val="b"/>
        <c:tickLblPos val="nextTo"/>
        <c:crossAx val="110428928"/>
        <c:crosses val="autoZero"/>
        <c:auto val="1"/>
        <c:lblAlgn val="ctr"/>
        <c:lblOffset val="100"/>
      </c:catAx>
      <c:valAx>
        <c:axId val="110428928"/>
        <c:scaling>
          <c:orientation val="minMax"/>
          <c:max val="100"/>
        </c:scaling>
        <c:axPos val="l"/>
        <c:majorGridlines/>
        <c:title>
          <c:tx>
            <c:rich>
              <a:bodyPr rot="-5400000" vert="horz"/>
              <a:lstStyle/>
              <a:p>
                <a:pPr>
                  <a:defRPr b="0"/>
                </a:pPr>
                <a:r>
                  <a:rPr lang="en-US" b="0"/>
                  <a:t>Agua recuperada (% v/v)</a:t>
                </a:r>
              </a:p>
            </c:rich>
          </c:tx>
          <c:layout>
            <c:manualLayout>
              <c:xMode val="edge"/>
              <c:yMode val="edge"/>
              <c:x val="1.1111111111111124E-2"/>
              <c:y val="0.12436089238845149"/>
            </c:manualLayout>
          </c:layout>
        </c:title>
        <c:numFmt formatCode="0" sourceLinked="1"/>
        <c:tickLblPos val="nextTo"/>
        <c:crossAx val="81587200"/>
        <c:crosses val="autoZero"/>
        <c:crossBetween val="between"/>
      </c:valAx>
      <c:spPr>
        <a:noFill/>
        <a:ln>
          <a:solidFill>
            <a:schemeClr val="tx1"/>
          </a:solidFill>
        </a:ln>
      </c:spPr>
    </c:plotArea>
    <c:legend>
      <c:legendPos val="r"/>
      <c:layout>
        <c:manualLayout>
          <c:xMode val="edge"/>
          <c:yMode val="edge"/>
          <c:x val="0.78070144356955473"/>
          <c:y val="0.14504155730533691"/>
          <c:w val="0.21652077865266842"/>
          <c:h val="0.56547244094488192"/>
        </c:manualLayout>
      </c:layout>
      <c:txPr>
        <a:bodyPr/>
        <a:lstStyle/>
        <a:p>
          <a:pPr>
            <a:defRPr sz="800"/>
          </a:pPr>
          <a:endParaRPr lang="en-US"/>
        </a:p>
      </c:txPr>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306452252706159"/>
          <c:y val="4.0531644085953382E-2"/>
          <c:w val="0.76550069384712061"/>
          <c:h val="0.79801716952123936"/>
        </c:manualLayout>
      </c:layout>
      <c:scatterChart>
        <c:scatterStyle val="smoothMarker"/>
        <c:ser>
          <c:idx val="0"/>
          <c:order val="0"/>
          <c:tx>
            <c:v>D10</c:v>
          </c:tx>
          <c:spPr>
            <a:ln w="19050">
              <a:solidFill>
                <a:srgbClr val="FF0000"/>
              </a:solidFill>
            </a:ln>
          </c:spPr>
          <c:marker>
            <c:symbol val="diamond"/>
            <c:size val="5"/>
            <c:spPr>
              <a:solidFill>
                <a:sysClr val="windowText" lastClr="000000"/>
              </a:solidFill>
            </c:spPr>
          </c:marker>
          <c:xVal>
            <c:numRef>
              <c:f>Hoja3!$J$4:$J$12</c:f>
              <c:numCache>
                <c:formatCode>General</c:formatCode>
                <c:ptCount val="9"/>
                <c:pt idx="0">
                  <c:v>0</c:v>
                </c:pt>
                <c:pt idx="1">
                  <c:v>6</c:v>
                </c:pt>
                <c:pt idx="2">
                  <c:v>12</c:v>
                </c:pt>
                <c:pt idx="3">
                  <c:v>18</c:v>
                </c:pt>
                <c:pt idx="4">
                  <c:v>25</c:v>
                </c:pt>
                <c:pt idx="5">
                  <c:v>32</c:v>
                </c:pt>
                <c:pt idx="6">
                  <c:v>38</c:v>
                </c:pt>
                <c:pt idx="7">
                  <c:v>44</c:v>
                </c:pt>
                <c:pt idx="8">
                  <c:v>51</c:v>
                </c:pt>
              </c:numCache>
            </c:numRef>
          </c:xVal>
          <c:yVal>
            <c:numRef>
              <c:f>Hoja3!$K$4:$K$12</c:f>
              <c:numCache>
                <c:formatCode>General</c:formatCode>
                <c:ptCount val="9"/>
                <c:pt idx="0">
                  <c:v>14.34</c:v>
                </c:pt>
                <c:pt idx="1">
                  <c:v>12.78</c:v>
                </c:pt>
                <c:pt idx="2">
                  <c:v>9.41</c:v>
                </c:pt>
                <c:pt idx="3">
                  <c:v>9.07</c:v>
                </c:pt>
                <c:pt idx="4">
                  <c:v>8.44</c:v>
                </c:pt>
                <c:pt idx="5">
                  <c:v>8.629999999999999</c:v>
                </c:pt>
                <c:pt idx="6">
                  <c:v>9.77</c:v>
                </c:pt>
                <c:pt idx="7">
                  <c:v>9.2200000000000024</c:v>
                </c:pt>
                <c:pt idx="8">
                  <c:v>7.89</c:v>
                </c:pt>
              </c:numCache>
            </c:numRef>
          </c:yVal>
          <c:smooth val="1"/>
        </c:ser>
        <c:ser>
          <c:idx val="1"/>
          <c:order val="1"/>
          <c:tx>
            <c:v>D50</c:v>
          </c:tx>
          <c:spPr>
            <a:ln w="19050">
              <a:solidFill>
                <a:srgbClr val="0070C0"/>
              </a:solidFill>
            </a:ln>
          </c:spPr>
          <c:marker>
            <c:symbol val="square"/>
            <c:size val="3"/>
            <c:spPr>
              <a:solidFill>
                <a:sysClr val="windowText" lastClr="000000"/>
              </a:solidFill>
              <a:ln>
                <a:solidFill>
                  <a:schemeClr val="tx1"/>
                </a:solidFill>
              </a:ln>
            </c:spPr>
          </c:marker>
          <c:xVal>
            <c:numRef>
              <c:f>Hoja3!$J$4:$J$12</c:f>
              <c:numCache>
                <c:formatCode>General</c:formatCode>
                <c:ptCount val="9"/>
                <c:pt idx="0">
                  <c:v>0</c:v>
                </c:pt>
                <c:pt idx="1">
                  <c:v>6</c:v>
                </c:pt>
                <c:pt idx="2">
                  <c:v>12</c:v>
                </c:pt>
                <c:pt idx="3">
                  <c:v>18</c:v>
                </c:pt>
                <c:pt idx="4">
                  <c:v>25</c:v>
                </c:pt>
                <c:pt idx="5">
                  <c:v>32</c:v>
                </c:pt>
                <c:pt idx="6">
                  <c:v>38</c:v>
                </c:pt>
                <c:pt idx="7">
                  <c:v>44</c:v>
                </c:pt>
                <c:pt idx="8">
                  <c:v>51</c:v>
                </c:pt>
              </c:numCache>
            </c:numRef>
          </c:xVal>
          <c:yVal>
            <c:numRef>
              <c:f>Hoja3!$L$4:$L$12</c:f>
              <c:numCache>
                <c:formatCode>General</c:formatCode>
                <c:ptCount val="9"/>
                <c:pt idx="0">
                  <c:v>56.07</c:v>
                </c:pt>
                <c:pt idx="1">
                  <c:v>42.04</c:v>
                </c:pt>
                <c:pt idx="2">
                  <c:v>30.959999999999987</c:v>
                </c:pt>
                <c:pt idx="3">
                  <c:v>22.5</c:v>
                </c:pt>
                <c:pt idx="4">
                  <c:v>20.979999999999986</c:v>
                </c:pt>
                <c:pt idx="5">
                  <c:v>21.64</c:v>
                </c:pt>
                <c:pt idx="6">
                  <c:v>19.84</c:v>
                </c:pt>
                <c:pt idx="7">
                  <c:v>16.93</c:v>
                </c:pt>
                <c:pt idx="8">
                  <c:v>14.02</c:v>
                </c:pt>
              </c:numCache>
            </c:numRef>
          </c:yVal>
          <c:smooth val="1"/>
        </c:ser>
        <c:ser>
          <c:idx val="2"/>
          <c:order val="2"/>
          <c:tx>
            <c:v>D90</c:v>
          </c:tx>
          <c:spPr>
            <a:ln w="19050">
              <a:solidFill>
                <a:srgbClr val="00B050"/>
              </a:solidFill>
            </a:ln>
          </c:spPr>
          <c:marker>
            <c:symbol val="triangle"/>
            <c:size val="5"/>
            <c:spPr>
              <a:solidFill>
                <a:sysClr val="windowText" lastClr="000000"/>
              </a:solidFill>
            </c:spPr>
          </c:marker>
          <c:xVal>
            <c:numRef>
              <c:f>Hoja3!$J$4:$J$12</c:f>
              <c:numCache>
                <c:formatCode>General</c:formatCode>
                <c:ptCount val="9"/>
                <c:pt idx="0">
                  <c:v>0</c:v>
                </c:pt>
                <c:pt idx="1">
                  <c:v>6</c:v>
                </c:pt>
                <c:pt idx="2">
                  <c:v>12</c:v>
                </c:pt>
                <c:pt idx="3">
                  <c:v>18</c:v>
                </c:pt>
                <c:pt idx="4">
                  <c:v>25</c:v>
                </c:pt>
                <c:pt idx="5">
                  <c:v>32</c:v>
                </c:pt>
                <c:pt idx="6">
                  <c:v>38</c:v>
                </c:pt>
                <c:pt idx="7">
                  <c:v>44</c:v>
                </c:pt>
                <c:pt idx="8">
                  <c:v>51</c:v>
                </c:pt>
              </c:numCache>
            </c:numRef>
          </c:xVal>
          <c:yVal>
            <c:numRef>
              <c:f>Hoja3!$M$4:$M$12</c:f>
              <c:numCache>
                <c:formatCode>General</c:formatCode>
                <c:ptCount val="9"/>
                <c:pt idx="0">
                  <c:v>166.70999999999998</c:v>
                </c:pt>
                <c:pt idx="1">
                  <c:v>73.48</c:v>
                </c:pt>
                <c:pt idx="2">
                  <c:v>68.06</c:v>
                </c:pt>
                <c:pt idx="3">
                  <c:v>66.39</c:v>
                </c:pt>
                <c:pt idx="4">
                  <c:v>45</c:v>
                </c:pt>
                <c:pt idx="5">
                  <c:v>44.879999999999995</c:v>
                </c:pt>
                <c:pt idx="6">
                  <c:v>40.46</c:v>
                </c:pt>
                <c:pt idx="7">
                  <c:v>35.870000000000005</c:v>
                </c:pt>
                <c:pt idx="8">
                  <c:v>21.08</c:v>
                </c:pt>
              </c:numCache>
            </c:numRef>
          </c:yVal>
          <c:smooth val="1"/>
        </c:ser>
        <c:axId val="149707008"/>
        <c:axId val="149730048"/>
      </c:scatterChart>
      <c:valAx>
        <c:axId val="149707008"/>
        <c:scaling>
          <c:orientation val="minMax"/>
          <c:max val="51"/>
          <c:min val="0"/>
        </c:scaling>
        <c:axPos val="b"/>
        <c:title>
          <c:tx>
            <c:rich>
              <a:bodyPr/>
              <a:lstStyle/>
              <a:p>
                <a:pPr>
                  <a:defRPr sz="1200" b="0"/>
                </a:pPr>
                <a:r>
                  <a:rPr lang="en-US" sz="1200" b="0"/>
                  <a:t>Tiempo (min)</a:t>
                </a:r>
              </a:p>
            </c:rich>
          </c:tx>
          <c:layout>
            <c:manualLayout>
              <c:xMode val="edge"/>
              <c:yMode val="edge"/>
              <c:x val="0.40659136117107431"/>
              <c:y val="0.92023910775466844"/>
            </c:manualLayout>
          </c:layout>
        </c:title>
        <c:numFmt formatCode="General" sourceLinked="1"/>
        <c:tickLblPos val="nextTo"/>
        <c:txPr>
          <a:bodyPr/>
          <a:lstStyle/>
          <a:p>
            <a:pPr>
              <a:defRPr>
                <a:latin typeface="Times New Roman" pitchFamily="18" charset="0"/>
                <a:cs typeface="Times New Roman" pitchFamily="18" charset="0"/>
              </a:defRPr>
            </a:pPr>
            <a:endParaRPr lang="en-US"/>
          </a:p>
        </c:txPr>
        <c:crossAx val="149730048"/>
        <c:crosses val="autoZero"/>
        <c:crossBetween val="midCat"/>
        <c:majorUnit val="5"/>
        <c:minorUnit val="0.4"/>
      </c:valAx>
      <c:valAx>
        <c:axId val="149730048"/>
        <c:scaling>
          <c:orientation val="minMax"/>
        </c:scaling>
        <c:axPos val="l"/>
        <c:majorGridlines/>
        <c:title>
          <c:tx>
            <c:rich>
              <a:bodyPr rot="-5400000" vert="horz"/>
              <a:lstStyle/>
              <a:p>
                <a:pPr>
                  <a:defRPr sz="1200" b="0"/>
                </a:pPr>
                <a:r>
                  <a:rPr lang="en-US" sz="1200" b="0"/>
                  <a:t>Diámetro equivalente</a:t>
                </a:r>
                <a:r>
                  <a:rPr lang="en-US" sz="1200" b="0" baseline="0"/>
                  <a:t> (</a:t>
                </a:r>
                <a:r>
                  <a:rPr lang="es-ES" sz="1200" b="0" i="0" u="none" strike="noStrike" baseline="0"/>
                  <a:t>µm)</a:t>
                </a:r>
                <a:endParaRPr lang="en-US" sz="1200" b="0"/>
              </a:p>
            </c:rich>
          </c:tx>
          <c:layout>
            <c:manualLayout>
              <c:xMode val="edge"/>
              <c:yMode val="edge"/>
              <c:x val="5.0890033114121044E-4"/>
              <c:y val="0.17937216662695218"/>
            </c:manualLayout>
          </c:layout>
        </c:title>
        <c:numFmt formatCode="General" sourceLinked="1"/>
        <c:tickLblPos val="nextTo"/>
        <c:txPr>
          <a:bodyPr/>
          <a:lstStyle/>
          <a:p>
            <a:pPr>
              <a:defRPr sz="1000">
                <a:latin typeface="Times New Roman" pitchFamily="18" charset="0"/>
                <a:cs typeface="Times New Roman" pitchFamily="18" charset="0"/>
              </a:defRPr>
            </a:pPr>
            <a:endParaRPr lang="en-US"/>
          </a:p>
        </c:txPr>
        <c:crossAx val="149707008"/>
        <c:crossesAt val="0"/>
        <c:crossBetween val="midCat"/>
      </c:valAx>
      <c:spPr>
        <a:ln>
          <a:solidFill>
            <a:schemeClr val="tx1"/>
          </a:solidFill>
        </a:ln>
      </c:spPr>
    </c:plotArea>
    <c:legend>
      <c:legendPos val="r"/>
      <c:layout>
        <c:manualLayout>
          <c:xMode val="edge"/>
          <c:yMode val="edge"/>
          <c:x val="0.87844045950886085"/>
          <c:y val="9.4318691939930338E-2"/>
          <c:w val="9.8825623792801742E-2"/>
          <c:h val="0.19989003942913369"/>
        </c:manualLayout>
      </c:layout>
      <c:txPr>
        <a:bodyPr/>
        <a:lstStyle/>
        <a:p>
          <a:pPr>
            <a:defRPr sz="1000"/>
          </a:pPr>
          <a:endParaRPr lang="en-US"/>
        </a:p>
      </c:txP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306452252706159"/>
          <c:y val="4.0531644085953382E-2"/>
          <c:w val="0.76550069384712061"/>
          <c:h val="0.79801716952123858"/>
        </c:manualLayout>
      </c:layout>
      <c:scatterChart>
        <c:scatterStyle val="smoothMarker"/>
        <c:ser>
          <c:idx val="0"/>
          <c:order val="0"/>
          <c:tx>
            <c:v>D10</c:v>
          </c:tx>
          <c:spPr>
            <a:ln w="19050">
              <a:solidFill>
                <a:srgbClr val="FF0000"/>
              </a:solidFill>
            </a:ln>
          </c:spPr>
          <c:marker>
            <c:symbol val="diamond"/>
            <c:size val="5"/>
            <c:spPr>
              <a:solidFill>
                <a:sysClr val="windowText" lastClr="000000"/>
              </a:solidFill>
            </c:spPr>
          </c:marker>
          <c:xVal>
            <c:numRef>
              <c:f>Hoja3!$N$4:$N$12</c:f>
              <c:numCache>
                <c:formatCode>General</c:formatCode>
                <c:ptCount val="9"/>
                <c:pt idx="0">
                  <c:v>0</c:v>
                </c:pt>
                <c:pt idx="1">
                  <c:v>6</c:v>
                </c:pt>
                <c:pt idx="2">
                  <c:v>12</c:v>
                </c:pt>
                <c:pt idx="3">
                  <c:v>18</c:v>
                </c:pt>
                <c:pt idx="4">
                  <c:v>25</c:v>
                </c:pt>
                <c:pt idx="5">
                  <c:v>32</c:v>
                </c:pt>
                <c:pt idx="6">
                  <c:v>38</c:v>
                </c:pt>
                <c:pt idx="7">
                  <c:v>44</c:v>
                </c:pt>
                <c:pt idx="8">
                  <c:v>51</c:v>
                </c:pt>
              </c:numCache>
            </c:numRef>
          </c:xVal>
          <c:yVal>
            <c:numRef>
              <c:f>Hoja3!$O$4:$O$12</c:f>
              <c:numCache>
                <c:formatCode>General</c:formatCode>
                <c:ptCount val="9"/>
                <c:pt idx="0">
                  <c:v>4.07</c:v>
                </c:pt>
                <c:pt idx="1">
                  <c:v>1.9900000000000011</c:v>
                </c:pt>
                <c:pt idx="2">
                  <c:v>1.81</c:v>
                </c:pt>
                <c:pt idx="3">
                  <c:v>2.8899999999999997</c:v>
                </c:pt>
                <c:pt idx="4">
                  <c:v>1.9900000000000011</c:v>
                </c:pt>
                <c:pt idx="5">
                  <c:v>2.34</c:v>
                </c:pt>
                <c:pt idx="6">
                  <c:v>2.4299999999999997</c:v>
                </c:pt>
                <c:pt idx="7">
                  <c:v>1.9900000000000011</c:v>
                </c:pt>
                <c:pt idx="8">
                  <c:v>1.9900000000000011</c:v>
                </c:pt>
              </c:numCache>
            </c:numRef>
          </c:yVal>
          <c:smooth val="1"/>
        </c:ser>
        <c:ser>
          <c:idx val="1"/>
          <c:order val="1"/>
          <c:tx>
            <c:v>D50</c:v>
          </c:tx>
          <c:spPr>
            <a:ln w="19050">
              <a:solidFill>
                <a:srgbClr val="0070C0"/>
              </a:solidFill>
            </a:ln>
          </c:spPr>
          <c:marker>
            <c:symbol val="square"/>
            <c:size val="3"/>
            <c:spPr>
              <a:solidFill>
                <a:sysClr val="windowText" lastClr="000000"/>
              </a:solidFill>
              <a:ln>
                <a:solidFill>
                  <a:schemeClr val="tx1"/>
                </a:solidFill>
              </a:ln>
            </c:spPr>
          </c:marker>
          <c:xVal>
            <c:numRef>
              <c:f>Hoja3!$N$4:$N$12</c:f>
              <c:numCache>
                <c:formatCode>General</c:formatCode>
                <c:ptCount val="9"/>
                <c:pt idx="0">
                  <c:v>0</c:v>
                </c:pt>
                <c:pt idx="1">
                  <c:v>6</c:v>
                </c:pt>
                <c:pt idx="2">
                  <c:v>12</c:v>
                </c:pt>
                <c:pt idx="3">
                  <c:v>18</c:v>
                </c:pt>
                <c:pt idx="4">
                  <c:v>25</c:v>
                </c:pt>
                <c:pt idx="5">
                  <c:v>32</c:v>
                </c:pt>
                <c:pt idx="6">
                  <c:v>38</c:v>
                </c:pt>
                <c:pt idx="7">
                  <c:v>44</c:v>
                </c:pt>
                <c:pt idx="8">
                  <c:v>51</c:v>
                </c:pt>
              </c:numCache>
            </c:numRef>
          </c:xVal>
          <c:yVal>
            <c:numRef>
              <c:f>Hoja3!$P$4:$P$12</c:f>
              <c:numCache>
                <c:formatCode>General</c:formatCode>
                <c:ptCount val="9"/>
                <c:pt idx="0">
                  <c:v>21.72</c:v>
                </c:pt>
                <c:pt idx="1">
                  <c:v>23.74</c:v>
                </c:pt>
                <c:pt idx="2">
                  <c:v>29.24</c:v>
                </c:pt>
                <c:pt idx="3">
                  <c:v>22.1</c:v>
                </c:pt>
                <c:pt idx="4">
                  <c:v>14.2</c:v>
                </c:pt>
                <c:pt idx="5">
                  <c:v>12.239999999999998</c:v>
                </c:pt>
                <c:pt idx="6">
                  <c:v>7.28</c:v>
                </c:pt>
                <c:pt idx="7">
                  <c:v>6.3199999999999985</c:v>
                </c:pt>
                <c:pt idx="8">
                  <c:v>8.33</c:v>
                </c:pt>
              </c:numCache>
            </c:numRef>
          </c:yVal>
          <c:smooth val="1"/>
        </c:ser>
        <c:ser>
          <c:idx val="2"/>
          <c:order val="2"/>
          <c:tx>
            <c:v>D90</c:v>
          </c:tx>
          <c:spPr>
            <a:ln w="19050">
              <a:solidFill>
                <a:srgbClr val="00B050"/>
              </a:solidFill>
            </a:ln>
          </c:spPr>
          <c:marker>
            <c:symbol val="triangle"/>
            <c:size val="5"/>
            <c:spPr>
              <a:solidFill>
                <a:sysClr val="windowText" lastClr="000000"/>
              </a:solidFill>
            </c:spPr>
          </c:marker>
          <c:xVal>
            <c:numRef>
              <c:f>Hoja3!$N$4:$N$12</c:f>
              <c:numCache>
                <c:formatCode>General</c:formatCode>
                <c:ptCount val="9"/>
                <c:pt idx="0">
                  <c:v>0</c:v>
                </c:pt>
                <c:pt idx="1">
                  <c:v>6</c:v>
                </c:pt>
                <c:pt idx="2">
                  <c:v>12</c:v>
                </c:pt>
                <c:pt idx="3">
                  <c:v>18</c:v>
                </c:pt>
                <c:pt idx="4">
                  <c:v>25</c:v>
                </c:pt>
                <c:pt idx="5">
                  <c:v>32</c:v>
                </c:pt>
                <c:pt idx="6">
                  <c:v>38</c:v>
                </c:pt>
                <c:pt idx="7">
                  <c:v>44</c:v>
                </c:pt>
                <c:pt idx="8">
                  <c:v>51</c:v>
                </c:pt>
              </c:numCache>
            </c:numRef>
          </c:xVal>
          <c:yVal>
            <c:numRef>
              <c:f>Hoja3!$Q$4:$Q$12</c:f>
              <c:numCache>
                <c:formatCode>General</c:formatCode>
                <c:ptCount val="9"/>
                <c:pt idx="0">
                  <c:v>66.459999999999994</c:v>
                </c:pt>
                <c:pt idx="1">
                  <c:v>79.47</c:v>
                </c:pt>
                <c:pt idx="2">
                  <c:v>59.58</c:v>
                </c:pt>
                <c:pt idx="3">
                  <c:v>50.790000000000013</c:v>
                </c:pt>
                <c:pt idx="4">
                  <c:v>24.84</c:v>
                </c:pt>
                <c:pt idx="5">
                  <c:v>24.85</c:v>
                </c:pt>
                <c:pt idx="6">
                  <c:v>24.7</c:v>
                </c:pt>
                <c:pt idx="7">
                  <c:v>30.47</c:v>
                </c:pt>
                <c:pt idx="8">
                  <c:v>23.29</c:v>
                </c:pt>
              </c:numCache>
            </c:numRef>
          </c:yVal>
          <c:smooth val="1"/>
        </c:ser>
        <c:axId val="150676992"/>
        <c:axId val="150687744"/>
      </c:scatterChart>
      <c:valAx>
        <c:axId val="150676992"/>
        <c:scaling>
          <c:orientation val="minMax"/>
          <c:max val="51"/>
          <c:min val="0"/>
        </c:scaling>
        <c:axPos val="b"/>
        <c:title>
          <c:tx>
            <c:rich>
              <a:bodyPr/>
              <a:lstStyle/>
              <a:p>
                <a:pPr>
                  <a:defRPr sz="1200" b="0"/>
                </a:pPr>
                <a:r>
                  <a:rPr lang="en-US" sz="1200" b="0"/>
                  <a:t>Tiempo (min)</a:t>
                </a:r>
              </a:p>
            </c:rich>
          </c:tx>
          <c:layout>
            <c:manualLayout>
              <c:xMode val="edge"/>
              <c:yMode val="edge"/>
              <c:x val="0.44708095520137842"/>
              <c:y val="0.92441541367044366"/>
            </c:manualLayout>
          </c:layout>
        </c:title>
        <c:numFmt formatCode="General" sourceLinked="1"/>
        <c:tickLblPos val="nextTo"/>
        <c:txPr>
          <a:bodyPr/>
          <a:lstStyle/>
          <a:p>
            <a:pPr>
              <a:defRPr>
                <a:latin typeface="Times New Roman" pitchFamily="18" charset="0"/>
                <a:cs typeface="Times New Roman" pitchFamily="18" charset="0"/>
              </a:defRPr>
            </a:pPr>
            <a:endParaRPr lang="en-US"/>
          </a:p>
        </c:txPr>
        <c:crossAx val="150687744"/>
        <c:crosses val="autoZero"/>
        <c:crossBetween val="midCat"/>
        <c:majorUnit val="5"/>
        <c:minorUnit val="0.4"/>
      </c:valAx>
      <c:valAx>
        <c:axId val="150687744"/>
        <c:scaling>
          <c:orientation val="minMax"/>
        </c:scaling>
        <c:axPos val="l"/>
        <c:majorGridlines/>
        <c:title>
          <c:tx>
            <c:rich>
              <a:bodyPr rot="-5400000" vert="horz"/>
              <a:lstStyle/>
              <a:p>
                <a:pPr>
                  <a:defRPr sz="1200" b="0"/>
                </a:pPr>
                <a:r>
                  <a:rPr lang="en-US" sz="1200" b="0"/>
                  <a:t>Diámetro equivalente</a:t>
                </a:r>
                <a:r>
                  <a:rPr lang="en-US" sz="1200" b="0" baseline="0"/>
                  <a:t> (</a:t>
                </a:r>
                <a:r>
                  <a:rPr lang="es-ES" sz="1200" b="0" i="0" u="none" strike="noStrike" baseline="0"/>
                  <a:t>µm)</a:t>
                </a:r>
                <a:endParaRPr lang="en-US" sz="1200" b="0"/>
              </a:p>
            </c:rich>
          </c:tx>
          <c:layout>
            <c:manualLayout>
              <c:xMode val="edge"/>
              <c:yMode val="edge"/>
              <c:x val="5.0890033114121141E-4"/>
              <c:y val="0.17937216662695218"/>
            </c:manualLayout>
          </c:layout>
        </c:title>
        <c:numFmt formatCode="General" sourceLinked="1"/>
        <c:tickLblPos val="nextTo"/>
        <c:txPr>
          <a:bodyPr/>
          <a:lstStyle/>
          <a:p>
            <a:pPr>
              <a:defRPr sz="1000">
                <a:latin typeface="Times New Roman" pitchFamily="18" charset="0"/>
                <a:cs typeface="Times New Roman" pitchFamily="18" charset="0"/>
              </a:defRPr>
            </a:pPr>
            <a:endParaRPr lang="en-US"/>
          </a:p>
        </c:txPr>
        <c:crossAx val="150676992"/>
        <c:crosses val="autoZero"/>
        <c:crossBetween val="midCat"/>
      </c:valAx>
      <c:spPr>
        <a:ln>
          <a:solidFill>
            <a:schemeClr val="tx1"/>
          </a:solidFill>
        </a:ln>
      </c:spPr>
    </c:plotArea>
    <c:legend>
      <c:legendPos val="r"/>
      <c:layout>
        <c:manualLayout>
          <c:xMode val="edge"/>
          <c:yMode val="edge"/>
          <c:x val="0.87844045950886163"/>
          <c:y val="9.4318691939930338E-2"/>
          <c:w val="9.8825623792801798E-2"/>
          <c:h val="0.1995817514065702"/>
        </c:manualLayout>
      </c:layout>
      <c:txPr>
        <a:bodyPr/>
        <a:lstStyle/>
        <a:p>
          <a:pPr>
            <a:defRPr sz="1000"/>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v>Polietileno</c:v>
          </c:tx>
          <c:cat>
            <c:strRef>
              <c:f>DC!$E$9:$F$9</c:f>
              <c:strCache>
                <c:ptCount val="2"/>
                <c:pt idx="0">
                  <c:v>Campo DC</c:v>
                </c:pt>
                <c:pt idx="1">
                  <c:v>Campo + Centrifugación</c:v>
                </c:pt>
              </c:strCache>
            </c:strRef>
          </c:cat>
          <c:val>
            <c:numRef>
              <c:f>DC!$E$10:$F$10</c:f>
              <c:numCache>
                <c:formatCode>0</c:formatCode>
                <c:ptCount val="2"/>
                <c:pt idx="0">
                  <c:v>21.621621621621621</c:v>
                </c:pt>
                <c:pt idx="1">
                  <c:v>64.864864864864856</c:v>
                </c:pt>
              </c:numCache>
            </c:numRef>
          </c:val>
        </c:ser>
        <c:ser>
          <c:idx val="1"/>
          <c:order val="1"/>
          <c:tx>
            <c:v>Anillos de vidrio</c:v>
          </c:tx>
          <c:cat>
            <c:strRef>
              <c:f>DC!$E$9:$F$9</c:f>
              <c:strCache>
                <c:ptCount val="2"/>
                <c:pt idx="0">
                  <c:v>Campo DC</c:v>
                </c:pt>
                <c:pt idx="1">
                  <c:v>Campo + Centrifugación</c:v>
                </c:pt>
              </c:strCache>
            </c:strRef>
          </c:cat>
          <c:val>
            <c:numRef>
              <c:f>DC!$E$11:$F$11</c:f>
              <c:numCache>
                <c:formatCode>0</c:formatCode>
                <c:ptCount val="2"/>
                <c:pt idx="0">
                  <c:v>16.216216216216214</c:v>
                </c:pt>
                <c:pt idx="1">
                  <c:v>43.243243243243057</c:v>
                </c:pt>
              </c:numCache>
            </c:numRef>
          </c:val>
        </c:ser>
        <c:ser>
          <c:idx val="2"/>
          <c:order val="2"/>
          <c:tx>
            <c:v>Esferas de vidrio</c:v>
          </c:tx>
          <c:cat>
            <c:strRef>
              <c:f>DC!$E$9:$F$9</c:f>
              <c:strCache>
                <c:ptCount val="2"/>
                <c:pt idx="0">
                  <c:v>Campo DC</c:v>
                </c:pt>
                <c:pt idx="1">
                  <c:v>Campo + Centrifugación</c:v>
                </c:pt>
              </c:strCache>
            </c:strRef>
          </c:cat>
          <c:val>
            <c:numRef>
              <c:f>DC!$E$12:$F$12</c:f>
              <c:numCache>
                <c:formatCode>0</c:formatCode>
                <c:ptCount val="2"/>
                <c:pt idx="0">
                  <c:v>16.216216216216214</c:v>
                </c:pt>
                <c:pt idx="1">
                  <c:v>37.837837837837824</c:v>
                </c:pt>
              </c:numCache>
            </c:numRef>
          </c:val>
        </c:ser>
        <c:ser>
          <c:idx val="3"/>
          <c:order val="3"/>
          <c:tx>
            <c:v>Cáscara de maní</c:v>
          </c:tx>
          <c:cat>
            <c:strRef>
              <c:f>DC!$E$9:$F$9</c:f>
              <c:strCache>
                <c:ptCount val="2"/>
                <c:pt idx="0">
                  <c:v>Campo DC</c:v>
                </c:pt>
                <c:pt idx="1">
                  <c:v>Campo + Centrifugación</c:v>
                </c:pt>
              </c:strCache>
            </c:strRef>
          </c:cat>
          <c:val>
            <c:numRef>
              <c:f>DC!$E$13:$F$13</c:f>
              <c:numCache>
                <c:formatCode>0</c:formatCode>
                <c:ptCount val="2"/>
                <c:pt idx="0">
                  <c:v>0</c:v>
                </c:pt>
                <c:pt idx="1">
                  <c:v>5.4054054054054053</c:v>
                </c:pt>
              </c:numCache>
            </c:numRef>
          </c:val>
        </c:ser>
        <c:ser>
          <c:idx val="4"/>
          <c:order val="4"/>
          <c:tx>
            <c:v>Rocas</c:v>
          </c:tx>
          <c:cat>
            <c:strRef>
              <c:f>DC!$E$9:$F$9</c:f>
              <c:strCache>
                <c:ptCount val="2"/>
                <c:pt idx="0">
                  <c:v>Campo DC</c:v>
                </c:pt>
                <c:pt idx="1">
                  <c:v>Campo + Centrifugación</c:v>
                </c:pt>
              </c:strCache>
            </c:strRef>
          </c:cat>
          <c:val>
            <c:numRef>
              <c:f>DC!$E$14:$F$14</c:f>
              <c:numCache>
                <c:formatCode>0</c:formatCode>
                <c:ptCount val="2"/>
                <c:pt idx="0">
                  <c:v>10.810810810810812</c:v>
                </c:pt>
                <c:pt idx="1">
                  <c:v>21.621621621621621</c:v>
                </c:pt>
              </c:numCache>
            </c:numRef>
          </c:val>
        </c:ser>
        <c:ser>
          <c:idx val="6"/>
          <c:order val="5"/>
          <c:tx>
            <c:v>Sin medio</c:v>
          </c:tx>
          <c:cat>
            <c:strRef>
              <c:f>DC!$E$9:$F$9</c:f>
              <c:strCache>
                <c:ptCount val="2"/>
                <c:pt idx="0">
                  <c:v>Campo DC</c:v>
                </c:pt>
                <c:pt idx="1">
                  <c:v>Campo + Centrifugación</c:v>
                </c:pt>
              </c:strCache>
            </c:strRef>
          </c:cat>
          <c:val>
            <c:numRef>
              <c:f>DC!$E$15:$F$15</c:f>
              <c:numCache>
                <c:formatCode>0</c:formatCode>
                <c:ptCount val="2"/>
                <c:pt idx="0">
                  <c:v>0</c:v>
                </c:pt>
                <c:pt idx="1">
                  <c:v>18.91891891891893</c:v>
                </c:pt>
              </c:numCache>
            </c:numRef>
          </c:val>
        </c:ser>
        <c:axId val="110453504"/>
        <c:axId val="110455040"/>
      </c:barChart>
      <c:catAx>
        <c:axId val="110453504"/>
        <c:scaling>
          <c:orientation val="minMax"/>
        </c:scaling>
        <c:axPos val="b"/>
        <c:tickLblPos val="nextTo"/>
        <c:crossAx val="110455040"/>
        <c:crosses val="autoZero"/>
        <c:auto val="1"/>
        <c:lblAlgn val="ctr"/>
        <c:lblOffset val="100"/>
      </c:catAx>
      <c:valAx>
        <c:axId val="110455040"/>
        <c:scaling>
          <c:orientation val="minMax"/>
          <c:max val="100"/>
        </c:scaling>
        <c:axPos val="l"/>
        <c:majorGridlines/>
        <c:title>
          <c:tx>
            <c:rich>
              <a:bodyPr rot="-5400000" vert="horz"/>
              <a:lstStyle/>
              <a:p>
                <a:pPr>
                  <a:defRPr b="0"/>
                </a:pPr>
                <a:r>
                  <a:rPr lang="en-US" b="0"/>
                  <a:t>Agua recuperada (% v/v)</a:t>
                </a:r>
              </a:p>
            </c:rich>
          </c:tx>
          <c:layout>
            <c:manualLayout>
              <c:xMode val="edge"/>
              <c:yMode val="edge"/>
              <c:x val="3.5172790901137355E-2"/>
              <c:y val="0.12762379702537183"/>
            </c:manualLayout>
          </c:layout>
        </c:title>
        <c:numFmt formatCode="0" sourceLinked="1"/>
        <c:tickLblPos val="nextTo"/>
        <c:crossAx val="110453504"/>
        <c:crosses val="autoZero"/>
        <c:crossBetween val="between"/>
      </c:valAx>
      <c:spPr>
        <a:noFill/>
        <a:ln>
          <a:solidFill>
            <a:schemeClr val="tx1"/>
          </a:solidFill>
        </a:ln>
      </c:spPr>
    </c:plotArea>
    <c:legend>
      <c:legendPos val="r"/>
      <c:layout>
        <c:manualLayout>
          <c:xMode val="edge"/>
          <c:yMode val="edge"/>
          <c:x val="0.75070144356955637"/>
          <c:y val="0.15059711286089297"/>
          <c:w val="0.23263188976377952"/>
          <c:h val="0.56547244094488192"/>
        </c:manualLayout>
      </c:layout>
      <c:txPr>
        <a:bodyPr/>
        <a:lstStyle/>
        <a:p>
          <a:pPr>
            <a:defRPr sz="800"/>
          </a:pPr>
          <a:endParaRPr lang="en-US"/>
        </a:p>
      </c:txPr>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2918744531933521"/>
          <c:y val="3.1944517525960323E-2"/>
          <c:w val="0.66595844269466409"/>
          <c:h val="0.79894444444444579"/>
        </c:manualLayout>
      </c:layout>
      <c:barChart>
        <c:barDir val="col"/>
        <c:grouping val="clustered"/>
        <c:ser>
          <c:idx val="0"/>
          <c:order val="0"/>
          <c:tx>
            <c:v>Polietileno</c:v>
          </c:tx>
          <c:cat>
            <c:strRef>
              <c:f>DC!$E$114:$F$114</c:f>
              <c:strCache>
                <c:ptCount val="2"/>
                <c:pt idx="0">
                  <c:v>Campo DC</c:v>
                </c:pt>
                <c:pt idx="1">
                  <c:v>Campo DC + Centrifugación</c:v>
                </c:pt>
              </c:strCache>
            </c:strRef>
          </c:cat>
          <c:val>
            <c:numRef>
              <c:f>DC!$E$115:$F$115</c:f>
              <c:numCache>
                <c:formatCode>0</c:formatCode>
                <c:ptCount val="2"/>
                <c:pt idx="0">
                  <c:v>2.7027027027027155</c:v>
                </c:pt>
                <c:pt idx="1">
                  <c:v>24.324324324324323</c:v>
                </c:pt>
              </c:numCache>
            </c:numRef>
          </c:val>
        </c:ser>
        <c:ser>
          <c:idx val="1"/>
          <c:order val="1"/>
          <c:tx>
            <c:v>Anillos de vidrio</c:v>
          </c:tx>
          <c:cat>
            <c:strRef>
              <c:f>DC!$E$114:$F$114</c:f>
              <c:strCache>
                <c:ptCount val="2"/>
                <c:pt idx="0">
                  <c:v>Campo DC</c:v>
                </c:pt>
                <c:pt idx="1">
                  <c:v>Campo DC + Centrifugación</c:v>
                </c:pt>
              </c:strCache>
            </c:strRef>
          </c:cat>
          <c:val>
            <c:numRef>
              <c:f>DC!$E$116:$F$116</c:f>
              <c:numCache>
                <c:formatCode>0</c:formatCode>
                <c:ptCount val="2"/>
                <c:pt idx="0">
                  <c:v>2.7027027027027155</c:v>
                </c:pt>
                <c:pt idx="1">
                  <c:v>21.621621621621621</c:v>
                </c:pt>
              </c:numCache>
            </c:numRef>
          </c:val>
        </c:ser>
        <c:ser>
          <c:idx val="2"/>
          <c:order val="2"/>
          <c:tx>
            <c:v>Esferas de vidrio</c:v>
          </c:tx>
          <c:cat>
            <c:strRef>
              <c:f>DC!$E$114:$F$114</c:f>
              <c:strCache>
                <c:ptCount val="2"/>
                <c:pt idx="0">
                  <c:v>Campo DC</c:v>
                </c:pt>
                <c:pt idx="1">
                  <c:v>Campo DC + Centrifugación</c:v>
                </c:pt>
              </c:strCache>
            </c:strRef>
          </c:cat>
          <c:val>
            <c:numRef>
              <c:f>DC!$E$117:$F$117</c:f>
              <c:numCache>
                <c:formatCode>0</c:formatCode>
                <c:ptCount val="2"/>
                <c:pt idx="0">
                  <c:v>2.7027027027027155</c:v>
                </c:pt>
                <c:pt idx="1">
                  <c:v>18.91891891891893</c:v>
                </c:pt>
              </c:numCache>
            </c:numRef>
          </c:val>
        </c:ser>
        <c:ser>
          <c:idx val="3"/>
          <c:order val="3"/>
          <c:tx>
            <c:v>Cáscara de maní</c:v>
          </c:tx>
          <c:cat>
            <c:strRef>
              <c:f>DC!$E$114:$F$114</c:f>
              <c:strCache>
                <c:ptCount val="2"/>
                <c:pt idx="0">
                  <c:v>Campo DC</c:v>
                </c:pt>
                <c:pt idx="1">
                  <c:v>Campo DC + Centrifugación</c:v>
                </c:pt>
              </c:strCache>
            </c:strRef>
          </c:cat>
          <c:val>
            <c:numRef>
              <c:f>DC!$E$118:$F$118</c:f>
              <c:numCache>
                <c:formatCode>0</c:formatCode>
                <c:ptCount val="2"/>
                <c:pt idx="0">
                  <c:v>0</c:v>
                </c:pt>
                <c:pt idx="1">
                  <c:v>2.7027027027027155</c:v>
                </c:pt>
              </c:numCache>
            </c:numRef>
          </c:val>
        </c:ser>
        <c:ser>
          <c:idx val="4"/>
          <c:order val="4"/>
          <c:tx>
            <c:v>Rocas</c:v>
          </c:tx>
          <c:cat>
            <c:strRef>
              <c:f>DC!$E$114:$F$114</c:f>
              <c:strCache>
                <c:ptCount val="2"/>
                <c:pt idx="0">
                  <c:v>Campo DC</c:v>
                </c:pt>
                <c:pt idx="1">
                  <c:v>Campo DC + Centrifugación</c:v>
                </c:pt>
              </c:strCache>
            </c:strRef>
          </c:cat>
          <c:val>
            <c:numRef>
              <c:f>DC!$E$119:$F$119</c:f>
              <c:numCache>
                <c:formatCode>0</c:formatCode>
                <c:ptCount val="2"/>
                <c:pt idx="0">
                  <c:v>0</c:v>
                </c:pt>
                <c:pt idx="1">
                  <c:v>10.810810810810812</c:v>
                </c:pt>
              </c:numCache>
            </c:numRef>
          </c:val>
        </c:ser>
        <c:ser>
          <c:idx val="6"/>
          <c:order val="5"/>
          <c:tx>
            <c:v>Sin medio</c:v>
          </c:tx>
          <c:cat>
            <c:strRef>
              <c:f>DC!$E$114:$F$114</c:f>
              <c:strCache>
                <c:ptCount val="2"/>
                <c:pt idx="0">
                  <c:v>Campo DC</c:v>
                </c:pt>
                <c:pt idx="1">
                  <c:v>Campo DC + Centrifugación</c:v>
                </c:pt>
              </c:strCache>
            </c:strRef>
          </c:cat>
          <c:val>
            <c:numRef>
              <c:f>DC!$E$120:$F$120</c:f>
              <c:numCache>
                <c:formatCode>0</c:formatCode>
                <c:ptCount val="2"/>
                <c:pt idx="0">
                  <c:v>0</c:v>
                </c:pt>
                <c:pt idx="1">
                  <c:v>0</c:v>
                </c:pt>
              </c:numCache>
            </c:numRef>
          </c:val>
        </c:ser>
        <c:axId val="110471040"/>
        <c:axId val="110472576"/>
      </c:barChart>
      <c:catAx>
        <c:axId val="110471040"/>
        <c:scaling>
          <c:orientation val="minMax"/>
        </c:scaling>
        <c:axPos val="b"/>
        <c:tickLblPos val="nextTo"/>
        <c:crossAx val="110472576"/>
        <c:crosses val="autoZero"/>
        <c:auto val="1"/>
        <c:lblAlgn val="ctr"/>
        <c:lblOffset val="100"/>
      </c:catAx>
      <c:valAx>
        <c:axId val="110472576"/>
        <c:scaling>
          <c:orientation val="minMax"/>
          <c:max val="100"/>
        </c:scaling>
        <c:axPos val="l"/>
        <c:majorGridlines/>
        <c:title>
          <c:tx>
            <c:rich>
              <a:bodyPr rot="-5400000" vert="horz"/>
              <a:lstStyle/>
              <a:p>
                <a:pPr>
                  <a:defRPr b="0"/>
                </a:pPr>
                <a:r>
                  <a:rPr lang="en-US" b="0"/>
                  <a:t>Agua recuperada (% v/v)</a:t>
                </a:r>
              </a:p>
            </c:rich>
          </c:tx>
          <c:layout>
            <c:manualLayout>
              <c:xMode val="edge"/>
              <c:yMode val="edge"/>
              <c:x val="1.3888888888888907E-2"/>
              <c:y val="9.5889071512116175E-2"/>
            </c:manualLayout>
          </c:layout>
        </c:title>
        <c:numFmt formatCode="0" sourceLinked="1"/>
        <c:tickLblPos val="nextTo"/>
        <c:crossAx val="110471040"/>
        <c:crosses val="autoZero"/>
        <c:crossBetween val="between"/>
      </c:valAx>
      <c:spPr>
        <a:noFill/>
        <a:ln>
          <a:solidFill>
            <a:schemeClr val="tx1"/>
          </a:solidFill>
        </a:ln>
      </c:spPr>
    </c:plotArea>
    <c:legend>
      <c:legendPos val="r"/>
      <c:layout>
        <c:manualLayout>
          <c:xMode val="edge"/>
          <c:yMode val="edge"/>
          <c:x val="0.80903477690288761"/>
          <c:y val="0.10615261657836808"/>
          <c:w val="0.18818744531933529"/>
          <c:h val="0.56547244094488192"/>
        </c:manualLayout>
      </c:layout>
      <c:txPr>
        <a:bodyPr/>
        <a:lstStyle/>
        <a:p>
          <a:pPr>
            <a:defRPr sz="800"/>
          </a:pPr>
          <a:endParaRPr lang="en-US"/>
        </a:p>
      </c:txPr>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4029855643044647"/>
          <c:y val="3.1944444444444442E-2"/>
          <c:w val="0.6709584426946642"/>
          <c:h val="0.79894444444444579"/>
        </c:manualLayout>
      </c:layout>
      <c:barChart>
        <c:barDir val="col"/>
        <c:grouping val="clustered"/>
        <c:ser>
          <c:idx val="0"/>
          <c:order val="0"/>
          <c:tx>
            <c:v>Polietileno</c:v>
          </c:tx>
          <c:cat>
            <c:strRef>
              <c:f>AC!$G$7:$H$7</c:f>
              <c:strCache>
                <c:ptCount val="2"/>
                <c:pt idx="0">
                  <c:v>Campo AC</c:v>
                </c:pt>
                <c:pt idx="1">
                  <c:v>Campo AC + Centrifugación</c:v>
                </c:pt>
              </c:strCache>
            </c:strRef>
          </c:cat>
          <c:val>
            <c:numRef>
              <c:f>AC!$G$8:$H$8</c:f>
              <c:numCache>
                <c:formatCode>0</c:formatCode>
                <c:ptCount val="2"/>
                <c:pt idx="0">
                  <c:v>0</c:v>
                </c:pt>
                <c:pt idx="1">
                  <c:v>5.4054054054054053</c:v>
                </c:pt>
              </c:numCache>
            </c:numRef>
          </c:val>
        </c:ser>
        <c:ser>
          <c:idx val="1"/>
          <c:order val="1"/>
          <c:tx>
            <c:v>Anillos de vidrio</c:v>
          </c:tx>
          <c:cat>
            <c:strRef>
              <c:f>AC!$G$7:$H$7</c:f>
              <c:strCache>
                <c:ptCount val="2"/>
                <c:pt idx="0">
                  <c:v>Campo AC</c:v>
                </c:pt>
                <c:pt idx="1">
                  <c:v>Campo AC + Centrifugación</c:v>
                </c:pt>
              </c:strCache>
            </c:strRef>
          </c:cat>
          <c:val>
            <c:numRef>
              <c:f>AC!$G$9:$H$9</c:f>
              <c:numCache>
                <c:formatCode>0</c:formatCode>
                <c:ptCount val="2"/>
                <c:pt idx="0">
                  <c:v>5.4054054054054053</c:v>
                </c:pt>
                <c:pt idx="1">
                  <c:v>16.216216216216214</c:v>
                </c:pt>
              </c:numCache>
            </c:numRef>
          </c:val>
        </c:ser>
        <c:ser>
          <c:idx val="2"/>
          <c:order val="2"/>
          <c:tx>
            <c:v>Esferas de vidrio</c:v>
          </c:tx>
          <c:cat>
            <c:strRef>
              <c:f>AC!$G$7:$H$7</c:f>
              <c:strCache>
                <c:ptCount val="2"/>
                <c:pt idx="0">
                  <c:v>Campo AC</c:v>
                </c:pt>
                <c:pt idx="1">
                  <c:v>Campo AC + Centrifugación</c:v>
                </c:pt>
              </c:strCache>
            </c:strRef>
          </c:cat>
          <c:val>
            <c:numRef>
              <c:f>AC!$G$10:$H$10</c:f>
              <c:numCache>
                <c:formatCode>0</c:formatCode>
                <c:ptCount val="2"/>
                <c:pt idx="0">
                  <c:v>2.7027027027027155</c:v>
                </c:pt>
                <c:pt idx="1">
                  <c:v>10.810810810810812</c:v>
                </c:pt>
              </c:numCache>
            </c:numRef>
          </c:val>
        </c:ser>
        <c:ser>
          <c:idx val="3"/>
          <c:order val="3"/>
          <c:tx>
            <c:v>Cáscaras de maní</c:v>
          </c:tx>
          <c:cat>
            <c:strRef>
              <c:f>AC!$G$7:$H$7</c:f>
              <c:strCache>
                <c:ptCount val="2"/>
                <c:pt idx="0">
                  <c:v>Campo AC</c:v>
                </c:pt>
                <c:pt idx="1">
                  <c:v>Campo AC + Centrifugación</c:v>
                </c:pt>
              </c:strCache>
            </c:strRef>
          </c:cat>
          <c:val>
            <c:numRef>
              <c:f>AC!$G$11:$H$11</c:f>
              <c:numCache>
                <c:formatCode>0</c:formatCode>
                <c:ptCount val="2"/>
                <c:pt idx="0">
                  <c:v>0</c:v>
                </c:pt>
                <c:pt idx="1">
                  <c:v>0</c:v>
                </c:pt>
              </c:numCache>
            </c:numRef>
          </c:val>
        </c:ser>
        <c:ser>
          <c:idx val="4"/>
          <c:order val="4"/>
          <c:tx>
            <c:v>Rocas</c:v>
          </c:tx>
          <c:cat>
            <c:strRef>
              <c:f>AC!$G$7:$H$7</c:f>
              <c:strCache>
                <c:ptCount val="2"/>
                <c:pt idx="0">
                  <c:v>Campo AC</c:v>
                </c:pt>
                <c:pt idx="1">
                  <c:v>Campo AC + Centrifugación</c:v>
                </c:pt>
              </c:strCache>
            </c:strRef>
          </c:cat>
          <c:val>
            <c:numRef>
              <c:f>AC!$G$12:$H$12</c:f>
              <c:numCache>
                <c:formatCode>0</c:formatCode>
                <c:ptCount val="2"/>
                <c:pt idx="0">
                  <c:v>0</c:v>
                </c:pt>
                <c:pt idx="1">
                  <c:v>5.4054054054054053</c:v>
                </c:pt>
              </c:numCache>
            </c:numRef>
          </c:val>
        </c:ser>
        <c:ser>
          <c:idx val="6"/>
          <c:order val="5"/>
          <c:tx>
            <c:v>Sin medio</c:v>
          </c:tx>
          <c:cat>
            <c:strRef>
              <c:f>AC!$G$7:$H$7</c:f>
              <c:strCache>
                <c:ptCount val="2"/>
                <c:pt idx="0">
                  <c:v>Campo AC</c:v>
                </c:pt>
                <c:pt idx="1">
                  <c:v>Campo AC + Centrifugación</c:v>
                </c:pt>
              </c:strCache>
            </c:strRef>
          </c:cat>
          <c:val>
            <c:numRef>
              <c:f>AC!$G$13:$H$13</c:f>
              <c:numCache>
                <c:formatCode>0</c:formatCode>
                <c:ptCount val="2"/>
                <c:pt idx="0">
                  <c:v>0</c:v>
                </c:pt>
                <c:pt idx="1">
                  <c:v>0</c:v>
                </c:pt>
              </c:numCache>
            </c:numRef>
          </c:val>
        </c:ser>
        <c:axId val="142306304"/>
        <c:axId val="142332672"/>
      </c:barChart>
      <c:catAx>
        <c:axId val="142306304"/>
        <c:scaling>
          <c:orientation val="minMax"/>
        </c:scaling>
        <c:axPos val="b"/>
        <c:tickLblPos val="nextTo"/>
        <c:crossAx val="142332672"/>
        <c:crosses val="autoZero"/>
        <c:auto val="1"/>
        <c:lblAlgn val="ctr"/>
        <c:lblOffset val="100"/>
      </c:catAx>
      <c:valAx>
        <c:axId val="142332672"/>
        <c:scaling>
          <c:orientation val="minMax"/>
          <c:max val="100"/>
        </c:scaling>
        <c:axPos val="l"/>
        <c:majorGridlines/>
        <c:title>
          <c:tx>
            <c:rich>
              <a:bodyPr rot="-5400000" vert="horz"/>
              <a:lstStyle/>
              <a:p>
                <a:pPr>
                  <a:defRPr b="0"/>
                </a:pPr>
                <a:r>
                  <a:rPr lang="en-US" b="0"/>
                  <a:t>Agua recuperada (% v/v)</a:t>
                </a:r>
              </a:p>
            </c:rich>
          </c:tx>
        </c:title>
        <c:numFmt formatCode="0" sourceLinked="1"/>
        <c:tickLblPos val="nextTo"/>
        <c:crossAx val="142306304"/>
        <c:crosses val="autoZero"/>
        <c:crossBetween val="between"/>
      </c:valAx>
      <c:spPr>
        <a:noFill/>
        <a:ln>
          <a:solidFill>
            <a:schemeClr val="tx1"/>
          </a:solidFill>
        </a:ln>
      </c:spPr>
    </c:plotArea>
    <c:legend>
      <c:legendPos val="r"/>
      <c:layout>
        <c:manualLayout>
          <c:xMode val="edge"/>
          <c:yMode val="edge"/>
          <c:x val="0.80847922134733152"/>
          <c:y val="0.12837489063866986"/>
          <c:w val="0.19152077865266837"/>
          <c:h val="0.56547244094488192"/>
        </c:manualLayout>
      </c:layout>
      <c:txPr>
        <a:bodyPr/>
        <a:lstStyle/>
        <a:p>
          <a:pPr>
            <a:defRPr sz="800"/>
          </a:pPr>
          <a:endParaRPr lang="en-US"/>
        </a:p>
      </c:txPr>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3196522309711303"/>
          <c:y val="3.1944444444444442E-2"/>
          <c:w val="0.67373622047244153"/>
          <c:h val="0.79894444444444579"/>
        </c:manualLayout>
      </c:layout>
      <c:barChart>
        <c:barDir val="col"/>
        <c:grouping val="clustered"/>
        <c:ser>
          <c:idx val="0"/>
          <c:order val="0"/>
          <c:tx>
            <c:v>Polietileno</c:v>
          </c:tx>
          <c:cat>
            <c:strRef>
              <c:f>AC!$G$57:$H$57</c:f>
              <c:strCache>
                <c:ptCount val="2"/>
                <c:pt idx="0">
                  <c:v>Campo AC</c:v>
                </c:pt>
                <c:pt idx="1">
                  <c:v>Campo AC + Centrifugación</c:v>
                </c:pt>
              </c:strCache>
            </c:strRef>
          </c:cat>
          <c:val>
            <c:numRef>
              <c:f>AC!$G$58:$H$58</c:f>
              <c:numCache>
                <c:formatCode>0</c:formatCode>
                <c:ptCount val="2"/>
                <c:pt idx="0">
                  <c:v>5.4054054054054053</c:v>
                </c:pt>
                <c:pt idx="1">
                  <c:v>10.810810810810812</c:v>
                </c:pt>
              </c:numCache>
            </c:numRef>
          </c:val>
        </c:ser>
        <c:ser>
          <c:idx val="1"/>
          <c:order val="1"/>
          <c:tx>
            <c:v>Anillos de vidrio</c:v>
          </c:tx>
          <c:cat>
            <c:strRef>
              <c:f>AC!$G$57:$H$57</c:f>
              <c:strCache>
                <c:ptCount val="2"/>
                <c:pt idx="0">
                  <c:v>Campo AC</c:v>
                </c:pt>
                <c:pt idx="1">
                  <c:v>Campo AC + Centrifugación</c:v>
                </c:pt>
              </c:strCache>
            </c:strRef>
          </c:cat>
          <c:val>
            <c:numRef>
              <c:f>AC!$G$59:$H$59</c:f>
              <c:numCache>
                <c:formatCode>0</c:formatCode>
                <c:ptCount val="2"/>
                <c:pt idx="0">
                  <c:v>2.7027027027027155</c:v>
                </c:pt>
                <c:pt idx="1">
                  <c:v>5.4054054054054053</c:v>
                </c:pt>
              </c:numCache>
            </c:numRef>
          </c:val>
        </c:ser>
        <c:ser>
          <c:idx val="2"/>
          <c:order val="2"/>
          <c:tx>
            <c:v>Esferas de vidrio</c:v>
          </c:tx>
          <c:cat>
            <c:strRef>
              <c:f>AC!$G$57:$H$57</c:f>
              <c:strCache>
                <c:ptCount val="2"/>
                <c:pt idx="0">
                  <c:v>Campo AC</c:v>
                </c:pt>
                <c:pt idx="1">
                  <c:v>Campo AC + Centrifugación</c:v>
                </c:pt>
              </c:strCache>
            </c:strRef>
          </c:cat>
          <c:val>
            <c:numRef>
              <c:f>AC!$G$60:$H$60</c:f>
              <c:numCache>
                <c:formatCode>0</c:formatCode>
                <c:ptCount val="2"/>
                <c:pt idx="0">
                  <c:v>0</c:v>
                </c:pt>
                <c:pt idx="1">
                  <c:v>5.4054054054054053</c:v>
                </c:pt>
              </c:numCache>
            </c:numRef>
          </c:val>
        </c:ser>
        <c:ser>
          <c:idx val="3"/>
          <c:order val="3"/>
          <c:tx>
            <c:v>Cáscaras de maní</c:v>
          </c:tx>
          <c:cat>
            <c:strRef>
              <c:f>AC!$G$57:$H$57</c:f>
              <c:strCache>
                <c:ptCount val="2"/>
                <c:pt idx="0">
                  <c:v>Campo AC</c:v>
                </c:pt>
                <c:pt idx="1">
                  <c:v>Campo AC + Centrifugación</c:v>
                </c:pt>
              </c:strCache>
            </c:strRef>
          </c:cat>
          <c:val>
            <c:numRef>
              <c:f>AC!$G$61:$H$61</c:f>
              <c:numCache>
                <c:formatCode>0</c:formatCode>
                <c:ptCount val="2"/>
                <c:pt idx="0">
                  <c:v>0</c:v>
                </c:pt>
                <c:pt idx="1">
                  <c:v>0</c:v>
                </c:pt>
              </c:numCache>
            </c:numRef>
          </c:val>
        </c:ser>
        <c:ser>
          <c:idx val="4"/>
          <c:order val="4"/>
          <c:tx>
            <c:v>Rocas</c:v>
          </c:tx>
          <c:cat>
            <c:strRef>
              <c:f>AC!$G$57:$H$57</c:f>
              <c:strCache>
                <c:ptCount val="2"/>
                <c:pt idx="0">
                  <c:v>Campo AC</c:v>
                </c:pt>
                <c:pt idx="1">
                  <c:v>Campo AC + Centrifugación</c:v>
                </c:pt>
              </c:strCache>
            </c:strRef>
          </c:cat>
          <c:val>
            <c:numRef>
              <c:f>AC!$G$62:$H$62</c:f>
              <c:numCache>
                <c:formatCode>0</c:formatCode>
                <c:ptCount val="2"/>
                <c:pt idx="0">
                  <c:v>0</c:v>
                </c:pt>
                <c:pt idx="1">
                  <c:v>0</c:v>
                </c:pt>
              </c:numCache>
            </c:numRef>
          </c:val>
        </c:ser>
        <c:ser>
          <c:idx val="6"/>
          <c:order val="5"/>
          <c:tx>
            <c:v>Sin medio</c:v>
          </c:tx>
          <c:cat>
            <c:strRef>
              <c:f>AC!$G$57:$H$57</c:f>
              <c:strCache>
                <c:ptCount val="2"/>
                <c:pt idx="0">
                  <c:v>Campo AC</c:v>
                </c:pt>
                <c:pt idx="1">
                  <c:v>Campo AC + Centrifugación</c:v>
                </c:pt>
              </c:strCache>
            </c:strRef>
          </c:cat>
          <c:val>
            <c:numRef>
              <c:f>AC!$G$63:$H$63</c:f>
              <c:numCache>
                <c:formatCode>0</c:formatCode>
                <c:ptCount val="2"/>
                <c:pt idx="0">
                  <c:v>0</c:v>
                </c:pt>
                <c:pt idx="1">
                  <c:v>5.4054054054054053</c:v>
                </c:pt>
              </c:numCache>
            </c:numRef>
          </c:val>
        </c:ser>
        <c:axId val="143585664"/>
        <c:axId val="143587200"/>
      </c:barChart>
      <c:catAx>
        <c:axId val="143585664"/>
        <c:scaling>
          <c:orientation val="minMax"/>
        </c:scaling>
        <c:axPos val="b"/>
        <c:tickLblPos val="nextTo"/>
        <c:crossAx val="143587200"/>
        <c:crosses val="autoZero"/>
        <c:auto val="1"/>
        <c:lblAlgn val="ctr"/>
        <c:lblOffset val="100"/>
      </c:catAx>
      <c:valAx>
        <c:axId val="143587200"/>
        <c:scaling>
          <c:orientation val="minMax"/>
          <c:max val="100"/>
        </c:scaling>
        <c:axPos val="l"/>
        <c:majorGridlines/>
        <c:title>
          <c:tx>
            <c:rich>
              <a:bodyPr rot="-5400000" vert="horz"/>
              <a:lstStyle/>
              <a:p>
                <a:pPr>
                  <a:defRPr b="0"/>
                </a:pPr>
                <a:r>
                  <a:rPr lang="en-US" b="0"/>
                  <a:t>Agua recuperada (% v/v)</a:t>
                </a:r>
              </a:p>
            </c:rich>
          </c:tx>
          <c:layout>
            <c:manualLayout>
              <c:xMode val="edge"/>
              <c:yMode val="edge"/>
              <c:x val="2.2222222222222247E-2"/>
              <c:y val="0.13477777777777777"/>
            </c:manualLayout>
          </c:layout>
        </c:title>
        <c:numFmt formatCode="0" sourceLinked="1"/>
        <c:tickLblPos val="nextTo"/>
        <c:crossAx val="143585664"/>
        <c:crosses val="autoZero"/>
        <c:crossBetween val="between"/>
      </c:valAx>
      <c:spPr>
        <a:noFill/>
        <a:ln>
          <a:solidFill>
            <a:schemeClr val="tx1"/>
          </a:solidFill>
        </a:ln>
      </c:spPr>
    </c:plotArea>
    <c:legend>
      <c:legendPos val="r"/>
      <c:layout>
        <c:manualLayout>
          <c:xMode val="edge"/>
          <c:yMode val="edge"/>
          <c:x val="0.8112569991251094"/>
          <c:y val="0.11726377952755938"/>
          <c:w val="0.18874300087489099"/>
          <c:h val="0.56547244094488192"/>
        </c:manualLayout>
      </c:layout>
      <c:txPr>
        <a:bodyPr/>
        <a:lstStyle/>
        <a:p>
          <a:pPr>
            <a:defRPr sz="800"/>
          </a:pPr>
          <a:endParaRPr lang="en-US"/>
        </a:p>
      </c:txPr>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style val="26"/>
  <c:chart>
    <c:autoTitleDeleted val="1"/>
    <c:plotArea>
      <c:layout>
        <c:manualLayout>
          <c:layoutTarget val="inner"/>
          <c:xMode val="edge"/>
          <c:yMode val="edge"/>
          <c:x val="0.14029855643044647"/>
          <c:y val="3.1944444444444442E-2"/>
          <c:w val="0.65706955380577559"/>
          <c:h val="0.79894444444444579"/>
        </c:manualLayout>
      </c:layout>
      <c:barChart>
        <c:barDir val="col"/>
        <c:grouping val="clustered"/>
        <c:ser>
          <c:idx val="0"/>
          <c:order val="0"/>
          <c:tx>
            <c:v>Polietileno</c:v>
          </c:tx>
          <c:cat>
            <c:strRef>
              <c:f>AC!$G$108:$H$108</c:f>
              <c:strCache>
                <c:ptCount val="2"/>
                <c:pt idx="0">
                  <c:v>Campo AC</c:v>
                </c:pt>
                <c:pt idx="1">
                  <c:v>Campo AC + Centrifugación</c:v>
                </c:pt>
              </c:strCache>
            </c:strRef>
          </c:cat>
          <c:val>
            <c:numRef>
              <c:f>AC!$G$109:$H$109</c:f>
              <c:numCache>
                <c:formatCode>0</c:formatCode>
                <c:ptCount val="2"/>
                <c:pt idx="0">
                  <c:v>0</c:v>
                </c:pt>
                <c:pt idx="1">
                  <c:v>5.4054054054054053</c:v>
                </c:pt>
              </c:numCache>
            </c:numRef>
          </c:val>
        </c:ser>
        <c:ser>
          <c:idx val="1"/>
          <c:order val="1"/>
          <c:tx>
            <c:v>Anillos de vidrio</c:v>
          </c:tx>
          <c:cat>
            <c:strRef>
              <c:f>AC!$G$108:$H$108</c:f>
              <c:strCache>
                <c:ptCount val="2"/>
                <c:pt idx="0">
                  <c:v>Campo AC</c:v>
                </c:pt>
                <c:pt idx="1">
                  <c:v>Campo AC + Centrifugación</c:v>
                </c:pt>
              </c:strCache>
            </c:strRef>
          </c:cat>
          <c:val>
            <c:numRef>
              <c:f>AC!$G$110:$H$110</c:f>
              <c:numCache>
                <c:formatCode>0</c:formatCode>
                <c:ptCount val="2"/>
                <c:pt idx="0">
                  <c:v>0</c:v>
                </c:pt>
                <c:pt idx="1">
                  <c:v>5.4054054054054053</c:v>
                </c:pt>
              </c:numCache>
            </c:numRef>
          </c:val>
        </c:ser>
        <c:ser>
          <c:idx val="2"/>
          <c:order val="2"/>
          <c:tx>
            <c:v>Esferas de vidrio</c:v>
          </c:tx>
          <c:cat>
            <c:strRef>
              <c:f>AC!$G$108:$H$108</c:f>
              <c:strCache>
                <c:ptCount val="2"/>
                <c:pt idx="0">
                  <c:v>Campo AC</c:v>
                </c:pt>
                <c:pt idx="1">
                  <c:v>Campo AC + Centrifugación</c:v>
                </c:pt>
              </c:strCache>
            </c:strRef>
          </c:cat>
          <c:val>
            <c:numRef>
              <c:f>AC!$G$111:$H$111</c:f>
              <c:numCache>
                <c:formatCode>0</c:formatCode>
                <c:ptCount val="2"/>
                <c:pt idx="0">
                  <c:v>0</c:v>
                </c:pt>
                <c:pt idx="1">
                  <c:v>5.4054054054054053</c:v>
                </c:pt>
              </c:numCache>
            </c:numRef>
          </c:val>
        </c:ser>
        <c:ser>
          <c:idx val="3"/>
          <c:order val="3"/>
          <c:tx>
            <c:v>Cáscaras de maní</c:v>
          </c:tx>
          <c:cat>
            <c:strRef>
              <c:f>AC!$G$108:$H$108</c:f>
              <c:strCache>
                <c:ptCount val="2"/>
                <c:pt idx="0">
                  <c:v>Campo AC</c:v>
                </c:pt>
                <c:pt idx="1">
                  <c:v>Campo AC + Centrifugación</c:v>
                </c:pt>
              </c:strCache>
            </c:strRef>
          </c:cat>
          <c:val>
            <c:numRef>
              <c:f>AC!$G$112:$H$112</c:f>
              <c:numCache>
                <c:formatCode>0</c:formatCode>
                <c:ptCount val="2"/>
                <c:pt idx="0">
                  <c:v>0</c:v>
                </c:pt>
                <c:pt idx="1">
                  <c:v>5.4054054054054053</c:v>
                </c:pt>
              </c:numCache>
            </c:numRef>
          </c:val>
        </c:ser>
        <c:ser>
          <c:idx val="4"/>
          <c:order val="4"/>
          <c:tx>
            <c:v>Rocas</c:v>
          </c:tx>
          <c:cat>
            <c:strRef>
              <c:f>AC!$G$108:$H$108</c:f>
              <c:strCache>
                <c:ptCount val="2"/>
                <c:pt idx="0">
                  <c:v>Campo AC</c:v>
                </c:pt>
                <c:pt idx="1">
                  <c:v>Campo AC + Centrifugación</c:v>
                </c:pt>
              </c:strCache>
            </c:strRef>
          </c:cat>
          <c:val>
            <c:numRef>
              <c:f>AC!$G$113:$H$113</c:f>
              <c:numCache>
                <c:formatCode>0</c:formatCode>
                <c:ptCount val="2"/>
                <c:pt idx="0">
                  <c:v>0</c:v>
                </c:pt>
                <c:pt idx="1">
                  <c:v>0</c:v>
                </c:pt>
              </c:numCache>
            </c:numRef>
          </c:val>
        </c:ser>
        <c:ser>
          <c:idx val="6"/>
          <c:order val="5"/>
          <c:tx>
            <c:v>Sin medio</c:v>
          </c:tx>
          <c:cat>
            <c:strRef>
              <c:f>AC!$G$108:$H$108</c:f>
              <c:strCache>
                <c:ptCount val="2"/>
                <c:pt idx="0">
                  <c:v>Campo AC</c:v>
                </c:pt>
                <c:pt idx="1">
                  <c:v>Campo AC + Centrifugación</c:v>
                </c:pt>
              </c:strCache>
            </c:strRef>
          </c:cat>
          <c:val>
            <c:numRef>
              <c:f>AC!$G$114:$H$114</c:f>
              <c:numCache>
                <c:formatCode>0</c:formatCode>
                <c:ptCount val="2"/>
                <c:pt idx="0">
                  <c:v>0</c:v>
                </c:pt>
                <c:pt idx="1">
                  <c:v>0</c:v>
                </c:pt>
              </c:numCache>
            </c:numRef>
          </c:val>
        </c:ser>
        <c:axId val="143967744"/>
        <c:axId val="143969280"/>
      </c:barChart>
      <c:catAx>
        <c:axId val="143967744"/>
        <c:scaling>
          <c:orientation val="minMax"/>
        </c:scaling>
        <c:axPos val="b"/>
        <c:tickLblPos val="nextTo"/>
        <c:crossAx val="143969280"/>
        <c:crosses val="autoZero"/>
        <c:auto val="1"/>
        <c:lblAlgn val="ctr"/>
        <c:lblOffset val="100"/>
      </c:catAx>
      <c:valAx>
        <c:axId val="143969280"/>
        <c:scaling>
          <c:orientation val="minMax"/>
          <c:max val="100"/>
        </c:scaling>
        <c:axPos val="l"/>
        <c:majorGridlines/>
        <c:title>
          <c:tx>
            <c:rich>
              <a:bodyPr rot="-5400000" vert="horz"/>
              <a:lstStyle/>
              <a:p>
                <a:pPr>
                  <a:defRPr b="0"/>
                </a:pPr>
                <a:r>
                  <a:rPr lang="en-US" b="0"/>
                  <a:t>Agua recuperada (% v/v)</a:t>
                </a:r>
              </a:p>
            </c:rich>
          </c:tx>
        </c:title>
        <c:numFmt formatCode="0" sourceLinked="1"/>
        <c:tickLblPos val="nextTo"/>
        <c:crossAx val="143967744"/>
        <c:crosses val="autoZero"/>
        <c:crossBetween val="between"/>
      </c:valAx>
      <c:spPr>
        <a:noFill/>
        <a:ln>
          <a:solidFill>
            <a:schemeClr val="tx1"/>
          </a:solidFill>
        </a:ln>
      </c:spPr>
    </c:plotArea>
    <c:legend>
      <c:legendPos val="r"/>
      <c:layout>
        <c:manualLayout>
          <c:xMode val="edge"/>
          <c:yMode val="edge"/>
          <c:x val="0.78625699912510938"/>
          <c:y val="0.13393044619422637"/>
          <c:w val="0.21374300087489095"/>
          <c:h val="0.56547244094488192"/>
        </c:manualLayout>
      </c:layout>
      <c:txPr>
        <a:bodyPr/>
        <a:lstStyle/>
        <a:p>
          <a:pPr>
            <a:defRPr sz="800"/>
          </a:pPr>
          <a:endParaRPr lang="en-US"/>
        </a:p>
      </c:txPr>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DTG</c:v>
          </c:tx>
          <c:spPr>
            <a:ln w="19050">
              <a:solidFill>
                <a:srgbClr val="FF0000"/>
              </a:solidFill>
            </a:ln>
          </c:spPr>
          <c:marker>
            <c:symbol val="triangle"/>
            <c:size val="5"/>
            <c:spPr>
              <a:solidFill>
                <a:schemeClr val="tx1"/>
              </a:solidFill>
              <a:ln>
                <a:solidFill>
                  <a:sysClr val="windowText" lastClr="000000"/>
                </a:solidFill>
              </a:ln>
            </c:spPr>
          </c:marker>
          <c:xVal>
            <c:numRef>
              <c:f>'Dc y F(x) ##)'!$S$27:$S$35</c:f>
              <c:numCache>
                <c:formatCode>0.00</c:formatCode>
                <c:ptCount val="9"/>
                <c:pt idx="0">
                  <c:v>6.6741255138917248</c:v>
                </c:pt>
                <c:pt idx="1">
                  <c:v>11.115114179146357</c:v>
                </c:pt>
                <c:pt idx="2">
                  <c:v>14.342402781521272</c:v>
                </c:pt>
                <c:pt idx="3">
                  <c:v>27.479241672096933</c:v>
                </c:pt>
                <c:pt idx="4">
                  <c:v>56.073666472084092</c:v>
                </c:pt>
                <c:pt idx="5">
                  <c:v>127.15006373729473</c:v>
                </c:pt>
                <c:pt idx="6">
                  <c:v>166.7095144396383</c:v>
                </c:pt>
                <c:pt idx="7">
                  <c:v>185.97872195534001</c:v>
                </c:pt>
                <c:pt idx="8">
                  <c:v>204.91074531911954</c:v>
                </c:pt>
              </c:numCache>
            </c:numRef>
          </c:xVal>
          <c:yVal>
            <c:numRef>
              <c:f>'Dc y F(x) ##)'!$T$27:$T$35</c:f>
              <c:numCache>
                <c:formatCode>0.00</c:formatCode>
                <c:ptCount val="9"/>
                <c:pt idx="0">
                  <c:v>1.0000000000000005E-2</c:v>
                </c:pt>
                <c:pt idx="1">
                  <c:v>0.05</c:v>
                </c:pt>
                <c:pt idx="2">
                  <c:v>0.1</c:v>
                </c:pt>
                <c:pt idx="3">
                  <c:v>0.25</c:v>
                </c:pt>
                <c:pt idx="4">
                  <c:v>0.5</c:v>
                </c:pt>
                <c:pt idx="5">
                  <c:v>0.75000000000000122</c:v>
                </c:pt>
                <c:pt idx="6">
                  <c:v>0.9</c:v>
                </c:pt>
                <c:pt idx="7">
                  <c:v>0.95000000000000062</c:v>
                </c:pt>
                <c:pt idx="8">
                  <c:v>1</c:v>
                </c:pt>
              </c:numCache>
            </c:numRef>
          </c:yVal>
          <c:smooth val="1"/>
        </c:ser>
        <c:ser>
          <c:idx val="1"/>
          <c:order val="1"/>
          <c:tx>
            <c:strRef>
              <c:f>'Dc y F(x) ##)'!$S$27</c:f>
              <c:strCache>
                <c:ptCount val="1"/>
                <c:pt idx="0">
                  <c:v>6,67</c:v>
                </c:pt>
              </c:strCache>
            </c:strRef>
          </c:tx>
          <c:spPr>
            <a:ln w="28575">
              <a:noFill/>
            </a:ln>
          </c:spPr>
          <c:marker>
            <c:symbol val="none"/>
          </c:marker>
          <c:yVal>
            <c:numLit>
              <c:formatCode>General</c:formatCode>
              <c:ptCount val="1"/>
              <c:pt idx="0">
                <c:v>1</c:v>
              </c:pt>
            </c:numLit>
          </c:yVal>
        </c:ser>
        <c:ser>
          <c:idx val="2"/>
          <c:order val="2"/>
          <c:tx>
            <c:strRef>
              <c:f>'Dc y F(x) ##)'!$S$28</c:f>
              <c:strCache>
                <c:ptCount val="1"/>
                <c:pt idx="0">
                  <c:v>11,12</c:v>
                </c:pt>
              </c:strCache>
            </c:strRef>
          </c:tx>
          <c:spPr>
            <a:ln w="28575">
              <a:noFill/>
            </a:ln>
          </c:spPr>
          <c:marker>
            <c:symbol val="none"/>
          </c:marker>
          <c:yVal>
            <c:numLit>
              <c:formatCode>General</c:formatCode>
              <c:ptCount val="1"/>
              <c:pt idx="0">
                <c:v>1</c:v>
              </c:pt>
            </c:numLit>
          </c:yVal>
        </c:ser>
        <c:ser>
          <c:idx val="3"/>
          <c:order val="3"/>
          <c:tx>
            <c:strRef>
              <c:f>'Dc y F(x) ##)'!$S$29</c:f>
              <c:strCache>
                <c:ptCount val="1"/>
                <c:pt idx="0">
                  <c:v>14,34</c:v>
                </c:pt>
              </c:strCache>
            </c:strRef>
          </c:tx>
          <c:spPr>
            <a:ln w="28575">
              <a:noFill/>
            </a:ln>
          </c:spPr>
          <c:marker>
            <c:symbol val="none"/>
          </c:marker>
          <c:yVal>
            <c:numLit>
              <c:formatCode>General</c:formatCode>
              <c:ptCount val="1"/>
              <c:pt idx="0">
                <c:v>1</c:v>
              </c:pt>
            </c:numLit>
          </c:yVal>
        </c:ser>
        <c:ser>
          <c:idx val="4"/>
          <c:order val="4"/>
          <c:tx>
            <c:strRef>
              <c:f>'Dc y F(x) ##)'!$S$30</c:f>
              <c:strCache>
                <c:ptCount val="1"/>
                <c:pt idx="0">
                  <c:v>27,48</c:v>
                </c:pt>
              </c:strCache>
            </c:strRef>
          </c:tx>
          <c:spPr>
            <a:ln w="28575">
              <a:noFill/>
            </a:ln>
          </c:spPr>
          <c:marker>
            <c:symbol val="none"/>
          </c:marker>
          <c:yVal>
            <c:numLit>
              <c:formatCode>General</c:formatCode>
              <c:ptCount val="1"/>
              <c:pt idx="0">
                <c:v>1</c:v>
              </c:pt>
            </c:numLit>
          </c:yVal>
        </c:ser>
        <c:ser>
          <c:idx val="5"/>
          <c:order val="5"/>
          <c:tx>
            <c:strRef>
              <c:f>'Dc y F(x) ##)'!$S$31</c:f>
              <c:strCache>
                <c:ptCount val="1"/>
                <c:pt idx="0">
                  <c:v>56,07</c:v>
                </c:pt>
              </c:strCache>
            </c:strRef>
          </c:tx>
          <c:spPr>
            <a:ln w="28575">
              <a:noFill/>
            </a:ln>
          </c:spPr>
          <c:marker>
            <c:symbol val="none"/>
          </c:marker>
          <c:yVal>
            <c:numLit>
              <c:formatCode>General</c:formatCode>
              <c:ptCount val="1"/>
              <c:pt idx="0">
                <c:v>1</c:v>
              </c:pt>
            </c:numLit>
          </c:yVal>
        </c:ser>
        <c:ser>
          <c:idx val="6"/>
          <c:order val="6"/>
          <c:tx>
            <c:strRef>
              <c:f>'Dc y F(x) ##)'!$S$32</c:f>
              <c:strCache>
                <c:ptCount val="1"/>
                <c:pt idx="0">
                  <c:v>127,15</c:v>
                </c:pt>
              </c:strCache>
            </c:strRef>
          </c:tx>
          <c:spPr>
            <a:ln w="28575">
              <a:noFill/>
            </a:ln>
          </c:spPr>
          <c:marker>
            <c:symbol val="none"/>
          </c:marker>
          <c:yVal>
            <c:numLit>
              <c:formatCode>General</c:formatCode>
              <c:ptCount val="1"/>
              <c:pt idx="0">
                <c:v>1</c:v>
              </c:pt>
            </c:numLit>
          </c:yVal>
        </c:ser>
        <c:ser>
          <c:idx val="7"/>
          <c:order val="7"/>
          <c:tx>
            <c:strRef>
              <c:f>'Dc y F(x) ##)'!$S$33</c:f>
              <c:strCache>
                <c:ptCount val="1"/>
                <c:pt idx="0">
                  <c:v>166,71</c:v>
                </c:pt>
              </c:strCache>
            </c:strRef>
          </c:tx>
          <c:spPr>
            <a:ln w="28575">
              <a:noFill/>
            </a:ln>
          </c:spPr>
          <c:marker>
            <c:symbol val="none"/>
          </c:marker>
          <c:yVal>
            <c:numLit>
              <c:formatCode>General</c:formatCode>
              <c:ptCount val="1"/>
              <c:pt idx="0">
                <c:v>1</c:v>
              </c:pt>
            </c:numLit>
          </c:yVal>
        </c:ser>
        <c:ser>
          <c:idx val="8"/>
          <c:order val="8"/>
          <c:tx>
            <c:strRef>
              <c:f>'Dc y F(x) ##)'!$S$34</c:f>
              <c:strCache>
                <c:ptCount val="1"/>
                <c:pt idx="0">
                  <c:v>185,98</c:v>
                </c:pt>
              </c:strCache>
            </c:strRef>
          </c:tx>
          <c:spPr>
            <a:ln w="28575">
              <a:noFill/>
            </a:ln>
          </c:spPr>
          <c:marker>
            <c:symbol val="none"/>
          </c:marker>
          <c:yVal>
            <c:numLit>
              <c:formatCode>General</c:formatCode>
              <c:ptCount val="1"/>
              <c:pt idx="0">
                <c:v>1</c:v>
              </c:pt>
            </c:numLit>
          </c:yVal>
          <c:smooth val="1"/>
        </c:ser>
        <c:ser>
          <c:idx val="9"/>
          <c:order val="9"/>
          <c:tx>
            <c:strRef>
              <c:f>'Dc y F(x) ##)'!$S$34</c:f>
              <c:strCache>
                <c:ptCount val="1"/>
                <c:pt idx="0">
                  <c:v>185,98</c:v>
                </c:pt>
              </c:strCache>
            </c:strRef>
          </c:tx>
          <c:spPr>
            <a:ln w="28575">
              <a:noFill/>
            </a:ln>
          </c:spPr>
          <c:marker>
            <c:symbol val="none"/>
          </c:marker>
          <c:yVal>
            <c:numLit>
              <c:formatCode>General</c:formatCode>
              <c:ptCount val="1"/>
              <c:pt idx="0">
                <c:v>1</c:v>
              </c:pt>
            </c:numLit>
          </c:yVal>
        </c:ser>
        <c:ser>
          <c:idx val="10"/>
          <c:order val="10"/>
          <c:tx>
            <c:strRef>
              <c:f>'Dc y F(x) ##)'!$S$35</c:f>
              <c:strCache>
                <c:ptCount val="1"/>
                <c:pt idx="0">
                  <c:v>204,91</c:v>
                </c:pt>
              </c:strCache>
            </c:strRef>
          </c:tx>
          <c:spPr>
            <a:ln w="28575">
              <a:noFill/>
            </a:ln>
          </c:spPr>
          <c:marker>
            <c:symbol val="none"/>
          </c:marker>
          <c:yVal>
            <c:numLit>
              <c:formatCode>General</c:formatCode>
              <c:ptCount val="1"/>
              <c:pt idx="0">
                <c:v>1</c:v>
              </c:pt>
            </c:numLit>
          </c:yVal>
        </c:ser>
        <c:axId val="144239232"/>
        <c:axId val="144286464"/>
      </c:scatterChart>
      <c:valAx>
        <c:axId val="144239232"/>
        <c:scaling>
          <c:logBase val="10"/>
          <c:orientation val="minMax"/>
          <c:max val="1000"/>
        </c:scaling>
        <c:axPos val="b"/>
        <c:majorGridlines/>
        <c:title>
          <c:tx>
            <c:rich>
              <a:bodyPr/>
              <a:lstStyle/>
              <a:p>
                <a:pPr>
                  <a:defRPr sz="1200" b="0" i="0" u="none" strike="noStrike" baseline="0">
                    <a:solidFill>
                      <a:srgbClr val="000000"/>
                    </a:solidFill>
                    <a:latin typeface="Calibri"/>
                    <a:ea typeface="Calibri"/>
                    <a:cs typeface="Calibri"/>
                  </a:defRPr>
                </a:pPr>
                <a:r>
                  <a:rPr lang="en-US" sz="1000" b="0" i="0" u="none" strike="noStrike" baseline="0">
                    <a:solidFill>
                      <a:srgbClr val="000000"/>
                    </a:solidFill>
                    <a:latin typeface="Times New Roman"/>
                    <a:cs typeface="Times New Roman"/>
                  </a:rPr>
                  <a:t>Diámetro de gota X</a:t>
                </a:r>
                <a:r>
                  <a:rPr lang="en-US" sz="1000" b="0" i="0" u="none" strike="noStrike" baseline="-25000">
                    <a:solidFill>
                      <a:srgbClr val="000000"/>
                    </a:solidFill>
                    <a:latin typeface="Times New Roman"/>
                    <a:cs typeface="Times New Roman"/>
                  </a:rPr>
                  <a:t>A </a:t>
                </a:r>
                <a:r>
                  <a:rPr lang="en-US" sz="1000" b="0" i="0" u="none" strike="noStrike" baseline="0">
                    <a:solidFill>
                      <a:srgbClr val="000000"/>
                    </a:solidFill>
                    <a:latin typeface="Times New Roman"/>
                    <a:cs typeface="Times New Roman"/>
                  </a:rPr>
                  <a:t>(µm)</a:t>
                </a:r>
              </a:p>
            </c:rich>
          </c:tx>
          <c:layout>
            <c:manualLayout>
              <c:xMode val="edge"/>
              <c:yMode val="edge"/>
              <c:x val="0.3623971680064948"/>
              <c:y val="0.89248062272088402"/>
            </c:manualLayout>
          </c:layout>
        </c:title>
        <c:numFmt formatCode="0" sourceLinked="0"/>
        <c:tickLblPos val="nextTo"/>
        <c:spPr>
          <a:ln w="19050">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44286464"/>
        <c:crosses val="autoZero"/>
        <c:crossBetween val="midCat"/>
      </c:valAx>
      <c:valAx>
        <c:axId val="144286464"/>
        <c:scaling>
          <c:orientation val="minMax"/>
          <c:max val="1"/>
        </c:scaling>
        <c:axPos val="l"/>
        <c:majorGridlines/>
        <c:title>
          <c:tx>
            <c:rich>
              <a:bodyPr/>
              <a:lstStyle/>
              <a:p>
                <a:pPr>
                  <a:defRPr sz="1200" b="0" i="0" u="none" strike="noStrike" baseline="0">
                    <a:solidFill>
                      <a:srgbClr val="000000"/>
                    </a:solidFill>
                    <a:latin typeface="Calibri"/>
                    <a:ea typeface="Calibri"/>
                    <a:cs typeface="Calibri"/>
                  </a:defRPr>
                </a:pPr>
                <a:r>
                  <a:rPr lang="en-US" sz="1000" b="0" i="0" u="none" strike="noStrike" baseline="0">
                    <a:solidFill>
                      <a:srgbClr val="000000"/>
                    </a:solidFill>
                    <a:latin typeface="Times New Roman"/>
                    <a:cs typeface="Times New Roman"/>
                  </a:rPr>
                  <a:t>Distribución acumulada F</a:t>
                </a:r>
                <a:r>
                  <a:rPr lang="en-US" sz="1000" b="0" i="0" u="none" strike="noStrike" baseline="-25000">
                    <a:solidFill>
                      <a:srgbClr val="000000"/>
                    </a:solidFill>
                    <a:latin typeface="Times New Roman"/>
                    <a:cs typeface="Times New Roman"/>
                  </a:rPr>
                  <a:t>2</a:t>
                </a:r>
                <a:r>
                  <a:rPr lang="en-US" sz="1000" b="0" i="0" u="none" strike="noStrike" baseline="0">
                    <a:solidFill>
                      <a:srgbClr val="000000"/>
                    </a:solidFill>
                    <a:latin typeface="Times New Roman"/>
                    <a:cs typeface="Times New Roman"/>
                  </a:rPr>
                  <a:t>(X</a:t>
                </a:r>
                <a:r>
                  <a:rPr lang="en-US" sz="1000" b="0" i="0" u="none" strike="noStrike" baseline="-25000">
                    <a:solidFill>
                      <a:srgbClr val="000000"/>
                    </a:solidFill>
                    <a:latin typeface="Times New Roman"/>
                    <a:cs typeface="Times New Roman"/>
                  </a:rPr>
                  <a:t>A</a:t>
                </a:r>
                <a:r>
                  <a:rPr lang="en-US" sz="1000" b="0" i="0" u="none" strike="noStrike" baseline="0">
                    <a:solidFill>
                      <a:srgbClr val="000000"/>
                    </a:solidFill>
                    <a:latin typeface="Times New Roman"/>
                    <a:cs typeface="Times New Roman"/>
                  </a:rPr>
                  <a:t>) (-)</a:t>
                </a:r>
              </a:p>
            </c:rich>
          </c:tx>
          <c:layout>
            <c:manualLayout>
              <c:xMode val="edge"/>
              <c:yMode val="edge"/>
              <c:x val="1.5101162262295785E-2"/>
              <c:y val="5.6870427135698801E-2"/>
            </c:manualLayout>
          </c:layout>
        </c:title>
        <c:numFmt formatCode="0.0" sourceLinked="0"/>
        <c:tickLblPos val="nextTo"/>
        <c:spPr>
          <a:ln w="19050">
            <a:solidFill>
              <a:schemeClr val="tx1"/>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44239232"/>
        <c:crosses val="autoZero"/>
        <c:crossBetween val="midCat"/>
      </c:valAx>
      <c:spPr>
        <a:noFill/>
        <a:ln w="19050">
          <a:solidFill>
            <a:schemeClr val="tx1"/>
          </a:solidFill>
        </a:ln>
      </c:spPr>
    </c:plotArea>
    <c:legend>
      <c:legendPos val="r"/>
      <c:legendEntry>
        <c:idx val="1"/>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2"/>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3"/>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4"/>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5"/>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6"/>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7"/>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9"/>
        <c:delete val="1"/>
      </c:legendEntry>
      <c:layout>
        <c:manualLayout>
          <c:xMode val="edge"/>
          <c:yMode val="edge"/>
          <c:x val="0.82662268567780384"/>
          <c:y val="4.8459989013001324E-2"/>
          <c:w val="0.16247935224313181"/>
          <c:h val="0.9361553643003927"/>
        </c:manualLayout>
      </c:layout>
      <c:spPr>
        <a:ln>
          <a:noFill/>
        </a:ln>
      </c:spPr>
      <c:txPr>
        <a:bodyPr/>
        <a:lstStyle/>
        <a:p>
          <a:pPr>
            <a:defRPr sz="920" b="0" i="0" u="none" strike="noStrike" baseline="0">
              <a:solidFill>
                <a:srgbClr val="000000"/>
              </a:solidFill>
              <a:latin typeface="Times New Roman"/>
              <a:ea typeface="Times New Roman"/>
              <a:cs typeface="Times New Roman"/>
            </a:defRPr>
          </a:pPr>
          <a:endParaRPr lang="en-US"/>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47841192049807"/>
          <c:y val="6.2148573997892559E-2"/>
          <c:w val="0.6744918377582978"/>
          <c:h val="0.7013680595259949"/>
        </c:manualLayout>
      </c:layout>
      <c:scatterChart>
        <c:scatterStyle val="lineMarker"/>
        <c:ser>
          <c:idx val="0"/>
          <c:order val="0"/>
          <c:tx>
            <c:v>DTG</c:v>
          </c:tx>
          <c:spPr>
            <a:ln w="19050">
              <a:solidFill>
                <a:srgbClr val="FF0000"/>
              </a:solidFill>
            </a:ln>
          </c:spPr>
          <c:marker>
            <c:symbol val="diamond"/>
            <c:size val="5"/>
            <c:spPr>
              <a:solidFill>
                <a:schemeClr val="tx1"/>
              </a:solidFill>
              <a:ln>
                <a:solidFill>
                  <a:sysClr val="windowText" lastClr="000000"/>
                </a:solidFill>
              </a:ln>
            </c:spPr>
          </c:marker>
          <c:xVal>
            <c:numRef>
              <c:f>'Dc y F(x) ##)'!$S$27:$S$35</c:f>
              <c:numCache>
                <c:formatCode>0.00</c:formatCode>
                <c:ptCount val="9"/>
                <c:pt idx="0">
                  <c:v>1.828749029067346</c:v>
                </c:pt>
                <c:pt idx="1">
                  <c:v>2.8350185320086272</c:v>
                </c:pt>
                <c:pt idx="2">
                  <c:v>4.068900242519967</c:v>
                </c:pt>
                <c:pt idx="3">
                  <c:v>10.090731278845375</c:v>
                </c:pt>
                <c:pt idx="4">
                  <c:v>21.720926071628938</c:v>
                </c:pt>
                <c:pt idx="5">
                  <c:v>42.360768208682146</c:v>
                </c:pt>
                <c:pt idx="6">
                  <c:v>66.460839022754556</c:v>
                </c:pt>
                <c:pt idx="7">
                  <c:v>75.325870484317733</c:v>
                </c:pt>
                <c:pt idx="8">
                  <c:v>84.190901945880782</c:v>
                </c:pt>
              </c:numCache>
            </c:numRef>
          </c:xVal>
          <c:yVal>
            <c:numRef>
              <c:f>'Dc y F(x) ##)'!$T$27:$T$35</c:f>
              <c:numCache>
                <c:formatCode>0.00</c:formatCode>
                <c:ptCount val="9"/>
                <c:pt idx="0">
                  <c:v>1.0000000000000005E-2</c:v>
                </c:pt>
                <c:pt idx="1">
                  <c:v>0.05</c:v>
                </c:pt>
                <c:pt idx="2">
                  <c:v>0.1</c:v>
                </c:pt>
                <c:pt idx="3">
                  <c:v>0.25</c:v>
                </c:pt>
                <c:pt idx="4">
                  <c:v>0.5</c:v>
                </c:pt>
                <c:pt idx="5">
                  <c:v>0.75000000000000122</c:v>
                </c:pt>
                <c:pt idx="6">
                  <c:v>0.9</c:v>
                </c:pt>
                <c:pt idx="7">
                  <c:v>0.95000000000000062</c:v>
                </c:pt>
                <c:pt idx="8">
                  <c:v>1</c:v>
                </c:pt>
              </c:numCache>
            </c:numRef>
          </c:yVal>
          <c:smooth val="1"/>
        </c:ser>
        <c:ser>
          <c:idx val="1"/>
          <c:order val="1"/>
          <c:tx>
            <c:strRef>
              <c:f>'Dc y F(x) ##)'!$S$27</c:f>
              <c:strCache>
                <c:ptCount val="1"/>
                <c:pt idx="0">
                  <c:v>1,83</c:v>
                </c:pt>
              </c:strCache>
            </c:strRef>
          </c:tx>
          <c:spPr>
            <a:ln w="28575">
              <a:noFill/>
            </a:ln>
          </c:spPr>
          <c:marker>
            <c:symbol val="none"/>
          </c:marker>
          <c:yVal>
            <c:numLit>
              <c:formatCode>General</c:formatCode>
              <c:ptCount val="1"/>
              <c:pt idx="0">
                <c:v>1</c:v>
              </c:pt>
            </c:numLit>
          </c:yVal>
        </c:ser>
        <c:ser>
          <c:idx val="2"/>
          <c:order val="2"/>
          <c:tx>
            <c:strRef>
              <c:f>'Dc y F(x) ##)'!$S$28</c:f>
              <c:strCache>
                <c:ptCount val="1"/>
                <c:pt idx="0">
                  <c:v>2,84</c:v>
                </c:pt>
              </c:strCache>
            </c:strRef>
          </c:tx>
          <c:spPr>
            <a:ln w="28575">
              <a:noFill/>
            </a:ln>
          </c:spPr>
          <c:marker>
            <c:symbol val="none"/>
          </c:marker>
          <c:yVal>
            <c:numLit>
              <c:formatCode>General</c:formatCode>
              <c:ptCount val="1"/>
              <c:pt idx="0">
                <c:v>1</c:v>
              </c:pt>
            </c:numLit>
          </c:yVal>
        </c:ser>
        <c:ser>
          <c:idx val="3"/>
          <c:order val="3"/>
          <c:tx>
            <c:strRef>
              <c:f>'Dc y F(x) ##)'!$S$29</c:f>
              <c:strCache>
                <c:ptCount val="1"/>
                <c:pt idx="0">
                  <c:v>4,07</c:v>
                </c:pt>
              </c:strCache>
            </c:strRef>
          </c:tx>
          <c:spPr>
            <a:ln w="28575">
              <a:noFill/>
            </a:ln>
          </c:spPr>
          <c:marker>
            <c:symbol val="none"/>
          </c:marker>
          <c:yVal>
            <c:numLit>
              <c:formatCode>General</c:formatCode>
              <c:ptCount val="1"/>
              <c:pt idx="0">
                <c:v>1</c:v>
              </c:pt>
            </c:numLit>
          </c:yVal>
        </c:ser>
        <c:ser>
          <c:idx val="4"/>
          <c:order val="4"/>
          <c:tx>
            <c:strRef>
              <c:f>'Dc y F(x) ##)'!$S$30</c:f>
              <c:strCache>
                <c:ptCount val="1"/>
                <c:pt idx="0">
                  <c:v>10,09</c:v>
                </c:pt>
              </c:strCache>
            </c:strRef>
          </c:tx>
          <c:spPr>
            <a:ln w="28575">
              <a:noFill/>
            </a:ln>
          </c:spPr>
          <c:marker>
            <c:symbol val="none"/>
          </c:marker>
          <c:yVal>
            <c:numLit>
              <c:formatCode>General</c:formatCode>
              <c:ptCount val="1"/>
              <c:pt idx="0">
                <c:v>1</c:v>
              </c:pt>
            </c:numLit>
          </c:yVal>
        </c:ser>
        <c:ser>
          <c:idx val="5"/>
          <c:order val="5"/>
          <c:tx>
            <c:strRef>
              <c:f>'Dc y F(x) ##)'!$S$31</c:f>
              <c:strCache>
                <c:ptCount val="1"/>
                <c:pt idx="0">
                  <c:v>21,72</c:v>
                </c:pt>
              </c:strCache>
            </c:strRef>
          </c:tx>
          <c:spPr>
            <a:ln w="28575">
              <a:noFill/>
            </a:ln>
          </c:spPr>
          <c:marker>
            <c:symbol val="none"/>
          </c:marker>
          <c:yVal>
            <c:numLit>
              <c:formatCode>General</c:formatCode>
              <c:ptCount val="1"/>
              <c:pt idx="0">
                <c:v>1</c:v>
              </c:pt>
            </c:numLit>
          </c:yVal>
        </c:ser>
        <c:ser>
          <c:idx val="6"/>
          <c:order val="6"/>
          <c:tx>
            <c:strRef>
              <c:f>'Dc y F(x) ##)'!$S$32</c:f>
              <c:strCache>
                <c:ptCount val="1"/>
                <c:pt idx="0">
                  <c:v>42,36</c:v>
                </c:pt>
              </c:strCache>
            </c:strRef>
          </c:tx>
          <c:spPr>
            <a:ln w="28575">
              <a:noFill/>
            </a:ln>
          </c:spPr>
          <c:marker>
            <c:symbol val="none"/>
          </c:marker>
          <c:yVal>
            <c:numLit>
              <c:formatCode>General</c:formatCode>
              <c:ptCount val="1"/>
              <c:pt idx="0">
                <c:v>1</c:v>
              </c:pt>
            </c:numLit>
          </c:yVal>
        </c:ser>
        <c:ser>
          <c:idx val="7"/>
          <c:order val="7"/>
          <c:tx>
            <c:strRef>
              <c:f>'Dc y F(x) ##)'!$S$33</c:f>
              <c:strCache>
                <c:ptCount val="1"/>
                <c:pt idx="0">
                  <c:v>66,46</c:v>
                </c:pt>
              </c:strCache>
            </c:strRef>
          </c:tx>
          <c:spPr>
            <a:ln w="28575">
              <a:noFill/>
            </a:ln>
          </c:spPr>
          <c:marker>
            <c:symbol val="none"/>
          </c:marker>
          <c:yVal>
            <c:numLit>
              <c:formatCode>General</c:formatCode>
              <c:ptCount val="1"/>
              <c:pt idx="0">
                <c:v>1</c:v>
              </c:pt>
            </c:numLit>
          </c:yVal>
        </c:ser>
        <c:ser>
          <c:idx val="8"/>
          <c:order val="8"/>
          <c:tx>
            <c:strRef>
              <c:f>'Dc y F(x) ##)'!$S$34</c:f>
              <c:strCache>
                <c:ptCount val="1"/>
                <c:pt idx="0">
                  <c:v>75,33</c:v>
                </c:pt>
              </c:strCache>
            </c:strRef>
          </c:tx>
          <c:spPr>
            <a:ln w="28575">
              <a:noFill/>
            </a:ln>
          </c:spPr>
          <c:marker>
            <c:symbol val="none"/>
          </c:marker>
          <c:yVal>
            <c:numLit>
              <c:formatCode>General</c:formatCode>
              <c:ptCount val="1"/>
              <c:pt idx="0">
                <c:v>1</c:v>
              </c:pt>
            </c:numLit>
          </c:yVal>
          <c:smooth val="1"/>
        </c:ser>
        <c:ser>
          <c:idx val="9"/>
          <c:order val="9"/>
          <c:tx>
            <c:strRef>
              <c:f>'Dc y F(x) ##)'!$S$34</c:f>
              <c:strCache>
                <c:ptCount val="1"/>
                <c:pt idx="0">
                  <c:v>75,33</c:v>
                </c:pt>
              </c:strCache>
            </c:strRef>
          </c:tx>
          <c:spPr>
            <a:ln w="28575">
              <a:noFill/>
            </a:ln>
          </c:spPr>
          <c:marker>
            <c:symbol val="none"/>
          </c:marker>
          <c:yVal>
            <c:numLit>
              <c:formatCode>General</c:formatCode>
              <c:ptCount val="1"/>
              <c:pt idx="0">
                <c:v>1</c:v>
              </c:pt>
            </c:numLit>
          </c:yVal>
        </c:ser>
        <c:ser>
          <c:idx val="10"/>
          <c:order val="10"/>
          <c:tx>
            <c:strRef>
              <c:f>'Dc y F(x) ##)'!$S$35</c:f>
              <c:strCache>
                <c:ptCount val="1"/>
                <c:pt idx="0">
                  <c:v>84,19</c:v>
                </c:pt>
              </c:strCache>
            </c:strRef>
          </c:tx>
          <c:spPr>
            <a:ln w="28575">
              <a:noFill/>
            </a:ln>
          </c:spPr>
          <c:marker>
            <c:symbol val="none"/>
          </c:marker>
          <c:yVal>
            <c:numLit>
              <c:formatCode>General</c:formatCode>
              <c:ptCount val="1"/>
              <c:pt idx="0">
                <c:v>1</c:v>
              </c:pt>
            </c:numLit>
          </c:yVal>
        </c:ser>
        <c:axId val="144571776"/>
        <c:axId val="144647680"/>
      </c:scatterChart>
      <c:valAx>
        <c:axId val="144571776"/>
        <c:scaling>
          <c:logBase val="10"/>
          <c:orientation val="minMax"/>
          <c:max val="1000"/>
        </c:scaling>
        <c:axPos val="b"/>
        <c:majorGridlines/>
        <c:title>
          <c:tx>
            <c:rich>
              <a:bodyPr/>
              <a:lstStyle/>
              <a:p>
                <a:pPr>
                  <a:defRPr sz="1200" b="0" i="0" u="none" strike="noStrike" baseline="0">
                    <a:solidFill>
                      <a:srgbClr val="000000"/>
                    </a:solidFill>
                    <a:latin typeface="Calibri"/>
                    <a:ea typeface="Calibri"/>
                    <a:cs typeface="Calibri"/>
                  </a:defRPr>
                </a:pPr>
                <a:r>
                  <a:rPr lang="en-US" sz="1000" b="0" i="0" u="none" strike="noStrike" baseline="0">
                    <a:solidFill>
                      <a:srgbClr val="000000"/>
                    </a:solidFill>
                    <a:latin typeface="Times New Roman"/>
                    <a:cs typeface="Times New Roman"/>
                  </a:rPr>
                  <a:t>Diámetro de gota, X</a:t>
                </a:r>
                <a:r>
                  <a:rPr lang="en-US" sz="1000" b="0" i="0" u="none" strike="noStrike" baseline="-25000">
                    <a:solidFill>
                      <a:srgbClr val="000000"/>
                    </a:solidFill>
                    <a:latin typeface="Times New Roman"/>
                    <a:cs typeface="Times New Roman"/>
                  </a:rPr>
                  <a:t>A </a:t>
                </a:r>
                <a:r>
                  <a:rPr lang="en-US" sz="1000" b="0" i="0" u="none" strike="noStrike" baseline="0">
                    <a:solidFill>
                      <a:srgbClr val="000000"/>
                    </a:solidFill>
                    <a:latin typeface="Times New Roman"/>
                    <a:cs typeface="Times New Roman"/>
                  </a:rPr>
                  <a:t>(µm)</a:t>
                </a:r>
              </a:p>
            </c:rich>
          </c:tx>
          <c:layout>
            <c:manualLayout>
              <c:xMode val="edge"/>
              <c:yMode val="edge"/>
              <c:x val="0.35210481198613408"/>
              <c:y val="0.86685781383812976"/>
            </c:manualLayout>
          </c:layout>
        </c:title>
        <c:numFmt formatCode="0" sourceLinked="0"/>
        <c:tickLblPos val="nextTo"/>
        <c:spPr>
          <a:ln w="19050">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44647680"/>
        <c:crosses val="autoZero"/>
        <c:crossBetween val="midCat"/>
      </c:valAx>
      <c:valAx>
        <c:axId val="144647680"/>
        <c:scaling>
          <c:orientation val="minMax"/>
          <c:max val="1"/>
        </c:scaling>
        <c:axPos val="l"/>
        <c:majorGridlines/>
        <c:title>
          <c:tx>
            <c:rich>
              <a:bodyPr/>
              <a:lstStyle/>
              <a:p>
                <a:pPr>
                  <a:defRPr sz="1200" b="0" i="0" u="none" strike="noStrike" baseline="0">
                    <a:solidFill>
                      <a:srgbClr val="000000"/>
                    </a:solidFill>
                    <a:latin typeface="Calibri"/>
                    <a:ea typeface="Calibri"/>
                    <a:cs typeface="Calibri"/>
                  </a:defRPr>
                </a:pPr>
                <a:r>
                  <a:rPr lang="en-US" sz="1000" b="0" i="0" u="none" strike="noStrike" baseline="0">
                    <a:solidFill>
                      <a:srgbClr val="000000"/>
                    </a:solidFill>
                    <a:latin typeface="Times New Roman"/>
                    <a:cs typeface="Times New Roman"/>
                  </a:rPr>
                  <a:t>Distribución acumulada F</a:t>
                </a:r>
                <a:r>
                  <a:rPr lang="en-US" sz="1000" b="0" i="0" u="none" strike="noStrike" baseline="-25000">
                    <a:solidFill>
                      <a:srgbClr val="000000"/>
                    </a:solidFill>
                    <a:latin typeface="Times New Roman"/>
                    <a:cs typeface="Times New Roman"/>
                  </a:rPr>
                  <a:t>2</a:t>
                </a:r>
                <a:r>
                  <a:rPr lang="en-US" sz="1000" b="0" i="0" u="none" strike="noStrike" baseline="0">
                    <a:solidFill>
                      <a:srgbClr val="000000"/>
                    </a:solidFill>
                    <a:latin typeface="Times New Roman"/>
                    <a:cs typeface="Times New Roman"/>
                  </a:rPr>
                  <a:t>(X</a:t>
                </a:r>
                <a:r>
                  <a:rPr lang="en-US" sz="1000" b="0" i="0" u="none" strike="noStrike" baseline="-25000">
                    <a:solidFill>
                      <a:srgbClr val="000000"/>
                    </a:solidFill>
                    <a:latin typeface="Times New Roman"/>
                    <a:cs typeface="Times New Roman"/>
                  </a:rPr>
                  <a:t>A</a:t>
                </a:r>
                <a:r>
                  <a:rPr lang="en-US" sz="1000" b="0" i="0" u="none" strike="noStrike" baseline="0">
                    <a:solidFill>
                      <a:srgbClr val="000000"/>
                    </a:solidFill>
                    <a:latin typeface="Times New Roman"/>
                    <a:cs typeface="Times New Roman"/>
                  </a:rPr>
                  <a:t>) (-) </a:t>
                </a:r>
              </a:p>
            </c:rich>
          </c:tx>
          <c:layout>
            <c:manualLayout>
              <c:xMode val="edge"/>
              <c:yMode val="edge"/>
              <c:x val="1.7669330494503609E-2"/>
              <c:y val="5.1397455378551463E-2"/>
            </c:manualLayout>
          </c:layout>
        </c:title>
        <c:numFmt formatCode="0.0" sourceLinked="0"/>
        <c:tickLblPos val="nextTo"/>
        <c:spPr>
          <a:ln w="19050">
            <a:solidFill>
              <a:schemeClr val="tx1"/>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44571776"/>
        <c:crosses val="autoZero"/>
        <c:crossBetween val="midCat"/>
      </c:valAx>
      <c:spPr>
        <a:noFill/>
        <a:ln w="19050">
          <a:solidFill>
            <a:schemeClr val="tx1"/>
          </a:solidFill>
        </a:ln>
      </c:spPr>
    </c:plotArea>
    <c:legend>
      <c:legendPos val="r"/>
      <c:legendEntry>
        <c:idx val="1"/>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2"/>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3"/>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4"/>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5"/>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6"/>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7"/>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9"/>
        <c:delete val="1"/>
      </c:legendEntry>
      <c:layout>
        <c:manualLayout>
          <c:xMode val="edge"/>
          <c:yMode val="edge"/>
          <c:x val="0.82662268567780384"/>
          <c:y val="4.8459989013001324E-2"/>
          <c:w val="0.16247935224313181"/>
          <c:h val="0.9361553643003927"/>
        </c:manualLayout>
      </c:layout>
      <c:spPr>
        <a:ln>
          <a:noFill/>
        </a:ln>
      </c:spPr>
      <c:txPr>
        <a:bodyPr/>
        <a:lstStyle/>
        <a:p>
          <a:pPr>
            <a:defRPr sz="920" b="0" i="0" u="none" strike="noStrike" baseline="0">
              <a:solidFill>
                <a:srgbClr val="000000"/>
              </a:solidFill>
              <a:latin typeface="Times New Roman"/>
              <a:ea typeface="Times New Roman"/>
              <a:cs typeface="Times New Roman"/>
            </a:defRPr>
          </a:pPr>
          <a:endParaRPr lang="en-US"/>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0.81926</cdr:x>
      <cdr:y>0.12974</cdr:y>
    </cdr:from>
    <cdr:to>
      <cdr:x>0.97377</cdr:x>
      <cdr:y>0.99866</cdr:y>
    </cdr:to>
    <cdr:sp macro="" textlink="">
      <cdr:nvSpPr>
        <cdr:cNvPr id="2" name="4 CuadroTexto"/>
        <cdr:cNvSpPr txBox="1"/>
      </cdr:nvSpPr>
      <cdr:spPr>
        <a:xfrm xmlns:a="http://schemas.openxmlformats.org/drawingml/2006/main">
          <a:off x="4040371" y="323226"/>
          <a:ext cx="761999" cy="216479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defTabSz="914400" rtl="0" eaLnBrk="1" fontAlgn="auto" latinLnBrk="0" hangingPunct="1">
            <a:lnSpc>
              <a:spcPts val="1800"/>
            </a:lnSpc>
            <a:spcBef>
              <a:spcPts val="0"/>
            </a:spcBef>
            <a:spcAft>
              <a:spcPts val="0"/>
            </a:spcAft>
            <a:buClrTx/>
            <a:buSzTx/>
            <a:buFontTx/>
            <a:buNone/>
            <a:tabLst/>
            <a:defRPr/>
          </a:pPr>
          <a:r>
            <a:rPr lang="en-US" sz="1000" b="0" i="0" u="none" strike="noStrike" baseline="0">
              <a:solidFill>
                <a:sysClr val="windowText" lastClr="000000"/>
              </a:solidFill>
              <a:latin typeface="Times New Roman" pitchFamily="18" charset="0"/>
              <a:cs typeface="Times New Roman" pitchFamily="18" charset="0"/>
            </a:rPr>
            <a:t>D</a:t>
          </a:r>
          <a:r>
            <a:rPr lang="en-US" sz="1000" b="0" i="0" u="none" strike="noStrike" baseline="-25000">
              <a:solidFill>
                <a:sysClr val="windowText" lastClr="000000"/>
              </a:solidFill>
              <a:latin typeface="Times New Roman" pitchFamily="18" charset="0"/>
              <a:cs typeface="Times New Roman" pitchFamily="18" charset="0"/>
            </a:rPr>
            <a:t>01</a:t>
          </a:r>
          <a:r>
            <a:rPr lang="en-US" sz="1000" b="0" i="0" u="none" strike="noStrike" baseline="0">
              <a:solidFill>
                <a:sysClr val="windowText" lastClr="000000"/>
              </a:solidFill>
              <a:latin typeface="Times New Roman" pitchFamily="18" charset="0"/>
              <a:cs typeface="Times New Roman" pitchFamily="18" charset="0"/>
            </a:rPr>
            <a:t>=</a:t>
          </a:r>
          <a:r>
            <a:rPr lang="en-US" sz="1000" baseline="0">
              <a:latin typeface="Times New Roman" pitchFamily="18" charset="0"/>
              <a:cs typeface="Times New Roman" pitchFamily="18" charset="0"/>
            </a:rPr>
            <a:t> </a:t>
          </a:r>
        </a:p>
        <a:p xmlns:a="http://schemas.openxmlformats.org/drawingml/2006/main">
          <a:pPr>
            <a:lnSpc>
              <a:spcPts val="18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05</a:t>
          </a:r>
          <a:r>
            <a:rPr lang="en-US" sz="1000" b="0" i="0" baseline="0">
              <a:solidFill>
                <a:sysClr val="windowText" lastClr="000000"/>
              </a:solidFill>
              <a:latin typeface="Times New Roman" pitchFamily="18" charset="0"/>
              <a:cs typeface="Times New Roman" pitchFamily="18" charset="0"/>
            </a:rPr>
            <a:t>=</a:t>
          </a:r>
          <a:endParaRPr lang="en-US" sz="1000" b="0" i="0" u="none" strike="noStrike" baseline="0">
            <a:solidFill>
              <a:sysClr val="windowText" lastClr="000000"/>
            </a:solidFill>
            <a:latin typeface="Times New Roman" pitchFamily="18" charset="0"/>
            <a:cs typeface="Times New Roman" pitchFamily="18" charset="0"/>
          </a:endParaRPr>
        </a:p>
        <a:p xmlns:a="http://schemas.openxmlformats.org/drawingml/2006/main">
          <a:pPr>
            <a:lnSpc>
              <a:spcPts val="18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10</a:t>
          </a:r>
          <a:r>
            <a:rPr lang="en-US" sz="1000" b="0" i="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 </a:t>
          </a:r>
          <a:r>
            <a:rPr lang="en-US" sz="1000" baseline="0">
              <a:latin typeface="Times New Roman" pitchFamily="18" charset="0"/>
              <a:cs typeface="Times New Roman" pitchFamily="18" charset="0"/>
            </a:rPr>
            <a:t> </a:t>
          </a:r>
        </a:p>
        <a:p xmlns:a="http://schemas.openxmlformats.org/drawingml/2006/main">
          <a:pPr>
            <a:lnSpc>
              <a:spcPts val="19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25</a:t>
          </a:r>
          <a:r>
            <a:rPr lang="en-US" sz="1000" b="0" i="0" baseline="0">
              <a:solidFill>
                <a:sysClr val="windowText" lastClr="000000"/>
              </a:solidFill>
              <a:latin typeface="Times New Roman" pitchFamily="18" charset="0"/>
              <a:cs typeface="Times New Roman" pitchFamily="18" charset="0"/>
            </a:rPr>
            <a:t>=</a:t>
          </a:r>
          <a:r>
            <a:rPr lang="en-US" sz="1000" baseline="0">
              <a:latin typeface="Times New Roman" pitchFamily="18" charset="0"/>
              <a:cs typeface="Times New Roman" pitchFamily="18" charset="0"/>
            </a:rPr>
            <a:t> </a:t>
          </a:r>
        </a:p>
        <a:p xmlns:a="http://schemas.openxmlformats.org/drawingml/2006/main">
          <a:pPr>
            <a:lnSpc>
              <a:spcPts val="18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50</a:t>
          </a:r>
          <a:r>
            <a:rPr lang="en-US" sz="1000" b="0" i="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 </a:t>
          </a:r>
          <a:r>
            <a:rPr lang="en-US" sz="1000" baseline="0">
              <a:latin typeface="Times New Roman" pitchFamily="18" charset="0"/>
              <a:cs typeface="Times New Roman" pitchFamily="18" charset="0"/>
            </a:rPr>
            <a:t> </a:t>
          </a:r>
        </a:p>
        <a:p xmlns:a="http://schemas.openxmlformats.org/drawingml/2006/main">
          <a:pPr>
            <a:lnSpc>
              <a:spcPts val="18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75</a:t>
          </a:r>
          <a:r>
            <a:rPr lang="en-US" sz="1000" b="0" i="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 </a:t>
          </a:r>
        </a:p>
        <a:p xmlns:a="http://schemas.openxmlformats.org/drawingml/2006/main">
          <a:pPr>
            <a:lnSpc>
              <a:spcPts val="18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90</a:t>
          </a:r>
          <a:r>
            <a:rPr lang="en-US" sz="1000" b="0" i="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 </a:t>
          </a:r>
        </a:p>
        <a:p xmlns:a="http://schemas.openxmlformats.org/drawingml/2006/main">
          <a:pPr>
            <a:lnSpc>
              <a:spcPts val="20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95</a:t>
          </a:r>
          <a:r>
            <a:rPr lang="en-US" sz="1000" b="0" i="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 </a:t>
          </a:r>
        </a:p>
        <a:p xmlns:a="http://schemas.openxmlformats.org/drawingml/2006/main">
          <a:pPr>
            <a:lnSpc>
              <a:spcPts val="17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max</a:t>
          </a:r>
          <a:r>
            <a:rPr lang="en-US" sz="1000" b="0" i="0" baseline="0">
              <a:solidFill>
                <a:sysClr val="windowText" lastClr="000000"/>
              </a:solidFill>
              <a:latin typeface="Times New Roman" pitchFamily="18" charset="0"/>
              <a:cs typeface="Times New Roman" pitchFamily="18" charset="0"/>
            </a:rPr>
            <a:t>=</a:t>
          </a:r>
          <a:r>
            <a:rPr lang="en-US" sz="1000" b="0" i="0" baseline="0">
              <a:solidFill>
                <a:sysClr val="windowText" lastClr="000000"/>
              </a:solidFill>
              <a:latin typeface="Calibri"/>
            </a:rPr>
            <a:t> </a:t>
          </a:r>
          <a:r>
            <a:rPr lang="en-US" sz="1000" baseline="0">
              <a:solidFill>
                <a:sysClr val="windowText" lastClr="000000"/>
              </a:solidFill>
              <a:latin typeface="Calibri"/>
            </a:rPr>
            <a:t> </a:t>
          </a:r>
          <a:endParaRPr lang="en-US" sz="1000" baseline="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0.82508</cdr:x>
      <cdr:y>0.12468</cdr:y>
    </cdr:from>
    <cdr:to>
      <cdr:x>0.97906</cdr:x>
      <cdr:y>1</cdr:y>
    </cdr:to>
    <cdr:sp macro="" textlink="">
      <cdr:nvSpPr>
        <cdr:cNvPr id="2" name="4 CuadroTexto"/>
        <cdr:cNvSpPr txBox="1"/>
      </cdr:nvSpPr>
      <cdr:spPr>
        <a:xfrm xmlns:a="http://schemas.openxmlformats.org/drawingml/2006/main">
          <a:off x="4082903" y="308345"/>
          <a:ext cx="761999" cy="216479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defTabSz="914400" rtl="0" eaLnBrk="1" fontAlgn="auto" latinLnBrk="0" hangingPunct="1">
            <a:lnSpc>
              <a:spcPts val="1800"/>
            </a:lnSpc>
            <a:spcBef>
              <a:spcPts val="0"/>
            </a:spcBef>
            <a:spcAft>
              <a:spcPts val="0"/>
            </a:spcAft>
            <a:buClrTx/>
            <a:buSzTx/>
            <a:buFontTx/>
            <a:buNone/>
            <a:tabLst/>
            <a:defRPr/>
          </a:pPr>
          <a:r>
            <a:rPr lang="en-US" sz="1000" b="0" i="0" u="none" strike="noStrike" baseline="0">
              <a:solidFill>
                <a:sysClr val="windowText" lastClr="000000"/>
              </a:solidFill>
              <a:latin typeface="Times New Roman" pitchFamily="18" charset="0"/>
              <a:cs typeface="Times New Roman" pitchFamily="18" charset="0"/>
            </a:rPr>
            <a:t>D</a:t>
          </a:r>
          <a:r>
            <a:rPr lang="en-US" sz="1000" b="0" i="0" u="none" strike="noStrike" baseline="-25000">
              <a:solidFill>
                <a:sysClr val="windowText" lastClr="000000"/>
              </a:solidFill>
              <a:latin typeface="Times New Roman" pitchFamily="18" charset="0"/>
              <a:cs typeface="Times New Roman" pitchFamily="18" charset="0"/>
            </a:rPr>
            <a:t>01</a:t>
          </a:r>
          <a:r>
            <a:rPr lang="en-US" sz="1000" b="0" i="0" u="none" strike="noStrike" baseline="0">
              <a:solidFill>
                <a:sysClr val="windowText" lastClr="000000"/>
              </a:solidFill>
              <a:latin typeface="Times New Roman" pitchFamily="18" charset="0"/>
              <a:cs typeface="Times New Roman" pitchFamily="18" charset="0"/>
            </a:rPr>
            <a:t>=</a:t>
          </a:r>
          <a:r>
            <a:rPr lang="en-US" sz="1000" baseline="0">
              <a:latin typeface="Times New Roman" pitchFamily="18" charset="0"/>
              <a:cs typeface="Times New Roman" pitchFamily="18" charset="0"/>
            </a:rPr>
            <a:t> </a:t>
          </a:r>
        </a:p>
        <a:p xmlns:a="http://schemas.openxmlformats.org/drawingml/2006/main">
          <a:pPr>
            <a:lnSpc>
              <a:spcPts val="18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05</a:t>
          </a:r>
          <a:r>
            <a:rPr lang="en-US" sz="1000" b="0" i="0" baseline="0">
              <a:solidFill>
                <a:sysClr val="windowText" lastClr="000000"/>
              </a:solidFill>
              <a:latin typeface="Times New Roman" pitchFamily="18" charset="0"/>
              <a:cs typeface="Times New Roman" pitchFamily="18" charset="0"/>
            </a:rPr>
            <a:t>=</a:t>
          </a:r>
          <a:endParaRPr lang="en-US" sz="1000" b="0" i="0" u="none" strike="noStrike" baseline="0">
            <a:solidFill>
              <a:sysClr val="windowText" lastClr="000000"/>
            </a:solidFill>
            <a:latin typeface="Times New Roman" pitchFamily="18" charset="0"/>
            <a:cs typeface="Times New Roman" pitchFamily="18" charset="0"/>
          </a:endParaRPr>
        </a:p>
        <a:p xmlns:a="http://schemas.openxmlformats.org/drawingml/2006/main">
          <a:pPr>
            <a:lnSpc>
              <a:spcPts val="18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10</a:t>
          </a:r>
          <a:r>
            <a:rPr lang="en-US" sz="1000" b="0" i="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 </a:t>
          </a:r>
          <a:r>
            <a:rPr lang="en-US" sz="1000" baseline="0">
              <a:latin typeface="Times New Roman" pitchFamily="18" charset="0"/>
              <a:cs typeface="Times New Roman" pitchFamily="18" charset="0"/>
            </a:rPr>
            <a:t> </a:t>
          </a:r>
        </a:p>
        <a:p xmlns:a="http://schemas.openxmlformats.org/drawingml/2006/main">
          <a:pPr>
            <a:lnSpc>
              <a:spcPts val="19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25</a:t>
          </a:r>
          <a:r>
            <a:rPr lang="en-US" sz="1000" b="0" i="0" baseline="0">
              <a:solidFill>
                <a:sysClr val="windowText" lastClr="000000"/>
              </a:solidFill>
              <a:latin typeface="Times New Roman" pitchFamily="18" charset="0"/>
              <a:cs typeface="Times New Roman" pitchFamily="18" charset="0"/>
            </a:rPr>
            <a:t>=</a:t>
          </a:r>
          <a:r>
            <a:rPr lang="en-US" sz="1000" baseline="0">
              <a:latin typeface="Times New Roman" pitchFamily="18" charset="0"/>
              <a:cs typeface="Times New Roman" pitchFamily="18" charset="0"/>
            </a:rPr>
            <a:t> </a:t>
          </a:r>
        </a:p>
        <a:p xmlns:a="http://schemas.openxmlformats.org/drawingml/2006/main">
          <a:pPr>
            <a:lnSpc>
              <a:spcPts val="18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50</a:t>
          </a:r>
          <a:r>
            <a:rPr lang="en-US" sz="1000" b="0" i="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 </a:t>
          </a:r>
          <a:r>
            <a:rPr lang="en-US" sz="1000" baseline="0">
              <a:latin typeface="Times New Roman" pitchFamily="18" charset="0"/>
              <a:cs typeface="Times New Roman" pitchFamily="18" charset="0"/>
            </a:rPr>
            <a:t> </a:t>
          </a:r>
        </a:p>
        <a:p xmlns:a="http://schemas.openxmlformats.org/drawingml/2006/main">
          <a:pPr>
            <a:lnSpc>
              <a:spcPts val="18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75</a:t>
          </a:r>
          <a:r>
            <a:rPr lang="en-US" sz="1000" b="0" i="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 </a:t>
          </a:r>
        </a:p>
        <a:p xmlns:a="http://schemas.openxmlformats.org/drawingml/2006/main">
          <a:pPr>
            <a:lnSpc>
              <a:spcPts val="18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90</a:t>
          </a:r>
          <a:r>
            <a:rPr lang="en-US" sz="1000" b="0" i="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 </a:t>
          </a:r>
        </a:p>
        <a:p xmlns:a="http://schemas.openxmlformats.org/drawingml/2006/main">
          <a:pPr>
            <a:lnSpc>
              <a:spcPts val="20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95</a:t>
          </a:r>
          <a:r>
            <a:rPr lang="en-US" sz="1000" b="0" i="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 </a:t>
          </a:r>
        </a:p>
        <a:p xmlns:a="http://schemas.openxmlformats.org/drawingml/2006/main">
          <a:pPr>
            <a:lnSpc>
              <a:spcPts val="1700"/>
            </a:lnSpc>
          </a:pPr>
          <a:r>
            <a:rPr lang="en-US" sz="1000" b="0" i="0" baseline="0">
              <a:solidFill>
                <a:sysClr val="windowText" lastClr="000000"/>
              </a:solidFill>
              <a:latin typeface="Times New Roman" pitchFamily="18" charset="0"/>
              <a:cs typeface="Times New Roman" pitchFamily="18" charset="0"/>
            </a:rPr>
            <a:t>D</a:t>
          </a:r>
          <a:r>
            <a:rPr lang="en-US" sz="1000" b="0" i="0" baseline="-25000">
              <a:solidFill>
                <a:sysClr val="windowText" lastClr="000000"/>
              </a:solidFill>
              <a:latin typeface="Times New Roman" pitchFamily="18" charset="0"/>
              <a:cs typeface="Times New Roman" pitchFamily="18" charset="0"/>
            </a:rPr>
            <a:t>max</a:t>
          </a:r>
          <a:r>
            <a:rPr lang="en-US" sz="1000" b="0" i="0" baseline="0">
              <a:solidFill>
                <a:sysClr val="windowText" lastClr="000000"/>
              </a:solidFill>
              <a:latin typeface="Times New Roman" pitchFamily="18" charset="0"/>
              <a:cs typeface="Times New Roman" pitchFamily="18" charset="0"/>
            </a:rPr>
            <a:t>=</a:t>
          </a:r>
          <a:r>
            <a:rPr lang="en-US" sz="1000" b="0" i="0" baseline="0">
              <a:solidFill>
                <a:sysClr val="windowText" lastClr="000000"/>
              </a:solidFill>
              <a:latin typeface="Calibri"/>
            </a:rPr>
            <a:t> </a:t>
          </a:r>
          <a:r>
            <a:rPr lang="en-US" sz="1000" baseline="0">
              <a:solidFill>
                <a:sysClr val="windowText" lastClr="000000"/>
              </a:solidFill>
              <a:latin typeface="Calibri"/>
            </a:rPr>
            <a:t> </a:t>
          </a:r>
          <a:endParaRPr lang="en-US" sz="1000" baseline="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4BB0E-C1B6-4B52-86D0-4462B800B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135</Pages>
  <Words>29863</Words>
  <Characters>170222</Characters>
  <Application>Microsoft Office Word</Application>
  <DocSecurity>0</DocSecurity>
  <Lines>1418</Lines>
  <Paragraphs>399</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199686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Ingemar David Quintero</dc:creator>
  <cp:lastModifiedBy>Ingemar David Quintero</cp:lastModifiedBy>
  <cp:revision>3</cp:revision>
  <cp:lastPrinted>2012-06-17T21:23:00Z</cp:lastPrinted>
  <dcterms:created xsi:type="dcterms:W3CDTF">2012-06-15T15:29:00Z</dcterms:created>
  <dcterms:modified xsi:type="dcterms:W3CDTF">2012-06-17T21:23:00Z</dcterms:modified>
</cp:coreProperties>
</file>