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C15B4B" w:rsidRPr="003665DA" w:rsidTr="00C15B4B">
        <w:trPr>
          <w:trHeight w:val="326"/>
        </w:trPr>
        <w:tc>
          <w:tcPr>
            <w:tcW w:w="9054" w:type="dxa"/>
            <w:tcBorders>
              <w:top w:val="nil"/>
              <w:left w:val="nil"/>
              <w:bottom w:val="nil"/>
              <w:right w:val="nil"/>
            </w:tcBorders>
          </w:tcPr>
          <w:p w:rsidR="00C15B4B" w:rsidRPr="003665DA" w:rsidRDefault="00C15B4B" w:rsidP="009B1DF1">
            <w:pPr>
              <w:spacing w:after="160" w:line="256" w:lineRule="auto"/>
              <w:jc w:val="right"/>
              <w:rPr>
                <w:rFonts w:ascii="Calibri" w:eastAsia="Calibri" w:hAnsi="Calibri" w:cs="Times New Roman"/>
                <w:lang w:val="es-VE"/>
              </w:rPr>
            </w:pPr>
            <w:r w:rsidRPr="003665DA">
              <w:rPr>
                <w:rFonts w:ascii="Arial" w:eastAsia="Calibri" w:hAnsi="Arial" w:cs="Arial"/>
                <w:b/>
                <w:lang w:val="es-VE"/>
              </w:rPr>
              <w:t xml:space="preserve">Domingo </w:t>
            </w:r>
            <w:r>
              <w:rPr>
                <w:rFonts w:ascii="Arial" w:eastAsia="Calibri" w:hAnsi="Arial" w:cs="Arial"/>
                <w:b/>
                <w:lang w:val="es-VE"/>
              </w:rPr>
              <w:t>2</w:t>
            </w:r>
            <w:r w:rsidRPr="003665DA">
              <w:rPr>
                <w:rFonts w:ascii="Arial" w:eastAsia="Calibri" w:hAnsi="Arial" w:cs="Arial"/>
                <w:b/>
                <w:lang w:val="es-VE"/>
              </w:rPr>
              <w:t xml:space="preserve"> de </w:t>
            </w:r>
            <w:r>
              <w:rPr>
                <w:rFonts w:ascii="Arial" w:eastAsia="Calibri" w:hAnsi="Arial" w:cs="Arial"/>
                <w:b/>
                <w:lang w:val="es-VE"/>
              </w:rPr>
              <w:t>agosto de 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1"/>
              <w:gridCol w:w="2277"/>
            </w:tblGrid>
            <w:tr w:rsidR="00C15B4B" w:rsidRPr="003665DA" w:rsidTr="009B1DF1">
              <w:trPr>
                <w:trHeight w:val="326"/>
              </w:trPr>
              <w:tc>
                <w:tcPr>
                  <w:tcW w:w="9054" w:type="dxa"/>
                  <w:gridSpan w:val="2"/>
                  <w:tcBorders>
                    <w:top w:val="nil"/>
                    <w:left w:val="nil"/>
                    <w:bottom w:val="nil"/>
                    <w:right w:val="nil"/>
                  </w:tcBorders>
                </w:tcPr>
                <w:p w:rsidR="00C15B4B" w:rsidRPr="003665DA" w:rsidRDefault="00C15B4B" w:rsidP="009B1DF1">
                  <w:pPr>
                    <w:spacing w:after="160" w:line="256" w:lineRule="auto"/>
                    <w:jc w:val="center"/>
                    <w:rPr>
                      <w:rFonts w:ascii="Calibri" w:eastAsia="Calibri" w:hAnsi="Calibri" w:cs="Times New Roman"/>
                      <w:lang w:val="es-VE"/>
                    </w:rPr>
                  </w:pPr>
                </w:p>
              </w:tc>
            </w:tr>
            <w:tr w:rsidR="00C15B4B" w:rsidRPr="003665DA" w:rsidTr="009B1DF1">
              <w:trPr>
                <w:trHeight w:val="1223"/>
              </w:trPr>
              <w:tc>
                <w:tcPr>
                  <w:tcW w:w="6758" w:type="dxa"/>
                  <w:tcBorders>
                    <w:top w:val="nil"/>
                    <w:left w:val="nil"/>
                    <w:bottom w:val="nil"/>
                    <w:right w:val="nil"/>
                  </w:tcBorders>
                </w:tcPr>
                <w:p w:rsidR="00C15B4B" w:rsidRPr="003665DA" w:rsidRDefault="00C15B4B" w:rsidP="009B1DF1">
                  <w:pPr>
                    <w:spacing w:after="160" w:line="256" w:lineRule="auto"/>
                    <w:jc w:val="center"/>
                    <w:rPr>
                      <w:rFonts w:ascii="Arial" w:eastAsia="Calibri" w:hAnsi="Arial" w:cs="Arial"/>
                      <w:b/>
                      <w:i/>
                      <w:sz w:val="32"/>
                      <w:szCs w:val="32"/>
                      <w:u w:val="single"/>
                      <w:lang w:val="es-VE"/>
                    </w:rPr>
                  </w:pPr>
                  <w:r w:rsidRPr="003665DA">
                    <w:rPr>
                      <w:rFonts w:ascii="Arial" w:eastAsia="Calibri" w:hAnsi="Arial" w:cs="Arial"/>
                      <w:b/>
                      <w:i/>
                      <w:sz w:val="32"/>
                      <w:szCs w:val="32"/>
                      <w:u w:val="single"/>
                      <w:lang w:val="es-VE"/>
                    </w:rPr>
                    <w:t>LA VOZ INTERNACIONAL</w:t>
                  </w:r>
                </w:p>
                <w:p w:rsidR="00C15B4B" w:rsidRPr="003665DA" w:rsidRDefault="00C15B4B" w:rsidP="009B1DF1">
                  <w:pPr>
                    <w:spacing w:after="160" w:line="256" w:lineRule="auto"/>
                    <w:jc w:val="center"/>
                    <w:rPr>
                      <w:rFonts w:ascii="Arial" w:eastAsia="Calibri" w:hAnsi="Arial" w:cs="Arial"/>
                      <w:b/>
                      <w:sz w:val="20"/>
                      <w:szCs w:val="20"/>
                      <w:lang w:val="es-VE"/>
                    </w:rPr>
                  </w:pPr>
                </w:p>
              </w:tc>
              <w:tc>
                <w:tcPr>
                  <w:tcW w:w="0" w:type="auto"/>
                  <w:vMerge w:val="restart"/>
                  <w:tcBorders>
                    <w:top w:val="nil"/>
                    <w:left w:val="nil"/>
                    <w:bottom w:val="nil"/>
                    <w:right w:val="nil"/>
                  </w:tcBorders>
                  <w:vAlign w:val="center"/>
                  <w:hideMark/>
                </w:tcPr>
                <w:p w:rsidR="00C15B4B" w:rsidRPr="003665DA" w:rsidRDefault="00C15B4B" w:rsidP="009B1DF1">
                  <w:pPr>
                    <w:spacing w:after="160" w:line="256" w:lineRule="auto"/>
                    <w:jc w:val="center"/>
                    <w:rPr>
                      <w:rFonts w:ascii="Calibri" w:eastAsia="Calibri" w:hAnsi="Calibri" w:cs="Times New Roman"/>
                      <w:lang w:val="es-VE"/>
                    </w:rPr>
                  </w:pPr>
                  <w:r w:rsidRPr="003665DA">
                    <w:rPr>
                      <w:rFonts w:ascii="Calibri" w:eastAsia="Calibri" w:hAnsi="Calibri" w:cs="Times New Roman"/>
                      <w:noProof/>
                      <w:lang w:val="es-VE" w:eastAsia="es-VE"/>
                    </w:rPr>
                    <w:drawing>
                      <wp:inline distT="0" distB="0" distL="0" distR="0" wp14:anchorId="0F8B9D8F" wp14:editId="7A283A28">
                        <wp:extent cx="1076325" cy="1076325"/>
                        <wp:effectExtent l="0" t="0" r="9525" b="9525"/>
                        <wp:docPr id="2" name="Imagen 2" descr="Descripción: Descripción: Descripción: 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C15B4B" w:rsidRPr="003665DA" w:rsidTr="009B1DF1">
              <w:trPr>
                <w:trHeight w:val="1114"/>
              </w:trPr>
              <w:tc>
                <w:tcPr>
                  <w:tcW w:w="6758" w:type="dxa"/>
                  <w:tcBorders>
                    <w:top w:val="nil"/>
                    <w:left w:val="nil"/>
                    <w:bottom w:val="nil"/>
                    <w:right w:val="nil"/>
                  </w:tcBorders>
                  <w:hideMark/>
                </w:tcPr>
                <w:p w:rsidR="00C15B4B" w:rsidRPr="003665DA" w:rsidRDefault="00C15B4B" w:rsidP="009B1DF1">
                  <w:pPr>
                    <w:spacing w:after="160" w:line="256" w:lineRule="auto"/>
                    <w:jc w:val="both"/>
                    <w:rPr>
                      <w:rFonts w:ascii="Calibri" w:eastAsia="Calibri" w:hAnsi="Calibri" w:cs="Times New Roman"/>
                      <w:lang w:val="es-VE"/>
                    </w:rPr>
                  </w:pPr>
                  <w:r w:rsidRPr="003665DA">
                    <w:rPr>
                      <w:rFonts w:ascii="Arial" w:eastAsia="Calibri" w:hAnsi="Arial" w:cs="Arial"/>
                      <w:lang w:val="es-VE"/>
                    </w:rPr>
                    <w:t xml:space="preserve">Artículos escritos para </w:t>
                  </w:r>
                  <w:r w:rsidRPr="003665DA">
                    <w:rPr>
                      <w:rFonts w:ascii="Arial" w:eastAsia="Calibri" w:hAnsi="Arial" w:cs="Arial"/>
                      <w:b/>
                      <w:lang w:val="es-VE"/>
                    </w:rPr>
                    <w:t>La Voz</w:t>
                  </w:r>
                  <w:r w:rsidRPr="003665DA">
                    <w:rPr>
                      <w:rFonts w:ascii="Arial" w:eastAsia="Calibri" w:hAnsi="Arial" w:cs="Arial"/>
                      <w:lang w:val="es-VE"/>
                    </w:rPr>
                    <w:t xml:space="preserve"> por los profesores de la </w:t>
                  </w:r>
                  <w:r w:rsidRPr="003665DA">
                    <w:rPr>
                      <w:rFonts w:ascii="Arial" w:eastAsia="Calibri" w:hAnsi="Arial" w:cs="Arial"/>
                      <w:b/>
                      <w:lang w:val="es-VE"/>
                    </w:rPr>
                    <w:t>Escuela de Estudios Internacionales (FACES-UCV)</w:t>
                  </w:r>
                  <w:r w:rsidRPr="003665DA">
                    <w:rPr>
                      <w:rFonts w:ascii="Arial" w:eastAsia="Calibri" w:hAnsi="Arial" w:cs="Arial"/>
                      <w:lang w:val="es-VE"/>
                    </w:rPr>
                    <w:t>. La responsabilidad de las opiniones emitidas en sus artículos y Notas Internacionales es de los autores y no comprometen a la institución</w:t>
                  </w:r>
                  <w:r w:rsidRPr="003665DA">
                    <w:rPr>
                      <w:rFonts w:ascii="Arial" w:eastAsia="Calibri" w:hAnsi="Arial" w:cs="Arial"/>
                      <w:b/>
                      <w:lang w:val="es-VE"/>
                    </w:rPr>
                    <w:t>.</w:t>
                  </w:r>
                </w:p>
              </w:tc>
              <w:tc>
                <w:tcPr>
                  <w:tcW w:w="0" w:type="auto"/>
                  <w:vMerge/>
                  <w:tcBorders>
                    <w:top w:val="nil"/>
                    <w:left w:val="nil"/>
                    <w:bottom w:val="nil"/>
                    <w:right w:val="nil"/>
                  </w:tcBorders>
                  <w:vAlign w:val="center"/>
                  <w:hideMark/>
                </w:tcPr>
                <w:p w:rsidR="00C15B4B" w:rsidRPr="003665DA" w:rsidRDefault="00C15B4B" w:rsidP="009B1DF1">
                  <w:pPr>
                    <w:spacing w:after="0" w:line="240" w:lineRule="auto"/>
                    <w:rPr>
                      <w:rFonts w:ascii="Calibri" w:eastAsia="Calibri" w:hAnsi="Calibri" w:cs="Times New Roman"/>
                      <w:lang w:val="es-VE"/>
                    </w:rPr>
                  </w:pPr>
                </w:p>
              </w:tc>
            </w:tr>
          </w:tbl>
          <w:p w:rsidR="00C15B4B" w:rsidRPr="003665DA" w:rsidRDefault="00C15B4B" w:rsidP="009B1DF1">
            <w:pPr>
              <w:spacing w:after="160" w:line="256" w:lineRule="auto"/>
              <w:jc w:val="center"/>
              <w:rPr>
                <w:rFonts w:ascii="Calibri" w:eastAsia="Calibri" w:hAnsi="Calibri" w:cs="Times New Roman"/>
                <w:lang w:val="es-VE"/>
              </w:rPr>
            </w:pPr>
          </w:p>
        </w:tc>
      </w:tr>
    </w:tbl>
    <w:p w:rsidR="00844A5B" w:rsidRDefault="00844A5B" w:rsidP="00C15B4B">
      <w:pPr>
        <w:shd w:val="clear" w:color="auto" w:fill="FFFFFF"/>
        <w:spacing w:after="120" w:line="240" w:lineRule="auto"/>
        <w:jc w:val="both"/>
        <w:textAlignment w:val="baseline"/>
        <w:rPr>
          <w:rFonts w:ascii="Arial" w:eastAsia="Times New Roman" w:hAnsi="Arial" w:cs="Arial"/>
          <w:sz w:val="24"/>
          <w:szCs w:val="24"/>
          <w:lang w:eastAsia="es-PY"/>
        </w:rPr>
      </w:pPr>
    </w:p>
    <w:p w:rsidR="00A72D3E" w:rsidRPr="00A72D3E" w:rsidRDefault="009C7AAB" w:rsidP="009C7AAB">
      <w:pPr>
        <w:shd w:val="clear" w:color="auto" w:fill="FFFFFF"/>
        <w:spacing w:after="0" w:line="240" w:lineRule="auto"/>
        <w:jc w:val="center"/>
        <w:textAlignment w:val="baseline"/>
        <w:rPr>
          <w:rFonts w:ascii="Arial" w:eastAsia="Times New Roman" w:hAnsi="Arial" w:cs="Arial"/>
          <w:b/>
          <w:sz w:val="32"/>
          <w:szCs w:val="32"/>
          <w:lang w:eastAsia="es-PY"/>
        </w:rPr>
      </w:pPr>
      <w:r w:rsidRPr="00A72D3E">
        <w:rPr>
          <w:rFonts w:ascii="Arial" w:eastAsia="Times New Roman" w:hAnsi="Arial" w:cs="Arial"/>
          <w:b/>
          <w:sz w:val="32"/>
          <w:szCs w:val="32"/>
          <w:lang w:eastAsia="es-PY"/>
        </w:rPr>
        <w:t>LUIS ANGARITA</w:t>
      </w:r>
    </w:p>
    <w:p w:rsidR="00844A5B" w:rsidRPr="00A72D3E" w:rsidRDefault="009C7AAB" w:rsidP="009C7AAB">
      <w:pPr>
        <w:shd w:val="clear" w:color="auto" w:fill="FFFFFF"/>
        <w:spacing w:after="0" w:line="240" w:lineRule="auto"/>
        <w:jc w:val="center"/>
        <w:textAlignment w:val="baseline"/>
        <w:rPr>
          <w:rFonts w:ascii="Arial" w:eastAsia="Times New Roman" w:hAnsi="Arial" w:cs="Arial"/>
          <w:b/>
          <w:sz w:val="36"/>
          <w:szCs w:val="36"/>
          <w:lang w:eastAsia="es-PY"/>
        </w:rPr>
      </w:pPr>
      <w:r w:rsidRPr="00A72D3E">
        <w:rPr>
          <w:rFonts w:ascii="Arial" w:eastAsia="Times New Roman" w:hAnsi="Arial" w:cs="Arial"/>
          <w:b/>
          <w:sz w:val="36"/>
          <w:szCs w:val="36"/>
          <w:lang w:eastAsia="es-PY"/>
        </w:rPr>
        <w:t>NOTAS INTERNACIONALES</w:t>
      </w:r>
    </w:p>
    <w:p w:rsidR="003E7D54" w:rsidRDefault="003E7D54" w:rsidP="00825308">
      <w:pPr>
        <w:shd w:val="clear" w:color="auto" w:fill="FFFFFF"/>
        <w:spacing w:after="120" w:line="240" w:lineRule="auto"/>
        <w:jc w:val="center"/>
        <w:textAlignment w:val="baseline"/>
        <w:rPr>
          <w:rFonts w:ascii="Arial" w:eastAsia="Times New Roman" w:hAnsi="Arial" w:cs="Arial"/>
          <w:b/>
          <w:sz w:val="36"/>
          <w:szCs w:val="36"/>
          <w:lang w:eastAsia="es-PY"/>
        </w:rPr>
      </w:pPr>
      <w:r w:rsidRPr="00A72D3E">
        <w:rPr>
          <w:rFonts w:ascii="Arial" w:eastAsia="Times New Roman" w:hAnsi="Arial" w:cs="Arial"/>
          <w:b/>
          <w:sz w:val="36"/>
          <w:szCs w:val="36"/>
          <w:lang w:eastAsia="es-PY"/>
        </w:rPr>
        <w:t>POSIBLE CRISIS MIGRATORIA ENTRE HAITÍ Y REPÚBLICA DOMINICANA</w:t>
      </w:r>
    </w:p>
    <w:p w:rsidR="00844A5B" w:rsidRPr="00C15B4B" w:rsidRDefault="003E7D54" w:rsidP="003E7D54">
      <w:pPr>
        <w:shd w:val="clear" w:color="auto" w:fill="FFFFFF"/>
        <w:spacing w:after="0" w:line="240" w:lineRule="auto"/>
        <w:jc w:val="both"/>
        <w:textAlignment w:val="baseline"/>
        <w:rPr>
          <w:rFonts w:ascii="Arial" w:eastAsia="Times New Roman" w:hAnsi="Arial" w:cs="Arial"/>
          <w:sz w:val="24"/>
          <w:szCs w:val="24"/>
          <w:lang w:eastAsia="es-PY"/>
        </w:rPr>
      </w:pPr>
      <w:r w:rsidRPr="00C15B4B">
        <w:rPr>
          <w:rFonts w:ascii="Arial" w:eastAsia="Times New Roman" w:hAnsi="Arial" w:cs="Arial"/>
          <w:sz w:val="24"/>
          <w:szCs w:val="24"/>
          <w:lang w:eastAsia="es-PY"/>
        </w:rPr>
        <w:t>Cada día más los ojos del mundo se centran en una eventual crisis humanitaria que se pueda generar por la situaciones derivadas del proceso migratorio entre los países Haití y República Dominicana. Como podemos recordar, estos países comparten la isla La Española, lo que produce la ocasión de generar movimientos migratorios entre estas dos naciones. En los actuales momentos República Dominicana intenta aplicar un Plan de Regularización de Extranjeros que forzaría a una cantidad no determinada de personas de origen haitiano a ingresar a Haití, mientras que este país francófono manifiesta que no está en la capacidad de atender a una cantidad tal de desplazados, medida que puede dejar en una situación de desprotección a comunidades enteras</w:t>
      </w:r>
    </w:p>
    <w:sectPr w:rsidR="00844A5B" w:rsidRPr="00C15B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A5B"/>
    <w:rsid w:val="00080B46"/>
    <w:rsid w:val="000D2FEC"/>
    <w:rsid w:val="001A2431"/>
    <w:rsid w:val="00291844"/>
    <w:rsid w:val="003E7D54"/>
    <w:rsid w:val="004F5C98"/>
    <w:rsid w:val="00632AA4"/>
    <w:rsid w:val="00844A5B"/>
    <w:rsid w:val="009C7AAB"/>
    <w:rsid w:val="00A72D3E"/>
    <w:rsid w:val="00C15B4B"/>
    <w:rsid w:val="00DD08F6"/>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C853"/>
  <w15:docId w15:val="{5D7ACEDA-9FBB-AC4D-ABD1-795DB8D1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4A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A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353001">
      <w:bodyDiv w:val="1"/>
      <w:marLeft w:val="0"/>
      <w:marRight w:val="0"/>
      <w:marTop w:val="0"/>
      <w:marBottom w:val="0"/>
      <w:divBdr>
        <w:top w:val="none" w:sz="0" w:space="0" w:color="auto"/>
        <w:left w:val="none" w:sz="0" w:space="0" w:color="auto"/>
        <w:bottom w:val="none" w:sz="0" w:space="0" w:color="auto"/>
        <w:right w:val="none" w:sz="0" w:space="0" w:color="auto"/>
      </w:divBdr>
    </w:div>
    <w:div w:id="1238247778">
      <w:bodyDiv w:val="1"/>
      <w:marLeft w:val="0"/>
      <w:marRight w:val="0"/>
      <w:marTop w:val="0"/>
      <w:marBottom w:val="0"/>
      <w:divBdr>
        <w:top w:val="none" w:sz="0" w:space="0" w:color="auto"/>
        <w:left w:val="none" w:sz="0" w:space="0" w:color="auto"/>
        <w:bottom w:val="none" w:sz="0" w:space="0" w:color="auto"/>
        <w:right w:val="none" w:sz="0" w:space="0" w:color="auto"/>
      </w:divBdr>
      <w:divsChild>
        <w:div w:id="430131710">
          <w:marLeft w:val="0"/>
          <w:marRight w:val="0"/>
          <w:marTop w:val="0"/>
          <w:marBottom w:val="300"/>
          <w:divBdr>
            <w:top w:val="none" w:sz="0" w:space="0" w:color="auto"/>
            <w:left w:val="none" w:sz="0" w:space="0" w:color="auto"/>
            <w:bottom w:val="single" w:sz="6" w:space="0" w:color="D6D4D4"/>
            <w:right w:val="none" w:sz="0" w:space="0" w:color="auto"/>
          </w:divBdr>
          <w:divsChild>
            <w:div w:id="2102143213">
              <w:marLeft w:val="0"/>
              <w:marRight w:val="0"/>
              <w:marTop w:val="0"/>
              <w:marBottom w:val="0"/>
              <w:divBdr>
                <w:top w:val="none" w:sz="0" w:space="0" w:color="auto"/>
                <w:left w:val="none" w:sz="0" w:space="0" w:color="auto"/>
                <w:bottom w:val="none" w:sz="0" w:space="0" w:color="auto"/>
                <w:right w:val="none" w:sz="0" w:space="0" w:color="auto"/>
              </w:divBdr>
            </w:div>
          </w:divsChild>
        </w:div>
        <w:div w:id="693847507">
          <w:marLeft w:val="0"/>
          <w:marRight w:val="0"/>
          <w:marTop w:val="0"/>
          <w:marBottom w:val="300"/>
          <w:divBdr>
            <w:top w:val="none" w:sz="0" w:space="0" w:color="auto"/>
            <w:left w:val="none" w:sz="0" w:space="0" w:color="auto"/>
            <w:bottom w:val="single" w:sz="6" w:space="15" w:color="EFEFEF"/>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972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Seny Hernández</dc:creator>
  <cp:lastModifiedBy>Estebani Zavla</cp:lastModifiedBy>
  <cp:revision>2</cp:revision>
  <dcterms:created xsi:type="dcterms:W3CDTF">2021-09-13T17:59:00Z</dcterms:created>
  <dcterms:modified xsi:type="dcterms:W3CDTF">2021-09-13T17:59:00Z</dcterms:modified>
</cp:coreProperties>
</file>