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8"/>
        <w:gridCol w:w="2296"/>
      </w:tblGrid>
      <w:tr w:rsidR="00D319CB" w:rsidRPr="00D319CB" w:rsidTr="007C33E4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9CB" w:rsidRPr="00D319CB" w:rsidRDefault="00D319CB" w:rsidP="00D319CB">
            <w:pPr>
              <w:jc w:val="right"/>
            </w:pPr>
            <w:r w:rsidRPr="00D319CB">
              <w:rPr>
                <w:rFonts w:ascii="Arial" w:hAnsi="Arial" w:cs="Arial"/>
                <w:b/>
              </w:rPr>
              <w:t xml:space="preserve">Domingo </w:t>
            </w:r>
            <w:r>
              <w:rPr>
                <w:rFonts w:ascii="Arial" w:hAnsi="Arial" w:cs="Arial"/>
                <w:b/>
              </w:rPr>
              <w:t>4</w:t>
            </w:r>
            <w:r w:rsidRPr="00D319C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 xml:space="preserve">marzo </w:t>
            </w:r>
            <w:r w:rsidRPr="00D319CB">
              <w:rPr>
                <w:rFonts w:ascii="Arial" w:hAnsi="Arial" w:cs="Arial"/>
                <w:b/>
              </w:rPr>
              <w:t xml:space="preserve"> de 2018</w:t>
            </w:r>
          </w:p>
          <w:p w:rsidR="00D319CB" w:rsidRPr="00D319CB" w:rsidRDefault="00D319CB" w:rsidP="00D319CB">
            <w:pPr>
              <w:jc w:val="center"/>
            </w:pPr>
          </w:p>
        </w:tc>
      </w:tr>
      <w:tr w:rsidR="00D319CB" w:rsidRPr="00D319CB" w:rsidTr="007C33E4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D319CB" w:rsidRPr="00D319CB" w:rsidRDefault="00D319CB" w:rsidP="00D319C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19CB" w:rsidRPr="00D319CB" w:rsidRDefault="00D319CB" w:rsidP="00D319C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:rsidR="00D319CB" w:rsidRPr="00D319CB" w:rsidRDefault="00D319CB" w:rsidP="00D319C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  <w:r w:rsidRPr="00D319CB"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  <w:t>LA VOZ INTERNACIONAL</w:t>
            </w:r>
          </w:p>
          <w:p w:rsidR="00D319CB" w:rsidRPr="00D319CB" w:rsidRDefault="00D319CB" w:rsidP="00D319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9CB" w:rsidRPr="00D319CB" w:rsidRDefault="00D319CB" w:rsidP="00D319CB">
            <w:pPr>
              <w:jc w:val="center"/>
            </w:pPr>
            <w:r w:rsidRPr="00D319CB">
              <w:rPr>
                <w:noProof/>
                <w:lang w:eastAsia="es-VE"/>
              </w:rPr>
              <w:drawing>
                <wp:inline distT="0" distB="0" distL="0" distR="0" wp14:anchorId="151F023A" wp14:editId="61A51DA5">
                  <wp:extent cx="1076325" cy="1076325"/>
                  <wp:effectExtent l="0" t="0" r="9525" b="9525"/>
                  <wp:docPr id="1" name="Imagen 3" descr="Descripción: Descripción: Descripción: Descripción: Descripción: Descripción: Descripción: Descripción: Descripción: https://encrypted-tbn1.gstatic.com/images?q=tbn:ANd9GcTkTErm--Ei3YCJxUO7R2750T3BWgrhcYVCTtDIEKxqG0WCdM0cSE4L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Descripción: Descripción: Descripción: Descripción: Descripción: https://encrypted-tbn1.gstatic.com/images?q=tbn:ANd9GcTkTErm--Ei3YCJxUO7R2750T3BWgrhcYVCTtDIEKxqG0WCdM0cSE4L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9CB" w:rsidRPr="00D319CB" w:rsidTr="007C33E4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D319CB" w:rsidRPr="00D319CB" w:rsidRDefault="00D319CB" w:rsidP="00D319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19CB" w:rsidRPr="00D319CB" w:rsidRDefault="00D319CB" w:rsidP="00D319CB">
            <w:pPr>
              <w:jc w:val="both"/>
              <w:rPr>
                <w:rFonts w:ascii="Arial" w:hAnsi="Arial" w:cs="Arial"/>
                <w:b/>
              </w:rPr>
            </w:pPr>
            <w:r w:rsidRPr="00D319CB">
              <w:rPr>
                <w:rFonts w:ascii="Arial" w:hAnsi="Arial" w:cs="Arial"/>
              </w:rPr>
              <w:t xml:space="preserve">Artículos escritos para </w:t>
            </w:r>
            <w:r w:rsidRPr="00D319CB">
              <w:rPr>
                <w:rFonts w:ascii="Arial" w:hAnsi="Arial" w:cs="Arial"/>
                <w:b/>
              </w:rPr>
              <w:t>La Voz</w:t>
            </w:r>
            <w:r w:rsidRPr="00D319CB">
              <w:rPr>
                <w:rFonts w:ascii="Arial" w:hAnsi="Arial" w:cs="Arial"/>
              </w:rPr>
              <w:t xml:space="preserve"> por los profesores de la </w:t>
            </w:r>
            <w:r w:rsidRPr="00D319CB">
              <w:rPr>
                <w:rFonts w:ascii="Arial" w:hAnsi="Arial" w:cs="Arial"/>
                <w:b/>
              </w:rPr>
              <w:t>Escuela de Estudios Internacionales (FACES-UCV)</w:t>
            </w:r>
            <w:r w:rsidRPr="00D319CB">
              <w:rPr>
                <w:rFonts w:ascii="Arial" w:hAnsi="Arial" w:cs="Arial"/>
              </w:rPr>
              <w:t>. La responsabilidad de las opiniones emitidas en sus artículos y Notas Internacionales es de los autores y no comprometen a la institución</w:t>
            </w:r>
            <w:r w:rsidRPr="00D319CB">
              <w:rPr>
                <w:rFonts w:ascii="Arial" w:hAnsi="Arial" w:cs="Arial"/>
                <w:b/>
              </w:rPr>
              <w:t>.</w:t>
            </w:r>
          </w:p>
          <w:p w:rsidR="00D319CB" w:rsidRPr="00D319CB" w:rsidRDefault="00D319CB" w:rsidP="00D319CB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9CB" w:rsidRPr="00D319CB" w:rsidRDefault="00D319CB" w:rsidP="00D319CB"/>
        </w:tc>
      </w:tr>
    </w:tbl>
    <w:p w:rsidR="006A34CF" w:rsidRDefault="006A34CF" w:rsidP="006A34CF">
      <w:pPr>
        <w:pStyle w:val="parrafo"/>
        <w:shd w:val="clear" w:color="auto" w:fill="FFFFFF"/>
        <w:spacing w:before="0" w:beforeAutospacing="0" w:after="240" w:afterAutospacing="0"/>
        <w:ind w:left="35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6A60">
        <w:rPr>
          <w:rFonts w:ascii="Arial" w:hAnsi="Arial" w:cs="Arial"/>
          <w:b/>
          <w:color w:val="000000" w:themeColor="text1"/>
          <w:sz w:val="32"/>
          <w:szCs w:val="32"/>
        </w:rPr>
        <w:t>CAROLINA GONZÁLEZ</w:t>
      </w:r>
    </w:p>
    <w:p w:rsidR="007E7090" w:rsidRPr="005506BE" w:rsidRDefault="006A34CF" w:rsidP="006A34CF">
      <w:pPr>
        <w:pStyle w:val="parrafo"/>
        <w:shd w:val="clear" w:color="auto" w:fill="FFFFFF"/>
        <w:spacing w:before="0" w:beforeAutospacing="0" w:after="240" w:afterAutospacing="0"/>
        <w:ind w:left="360"/>
        <w:jc w:val="center"/>
        <w:rPr>
          <w:rFonts w:ascii="Arial" w:hAnsi="Arial" w:cs="Arial"/>
          <w:b/>
          <w:color w:val="333333"/>
          <w:sz w:val="36"/>
          <w:szCs w:val="36"/>
        </w:rPr>
      </w:pPr>
      <w:r w:rsidRPr="005506BE">
        <w:rPr>
          <w:rFonts w:ascii="Arial" w:hAnsi="Arial" w:cs="Arial"/>
          <w:b/>
          <w:color w:val="333333"/>
          <w:sz w:val="36"/>
          <w:szCs w:val="36"/>
        </w:rPr>
        <w:t>VIOLENCIA MORTAL EN LAS ESCUELAS ESTADOUNIDENSES</w:t>
      </w:r>
    </w:p>
    <w:p w:rsidR="007E7090" w:rsidRPr="002B74C8" w:rsidRDefault="007E7090" w:rsidP="005506BE">
      <w:pPr>
        <w:pStyle w:val="parrafo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2B74C8">
        <w:rPr>
          <w:rFonts w:ascii="Arial" w:hAnsi="Arial" w:cs="Arial"/>
          <w:color w:val="000000" w:themeColor="text1"/>
        </w:rPr>
        <w:t>Las escuelas y universidades se están convirtiendo en los lugares más inseguros en Estados Unidos, en lo que va de 2018 han ocurrido 6</w:t>
      </w:r>
      <w:r w:rsidR="00D66DB0" w:rsidRPr="002B74C8">
        <w:rPr>
          <w:rFonts w:ascii="Arial" w:hAnsi="Arial" w:cs="Arial"/>
          <w:color w:val="000000" w:themeColor="text1"/>
        </w:rPr>
        <w:t>.</w:t>
      </w:r>
      <w:r w:rsidRPr="002B74C8">
        <w:rPr>
          <w:rFonts w:ascii="Arial" w:hAnsi="Arial" w:cs="Arial"/>
          <w:color w:val="000000" w:themeColor="text1"/>
        </w:rPr>
        <w:t xml:space="preserve">999 incidentes violentos que tienen como protagonista a un tirador armado; 32 de ellos han </w:t>
      </w:r>
      <w:r w:rsidR="006F62CF" w:rsidRPr="002B74C8">
        <w:rPr>
          <w:rFonts w:ascii="Arial" w:hAnsi="Arial" w:cs="Arial"/>
          <w:color w:val="000000" w:themeColor="text1"/>
        </w:rPr>
        <w:t>sido calificados como masivos. Es u</w:t>
      </w:r>
      <w:r w:rsidRPr="002B74C8">
        <w:rPr>
          <w:rFonts w:ascii="Arial" w:hAnsi="Arial" w:cs="Arial"/>
          <w:color w:val="000000" w:themeColor="text1"/>
        </w:rPr>
        <w:t>na situación que viene creciendo exponencialmente, en</w:t>
      </w:r>
      <w:r w:rsidR="0018753E" w:rsidRPr="002B74C8">
        <w:rPr>
          <w:rFonts w:ascii="Arial" w:hAnsi="Arial" w:cs="Arial"/>
          <w:color w:val="000000" w:themeColor="text1"/>
        </w:rPr>
        <w:t xml:space="preserve"> </w:t>
      </w:r>
      <w:r w:rsidRPr="002B74C8">
        <w:rPr>
          <w:rFonts w:ascii="Arial" w:hAnsi="Arial" w:cs="Arial"/>
          <w:color w:val="000000" w:themeColor="text1"/>
        </w:rPr>
        <w:t>mes y medio ha habido 1</w:t>
      </w:r>
      <w:r w:rsidR="0018753E" w:rsidRPr="002B74C8">
        <w:rPr>
          <w:rFonts w:ascii="Arial" w:hAnsi="Arial" w:cs="Arial"/>
          <w:color w:val="000000" w:themeColor="text1"/>
        </w:rPr>
        <w:t>.</w:t>
      </w:r>
      <w:r w:rsidRPr="002B74C8">
        <w:rPr>
          <w:rFonts w:ascii="Arial" w:hAnsi="Arial" w:cs="Arial"/>
          <w:color w:val="000000" w:themeColor="text1"/>
        </w:rPr>
        <w:t xml:space="preserve">925 </w:t>
      </w:r>
      <w:r w:rsidR="00B6692B" w:rsidRPr="002B74C8">
        <w:rPr>
          <w:rFonts w:ascii="Arial" w:hAnsi="Arial" w:cs="Arial"/>
          <w:color w:val="000000" w:themeColor="text1"/>
        </w:rPr>
        <w:t>víctimas</w:t>
      </w:r>
      <w:r w:rsidRPr="002B74C8">
        <w:rPr>
          <w:rFonts w:ascii="Arial" w:hAnsi="Arial" w:cs="Arial"/>
          <w:color w:val="000000" w:themeColor="text1"/>
        </w:rPr>
        <w:t>, 379 adolescentes entre 12 y 17 años han sido asesinados (</w:t>
      </w:r>
      <w:r w:rsidR="00B6692B" w:rsidRPr="002B74C8">
        <w:rPr>
          <w:rFonts w:ascii="Arial" w:hAnsi="Arial" w:cs="Arial"/>
          <w:color w:val="000000" w:themeColor="text1"/>
        </w:rPr>
        <w:t xml:space="preserve">según </w:t>
      </w:r>
      <w:proofErr w:type="spellStart"/>
      <w:r w:rsidR="00B6692B" w:rsidRPr="002B74C8">
        <w:rPr>
          <w:rFonts w:ascii="Arial" w:hAnsi="Arial" w:cs="Arial"/>
          <w:color w:val="000000" w:themeColor="text1"/>
        </w:rPr>
        <w:t>Gun</w:t>
      </w:r>
      <w:proofErr w:type="spellEnd"/>
      <w:r w:rsidR="00B6692B" w:rsidRPr="002B74C8">
        <w:rPr>
          <w:rFonts w:ascii="Arial" w:hAnsi="Arial" w:cs="Arial"/>
          <w:color w:val="000000" w:themeColor="text1"/>
        </w:rPr>
        <w:t xml:space="preserve"> </w:t>
      </w:r>
      <w:proofErr w:type="spellStart"/>
      <w:r w:rsidR="00B6692B" w:rsidRPr="002B74C8">
        <w:rPr>
          <w:rFonts w:ascii="Arial" w:hAnsi="Arial" w:cs="Arial"/>
          <w:color w:val="000000" w:themeColor="text1"/>
        </w:rPr>
        <w:t>violence</w:t>
      </w:r>
      <w:proofErr w:type="spellEnd"/>
      <w:r w:rsidR="00B6692B" w:rsidRPr="002B74C8">
        <w:rPr>
          <w:rFonts w:ascii="Arial" w:hAnsi="Arial" w:cs="Arial"/>
          <w:color w:val="000000" w:themeColor="text1"/>
        </w:rPr>
        <w:t xml:space="preserve"> archive). </w:t>
      </w:r>
    </w:p>
    <w:p w:rsidR="00B6692B" w:rsidRPr="002B74C8" w:rsidRDefault="00B6692B" w:rsidP="005506BE">
      <w:pPr>
        <w:pStyle w:val="parrafo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2B74C8">
        <w:rPr>
          <w:rFonts w:ascii="Arial" w:hAnsi="Arial" w:cs="Arial"/>
          <w:color w:val="000000" w:themeColor="text1"/>
        </w:rPr>
        <w:t>Según estudio realizado por el FBI hay una frecuencia creciente de tiroteos entre el 2000 y 2013. En el 79% de los ca</w:t>
      </w:r>
      <w:r w:rsidR="0018753E" w:rsidRPr="002B74C8">
        <w:rPr>
          <w:rFonts w:ascii="Arial" w:hAnsi="Arial" w:cs="Arial"/>
          <w:color w:val="000000" w:themeColor="text1"/>
        </w:rPr>
        <w:t>sos, las muertes ocurren en los</w:t>
      </w:r>
      <w:r w:rsidRPr="002B74C8">
        <w:rPr>
          <w:rFonts w:ascii="Arial" w:hAnsi="Arial" w:cs="Arial"/>
          <w:color w:val="000000" w:themeColor="text1"/>
        </w:rPr>
        <w:t xml:space="preserve"> primeros 5 minutos, y deja sin efecto lo que pueda hacer la policía</w:t>
      </w:r>
      <w:r w:rsidR="0018753E" w:rsidRPr="002B74C8">
        <w:rPr>
          <w:rFonts w:ascii="Arial" w:hAnsi="Arial" w:cs="Arial"/>
          <w:color w:val="000000" w:themeColor="text1"/>
        </w:rPr>
        <w:t>, es decir son a menudos los más letales</w:t>
      </w:r>
      <w:r w:rsidRPr="002B74C8">
        <w:rPr>
          <w:rFonts w:ascii="Arial" w:hAnsi="Arial" w:cs="Arial"/>
          <w:color w:val="000000" w:themeColor="text1"/>
        </w:rPr>
        <w:t>. En la mayoría de los casos lo</w:t>
      </w:r>
      <w:r w:rsidR="0018753E" w:rsidRPr="002B74C8">
        <w:rPr>
          <w:rFonts w:ascii="Arial" w:hAnsi="Arial" w:cs="Arial"/>
          <w:color w:val="000000" w:themeColor="text1"/>
        </w:rPr>
        <w:t>s</w:t>
      </w:r>
      <w:r w:rsidRPr="002B74C8">
        <w:rPr>
          <w:rFonts w:ascii="Arial" w:hAnsi="Arial" w:cs="Arial"/>
          <w:color w:val="000000" w:themeColor="text1"/>
        </w:rPr>
        <w:t xml:space="preserve"> que abren fuego dentro de las escuelas y universidades son</w:t>
      </w:r>
      <w:r w:rsidR="0018753E" w:rsidRPr="002B74C8">
        <w:rPr>
          <w:rFonts w:ascii="Arial" w:hAnsi="Arial" w:cs="Arial"/>
          <w:color w:val="000000" w:themeColor="text1"/>
        </w:rPr>
        <w:t xml:space="preserve"> estudiantes del propio establecimiento. Otro elemento importante es que debido a su frecuencia se ha</w:t>
      </w:r>
      <w:r w:rsidR="001A0197" w:rsidRPr="002B74C8">
        <w:rPr>
          <w:rFonts w:ascii="Arial" w:hAnsi="Arial" w:cs="Arial"/>
          <w:color w:val="000000" w:themeColor="text1"/>
        </w:rPr>
        <w:t>n</w:t>
      </w:r>
      <w:r w:rsidR="0018753E" w:rsidRPr="002B74C8">
        <w:rPr>
          <w:rFonts w:ascii="Arial" w:hAnsi="Arial" w:cs="Arial"/>
          <w:color w:val="000000" w:themeColor="text1"/>
        </w:rPr>
        <w:t xml:space="preserve"> asumido como un hecho normal y se ha relativizado el problema, </w:t>
      </w:r>
      <w:r w:rsidR="006F62CF" w:rsidRPr="002B74C8">
        <w:rPr>
          <w:rFonts w:ascii="Arial" w:hAnsi="Arial" w:cs="Arial"/>
          <w:color w:val="000000" w:themeColor="text1"/>
        </w:rPr>
        <w:t xml:space="preserve">tanto </w:t>
      </w:r>
      <w:r w:rsidR="0018753E" w:rsidRPr="002B74C8">
        <w:rPr>
          <w:rFonts w:ascii="Arial" w:hAnsi="Arial" w:cs="Arial"/>
          <w:color w:val="000000" w:themeColor="text1"/>
        </w:rPr>
        <w:t>que a veces ni se reseña en la prensa nacional.</w:t>
      </w:r>
    </w:p>
    <w:p w:rsidR="008C53A2" w:rsidRPr="002B74C8" w:rsidRDefault="006F62CF" w:rsidP="005506BE">
      <w:pPr>
        <w:pStyle w:val="parrafo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2B74C8">
        <w:rPr>
          <w:rFonts w:ascii="Arial" w:hAnsi="Arial" w:cs="Arial"/>
          <w:color w:val="000000" w:themeColor="text1"/>
        </w:rPr>
        <w:t xml:space="preserve">El último ocurrido el 14 de febrero en la escuela secundaria </w:t>
      </w:r>
      <w:proofErr w:type="spellStart"/>
      <w:r w:rsidRPr="002B74C8">
        <w:rPr>
          <w:rFonts w:ascii="Arial" w:hAnsi="Arial" w:cs="Arial"/>
          <w:color w:val="000000" w:themeColor="text1"/>
        </w:rPr>
        <w:t>Marjory</w:t>
      </w:r>
      <w:proofErr w:type="spellEnd"/>
      <w:r w:rsidRPr="002B74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B74C8">
        <w:rPr>
          <w:rFonts w:ascii="Arial" w:hAnsi="Arial" w:cs="Arial"/>
          <w:color w:val="000000" w:themeColor="text1"/>
        </w:rPr>
        <w:t>Stoneman</w:t>
      </w:r>
      <w:proofErr w:type="spellEnd"/>
      <w:r w:rsidRPr="002B74C8">
        <w:rPr>
          <w:rFonts w:ascii="Arial" w:hAnsi="Arial" w:cs="Arial"/>
          <w:color w:val="000000" w:themeColor="text1"/>
        </w:rPr>
        <w:t xml:space="preserve"> Douglas High </w:t>
      </w:r>
      <w:proofErr w:type="spellStart"/>
      <w:r w:rsidRPr="002B74C8">
        <w:rPr>
          <w:rFonts w:ascii="Arial" w:hAnsi="Arial" w:cs="Arial"/>
          <w:color w:val="000000" w:themeColor="text1"/>
        </w:rPr>
        <w:t>School</w:t>
      </w:r>
      <w:proofErr w:type="spellEnd"/>
      <w:r w:rsidRPr="002B74C8">
        <w:rPr>
          <w:rFonts w:ascii="Arial" w:hAnsi="Arial" w:cs="Arial"/>
          <w:color w:val="000000" w:themeColor="text1"/>
        </w:rPr>
        <w:t xml:space="preserve">, en la cuidad de </w:t>
      </w:r>
      <w:proofErr w:type="spellStart"/>
      <w:r w:rsidRPr="002B74C8">
        <w:rPr>
          <w:rFonts w:ascii="Arial" w:hAnsi="Arial" w:cs="Arial"/>
          <w:color w:val="000000" w:themeColor="text1"/>
        </w:rPr>
        <w:t>Parkland</w:t>
      </w:r>
      <w:proofErr w:type="spellEnd"/>
      <w:r w:rsidRPr="002B74C8">
        <w:rPr>
          <w:rFonts w:ascii="Arial" w:hAnsi="Arial" w:cs="Arial"/>
          <w:color w:val="000000" w:themeColor="text1"/>
        </w:rPr>
        <w:t xml:space="preserve">, estado de Florida, </w:t>
      </w:r>
      <w:r w:rsidR="001A0197" w:rsidRPr="002B74C8">
        <w:rPr>
          <w:rFonts w:ascii="Arial" w:hAnsi="Arial" w:cs="Arial"/>
          <w:color w:val="000000" w:themeColor="text1"/>
        </w:rPr>
        <w:t>es el tiroteo 291 y considerado uno de los más violentos dejando 18 muertos</w:t>
      </w:r>
      <w:r w:rsidR="008C53A2" w:rsidRPr="002B74C8">
        <w:rPr>
          <w:rFonts w:ascii="Arial" w:hAnsi="Arial" w:cs="Arial"/>
          <w:color w:val="000000" w:themeColor="text1"/>
        </w:rPr>
        <w:t xml:space="preserve"> y más de 15 heridos</w:t>
      </w:r>
      <w:r w:rsidR="001A0197" w:rsidRPr="002B74C8">
        <w:rPr>
          <w:rFonts w:ascii="Arial" w:hAnsi="Arial" w:cs="Arial"/>
          <w:color w:val="000000" w:themeColor="text1"/>
        </w:rPr>
        <w:t>. El autor de la matanza un joven de 19 años, expulsado</w:t>
      </w:r>
      <w:r w:rsidR="00B84793" w:rsidRPr="002B74C8">
        <w:rPr>
          <w:rFonts w:ascii="Arial" w:hAnsi="Arial" w:cs="Arial"/>
          <w:color w:val="000000" w:themeColor="text1"/>
        </w:rPr>
        <w:t xml:space="preserve"> de dicha institución</w:t>
      </w:r>
      <w:r w:rsidR="00420DFE" w:rsidRPr="002B74C8">
        <w:rPr>
          <w:rFonts w:ascii="Arial" w:hAnsi="Arial" w:cs="Arial"/>
          <w:color w:val="000000" w:themeColor="text1"/>
        </w:rPr>
        <w:t>,</w:t>
      </w:r>
      <w:r w:rsidR="001A0197" w:rsidRPr="002B74C8">
        <w:rPr>
          <w:rFonts w:ascii="Arial" w:hAnsi="Arial" w:cs="Arial"/>
          <w:color w:val="000000" w:themeColor="text1"/>
        </w:rPr>
        <w:t xml:space="preserve"> llevaba en su morral un rifle semiautomático AR-15,</w:t>
      </w:r>
      <w:r w:rsidR="008C53A2" w:rsidRPr="002B74C8">
        <w:rPr>
          <w:rFonts w:ascii="Arial" w:hAnsi="Arial" w:cs="Arial"/>
          <w:color w:val="000000" w:themeColor="text1"/>
        </w:rPr>
        <w:t xml:space="preserve"> inicialmente diseñado para el ejército, </w:t>
      </w:r>
      <w:r w:rsidR="001A0197" w:rsidRPr="002B74C8">
        <w:rPr>
          <w:rFonts w:ascii="Arial" w:hAnsi="Arial" w:cs="Arial"/>
          <w:color w:val="000000" w:themeColor="text1"/>
        </w:rPr>
        <w:t xml:space="preserve"> luego de disparar en el  recinto, se despojó de su chaleco antibalas y se confundió con la multitud que corría presa del pánico.</w:t>
      </w:r>
    </w:p>
    <w:p w:rsidR="001A0197" w:rsidRPr="002B74C8" w:rsidRDefault="008C53A2" w:rsidP="005506BE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Según fuentes policiales el joven Cruz compró lega</w:t>
      </w:r>
      <w:r w:rsidR="00B84793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lmente el rifle AR-15, ya que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el estado de Florida posee </w:t>
      </w:r>
      <w:r w:rsidRPr="002B74C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VE"/>
        </w:rPr>
        <w:t>una de las legislaciones sobre armas menos restrictivas</w:t>
      </w:r>
      <w:r w:rsidR="00D36AD5" w:rsidRPr="002B74C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VE"/>
        </w:rPr>
        <w:t>; no se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pide un registro</w:t>
      </w:r>
      <w:r w:rsidR="00B84793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,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ni una licencia, no se requiere informar sobre la adquisición o la pérdida de un arma, no hay regulación sobre </w:t>
      </w:r>
      <w:r w:rsidR="00B84793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el número de 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municiones </w:t>
      </w:r>
      <w:r w:rsidR="00B84793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que se pueden tener 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y basta tener 18 años para comprar un arma larga.  </w:t>
      </w:r>
      <w:r w:rsidRPr="002B74C8">
        <w:rPr>
          <w:rFonts w:ascii="Arial" w:hAnsi="Arial" w:cs="Arial"/>
          <w:color w:val="000000" w:themeColor="text1"/>
          <w:sz w:val="24"/>
          <w:szCs w:val="24"/>
        </w:rPr>
        <w:t xml:space="preserve">Estas tragedias </w:t>
      </w:r>
      <w:r w:rsidRPr="002B74C8">
        <w:rPr>
          <w:rFonts w:ascii="Arial" w:hAnsi="Arial" w:cs="Arial"/>
          <w:color w:val="000000" w:themeColor="text1"/>
          <w:sz w:val="24"/>
          <w:szCs w:val="24"/>
        </w:rPr>
        <w:lastRenderedPageBreak/>
        <w:t>solo avivan el eterno debate sobre la necesidad de endurecer las normativas para el control de armas.</w:t>
      </w:r>
    </w:p>
    <w:p w:rsidR="00D36AD5" w:rsidRPr="002B74C8" w:rsidRDefault="00420DFE" w:rsidP="005506B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Según la periodista Mag</w:t>
      </w:r>
      <w:r w:rsidR="00D36AD5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da Coss, es un  hecho indiscutible es que, a más armas, más muertes por violencia armada. Los países desarrollados donde los civiles tienen menos armas de fuego, </w:t>
      </w:r>
      <w:r w:rsidR="00D36AD5" w:rsidRPr="002B74C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VE"/>
        </w:rPr>
        <w:t>tienen una menor tasa de homicidios y suicidios</w:t>
      </w:r>
      <w:r w:rsidR="00D36AD5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 y las legislaciones más restrictivas salvan vidas. Prueba de ello es que, en 1994, durante el gobierno de Bill Clinton, el Congreso de EE.UU. prohibió la venta a civiles de armas de asalto, entre ellas el AR-15 y el AK-47. La prohibición se levantó en el 2004 y en los siguientes diez años, las muertes en matanzas con armas de fuego aumentaron en un 270%.</w:t>
      </w:r>
    </w:p>
    <w:p w:rsidR="00420DFE" w:rsidRPr="002B74C8" w:rsidRDefault="002C60FF" w:rsidP="005506B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Sin dudas existe una necesidad real de lograr legislaciones y requisitos más estrictos para</w:t>
      </w:r>
      <w:r w:rsidR="00420DFE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la venta de armas y así evitar armar a personas que no están preparadas o que presentan problemas mentales o de </w:t>
      </w:r>
      <w:r w:rsidR="00C107A3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otra índole</w:t>
      </w:r>
      <w:r w:rsidR="00420DFE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. Frente a esta situación tan dramática</w:t>
      </w:r>
      <w:r w:rsidR="00C107A3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,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los </w:t>
      </w:r>
      <w:proofErr w:type="spellStart"/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tuits</w:t>
      </w:r>
      <w:proofErr w:type="spellEnd"/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del presidente Trump han sido objeto de  burlas y enojo, ya que coloca las acciones a tomar en los otros, deben ser los cuerpos de seguridad lo que deben actuar diligentemente y los maestros y profesores deben armarse para enfrentar estas situaciones, es decir que  en lugar de ocuparse de la academia deben aprender a disparar.</w:t>
      </w:r>
    </w:p>
    <w:p w:rsidR="00420DFE" w:rsidRPr="005506BE" w:rsidRDefault="00420DFE" w:rsidP="000E6A60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es-VE"/>
        </w:rPr>
      </w:pPr>
      <w:r w:rsidRPr="005506BE">
        <w:rPr>
          <w:rFonts w:ascii="Arial" w:eastAsia="Times New Roman" w:hAnsi="Arial" w:cs="Arial"/>
          <w:b/>
          <w:color w:val="000000" w:themeColor="text1"/>
          <w:sz w:val="36"/>
          <w:szCs w:val="36"/>
          <w:lang w:eastAsia="es-VE"/>
        </w:rPr>
        <w:t>Mercado de armas</w:t>
      </w:r>
    </w:p>
    <w:p w:rsidR="00DC3383" w:rsidRPr="002B74C8" w:rsidRDefault="00DC3383" w:rsidP="005506B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Estados Unidos es el principal comerciante de armas del planeta, que genera miles de millones de dólares anualmente.  En 2016, ese país poseía el 29% de todo el mercado mundial de ventas de armas; eso es casi 10.000 millones de dólares. En ese mismo año, </w:t>
      </w:r>
      <w:r w:rsidRPr="002B74C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VE"/>
        </w:rPr>
        <w:t>EE.UU vendió armas a 27 de los 34 países que tenían conflictos armados</w:t>
      </w:r>
      <w:r w:rsidR="00C107A3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, dotando en la mayoría de los casos a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los grupos insurgentes para derrocar </w:t>
      </w:r>
      <w:r w:rsidR="00C107A3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a gobiernos elegidos democráticamente.</w:t>
      </w:r>
    </w:p>
    <w:p w:rsidR="00D66DB0" w:rsidRPr="002B74C8" w:rsidRDefault="00C107A3" w:rsidP="005506B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bookmarkStart w:id="0" w:name="_GoBack"/>
      <w:bookmarkEnd w:id="0"/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E</w:t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l estudio '</w:t>
      </w:r>
      <w:proofErr w:type="spellStart"/>
      <w:r w:rsidR="000E6A60">
        <w:fldChar w:fldCharType="begin"/>
      </w:r>
      <w:r w:rsidR="000E6A60">
        <w:instrText xml:space="preserve"> HYPERLINK "http://ssrn.com/abstract=2776657" \t "_blank" </w:instrText>
      </w:r>
      <w:r w:rsidR="000E6A60">
        <w:fldChar w:fldCharType="separate"/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The</w:t>
      </w:r>
      <w:proofErr w:type="spellEnd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</w:t>
      </w:r>
      <w:proofErr w:type="spellStart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Impact</w:t>
      </w:r>
      <w:proofErr w:type="spellEnd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of </w:t>
      </w:r>
      <w:proofErr w:type="spellStart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Mass</w:t>
      </w:r>
      <w:proofErr w:type="spellEnd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</w:t>
      </w:r>
      <w:proofErr w:type="spellStart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Shootings</w:t>
      </w:r>
      <w:proofErr w:type="spellEnd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</w:t>
      </w:r>
      <w:proofErr w:type="spellStart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on</w:t>
      </w:r>
      <w:proofErr w:type="spellEnd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</w:t>
      </w:r>
      <w:proofErr w:type="spellStart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Gun</w:t>
      </w:r>
      <w:proofErr w:type="spellEnd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</w:t>
      </w:r>
      <w:proofErr w:type="spellStart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Policy</w:t>
      </w:r>
      <w:proofErr w:type="spellEnd"/>
      <w:r w:rsidR="000E6A60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fldChar w:fldCharType="end"/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s-VE"/>
        </w:rPr>
        <w:t>',</w:t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 publicado en el Harvard Business </w:t>
      </w:r>
      <w:proofErr w:type="spellStart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School</w:t>
      </w:r>
      <w:proofErr w:type="spellEnd"/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en 2016 </w:t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, encontró que una vez ocurridos los tiroteos se dispara el número de ventas de armas,  un ejemplo de ellos es lo ocurrido en Florida, tres días después cientos de personas </w:t>
      </w:r>
      <w:r w:rsidR="00D66DB0" w:rsidRPr="002B74C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VE"/>
        </w:rPr>
        <w:t>asistieron durante el fin de semana a una feria de armas</w:t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(</w:t>
      </w:r>
      <w:proofErr w:type="spellStart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gun</w:t>
      </w:r>
      <w:proofErr w:type="spellEnd"/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show)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, buscando </w:t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protegerse y realizar compras de pánico antes de que suban los precios o cambien las regulaciones. </w:t>
      </w:r>
      <w:r w:rsidR="007F6D68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Situación muy difícil de revertir por el gran lobby que tiene la </w:t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Asoc</w:t>
      </w:r>
      <w:r w:rsidR="007F6D68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iación Nacional del Rifle (NRA), tal como 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índico</w:t>
      </w:r>
      <w:r w:rsidR="007F6D68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Trump tienen  </w:t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un "verdadero 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amigo" en la Casa Blanca y se </w:t>
      </w:r>
      <w:r w:rsidR="007F6D68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</w:t>
      </w:r>
      <w:r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preservará</w:t>
      </w:r>
      <w:r w:rsidR="007F6D68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Segunda Enmienda</w:t>
      </w:r>
      <w:r w:rsidR="00D66DB0" w:rsidRPr="002B74C8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. </w:t>
      </w:r>
    </w:p>
    <w:p w:rsidR="00420DFE" w:rsidRPr="007E7090" w:rsidRDefault="00420DFE" w:rsidP="005506B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</w:p>
    <w:p w:rsidR="00D36AD5" w:rsidRPr="00D36AD5" w:rsidRDefault="00D36AD5" w:rsidP="005506BE">
      <w:pPr>
        <w:shd w:val="clear" w:color="auto" w:fill="FFFFFF"/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s-VE"/>
        </w:rPr>
      </w:pPr>
    </w:p>
    <w:p w:rsidR="006F62CF" w:rsidRPr="007E7090" w:rsidRDefault="006F62CF" w:rsidP="005506BE">
      <w:pPr>
        <w:pStyle w:val="parrafo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333333"/>
        </w:rPr>
      </w:pPr>
    </w:p>
    <w:p w:rsidR="007E7090" w:rsidRDefault="007E7090" w:rsidP="005506BE">
      <w:pPr>
        <w:pStyle w:val="parrafo"/>
        <w:shd w:val="clear" w:color="auto" w:fill="FFFFFF"/>
        <w:spacing w:before="0" w:beforeAutospacing="0" w:after="120" w:afterAutospacing="0"/>
        <w:rPr>
          <w:rFonts w:ascii="Georgia" w:hAnsi="Georgia"/>
          <w:color w:val="333333"/>
          <w:sz w:val="30"/>
          <w:szCs w:val="30"/>
        </w:rPr>
      </w:pPr>
    </w:p>
    <w:p w:rsidR="001A0197" w:rsidRDefault="001A0197" w:rsidP="005506BE">
      <w:pPr>
        <w:pStyle w:val="parrafo"/>
        <w:shd w:val="clear" w:color="auto" w:fill="FFFFFF"/>
        <w:spacing w:before="0" w:beforeAutospacing="0" w:after="120" w:afterAutospacing="0"/>
        <w:rPr>
          <w:rFonts w:ascii="Georgia" w:hAnsi="Georgia"/>
          <w:color w:val="333333"/>
          <w:sz w:val="30"/>
          <w:szCs w:val="30"/>
        </w:rPr>
      </w:pPr>
    </w:p>
    <w:sectPr w:rsidR="001A0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1394"/>
    <w:multiLevelType w:val="multilevel"/>
    <w:tmpl w:val="74A8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A15DB9"/>
    <w:multiLevelType w:val="hybridMultilevel"/>
    <w:tmpl w:val="960E27B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F42E5"/>
    <w:multiLevelType w:val="hybridMultilevel"/>
    <w:tmpl w:val="3DBCE538"/>
    <w:lvl w:ilvl="0" w:tplc="2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CC43F39"/>
    <w:multiLevelType w:val="multilevel"/>
    <w:tmpl w:val="831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90"/>
    <w:rsid w:val="000E6A60"/>
    <w:rsid w:val="0018753E"/>
    <w:rsid w:val="001A0197"/>
    <w:rsid w:val="002B74C8"/>
    <w:rsid w:val="002C60FF"/>
    <w:rsid w:val="00420DFE"/>
    <w:rsid w:val="005506BE"/>
    <w:rsid w:val="006A34CF"/>
    <w:rsid w:val="006F62CF"/>
    <w:rsid w:val="007E7090"/>
    <w:rsid w:val="007F6D68"/>
    <w:rsid w:val="008C53A2"/>
    <w:rsid w:val="00B6692B"/>
    <w:rsid w:val="00B84793"/>
    <w:rsid w:val="00C107A3"/>
    <w:rsid w:val="00C87F44"/>
    <w:rsid w:val="00CA1F17"/>
    <w:rsid w:val="00D319CB"/>
    <w:rsid w:val="00D36AD5"/>
    <w:rsid w:val="00D66DB0"/>
    <w:rsid w:val="00DC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E7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7E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3Car">
    <w:name w:val="Título 3 Car"/>
    <w:basedOn w:val="Fuentedeprrafopredeter"/>
    <w:link w:val="Ttulo3"/>
    <w:uiPriority w:val="9"/>
    <w:rsid w:val="007E7090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paragraph" w:styleId="NormalWeb">
    <w:name w:val="Normal (Web)"/>
    <w:basedOn w:val="Normal"/>
    <w:uiPriority w:val="99"/>
    <w:semiHidden/>
    <w:unhideWhenUsed/>
    <w:rsid w:val="007E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7E709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E7090"/>
    <w:rPr>
      <w:b/>
      <w:bCs/>
    </w:rPr>
  </w:style>
  <w:style w:type="character" w:styleId="CitaHTML">
    <w:name w:val="HTML Cite"/>
    <w:basedOn w:val="Fuentedeprrafopredeter"/>
    <w:uiPriority w:val="99"/>
    <w:semiHidden/>
    <w:unhideWhenUsed/>
    <w:rsid w:val="007E7090"/>
    <w:rPr>
      <w:i/>
      <w:iCs/>
    </w:rPr>
  </w:style>
  <w:style w:type="character" w:customStyle="1" w:styleId="followbutton-bird">
    <w:name w:val="followbutton-bird"/>
    <w:basedOn w:val="Fuentedeprrafopredeter"/>
    <w:rsid w:val="007E7090"/>
  </w:style>
  <w:style w:type="character" w:customStyle="1" w:styleId="tweetauthor-name">
    <w:name w:val="tweetauthor-name"/>
    <w:basedOn w:val="Fuentedeprrafopredeter"/>
    <w:rsid w:val="007E7090"/>
  </w:style>
  <w:style w:type="character" w:customStyle="1" w:styleId="tweetauthor-verifiedbadge">
    <w:name w:val="tweetauthor-verifiedbadge"/>
    <w:basedOn w:val="Fuentedeprrafopredeter"/>
    <w:rsid w:val="007E7090"/>
  </w:style>
  <w:style w:type="character" w:customStyle="1" w:styleId="tweetauthor-screenname">
    <w:name w:val="tweetauthor-screenname"/>
    <w:basedOn w:val="Fuentedeprrafopredeter"/>
    <w:rsid w:val="007E7090"/>
  </w:style>
  <w:style w:type="paragraph" w:customStyle="1" w:styleId="tweet-text">
    <w:name w:val="tweet-text"/>
    <w:basedOn w:val="Normal"/>
    <w:rsid w:val="007E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weetaction-stat">
    <w:name w:val="tweetaction-stat"/>
    <w:basedOn w:val="Fuentedeprrafopredeter"/>
    <w:rsid w:val="007E7090"/>
  </w:style>
  <w:style w:type="character" w:customStyle="1" w:styleId="u-hiddenvisually">
    <w:name w:val="u-hiddenvisually"/>
    <w:basedOn w:val="Fuentedeprrafopredeter"/>
    <w:rsid w:val="007E7090"/>
  </w:style>
  <w:style w:type="table" w:styleId="Tablaconcuadrcula">
    <w:name w:val="Table Grid"/>
    <w:basedOn w:val="Tablanormal"/>
    <w:uiPriority w:val="59"/>
    <w:rsid w:val="00D319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E7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7E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3Car">
    <w:name w:val="Título 3 Car"/>
    <w:basedOn w:val="Fuentedeprrafopredeter"/>
    <w:link w:val="Ttulo3"/>
    <w:uiPriority w:val="9"/>
    <w:rsid w:val="007E7090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paragraph" w:styleId="NormalWeb">
    <w:name w:val="Normal (Web)"/>
    <w:basedOn w:val="Normal"/>
    <w:uiPriority w:val="99"/>
    <w:semiHidden/>
    <w:unhideWhenUsed/>
    <w:rsid w:val="007E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7E709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E7090"/>
    <w:rPr>
      <w:b/>
      <w:bCs/>
    </w:rPr>
  </w:style>
  <w:style w:type="character" w:styleId="CitaHTML">
    <w:name w:val="HTML Cite"/>
    <w:basedOn w:val="Fuentedeprrafopredeter"/>
    <w:uiPriority w:val="99"/>
    <w:semiHidden/>
    <w:unhideWhenUsed/>
    <w:rsid w:val="007E7090"/>
    <w:rPr>
      <w:i/>
      <w:iCs/>
    </w:rPr>
  </w:style>
  <w:style w:type="character" w:customStyle="1" w:styleId="followbutton-bird">
    <w:name w:val="followbutton-bird"/>
    <w:basedOn w:val="Fuentedeprrafopredeter"/>
    <w:rsid w:val="007E7090"/>
  </w:style>
  <w:style w:type="character" w:customStyle="1" w:styleId="tweetauthor-name">
    <w:name w:val="tweetauthor-name"/>
    <w:basedOn w:val="Fuentedeprrafopredeter"/>
    <w:rsid w:val="007E7090"/>
  </w:style>
  <w:style w:type="character" w:customStyle="1" w:styleId="tweetauthor-verifiedbadge">
    <w:name w:val="tweetauthor-verifiedbadge"/>
    <w:basedOn w:val="Fuentedeprrafopredeter"/>
    <w:rsid w:val="007E7090"/>
  </w:style>
  <w:style w:type="character" w:customStyle="1" w:styleId="tweetauthor-screenname">
    <w:name w:val="tweetauthor-screenname"/>
    <w:basedOn w:val="Fuentedeprrafopredeter"/>
    <w:rsid w:val="007E7090"/>
  </w:style>
  <w:style w:type="paragraph" w:customStyle="1" w:styleId="tweet-text">
    <w:name w:val="tweet-text"/>
    <w:basedOn w:val="Normal"/>
    <w:rsid w:val="007E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weetaction-stat">
    <w:name w:val="tweetaction-stat"/>
    <w:basedOn w:val="Fuentedeprrafopredeter"/>
    <w:rsid w:val="007E7090"/>
  </w:style>
  <w:style w:type="character" w:customStyle="1" w:styleId="u-hiddenvisually">
    <w:name w:val="u-hiddenvisually"/>
    <w:basedOn w:val="Fuentedeprrafopredeter"/>
    <w:rsid w:val="007E7090"/>
  </w:style>
  <w:style w:type="table" w:styleId="Tablaconcuadrcula">
    <w:name w:val="Table Grid"/>
    <w:basedOn w:val="Tablanormal"/>
    <w:uiPriority w:val="59"/>
    <w:rsid w:val="00D319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6660">
              <w:marLeft w:val="0"/>
              <w:marRight w:val="0"/>
              <w:marTop w:val="0"/>
              <w:marBottom w:val="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592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53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47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673477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74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233317">
                  <w:marLeft w:val="270"/>
                  <w:marRight w:val="27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333">
              <w:marLeft w:val="0"/>
              <w:marRight w:val="0"/>
              <w:marTop w:val="0"/>
              <w:marBottom w:val="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539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5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6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8064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7967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137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8611594">
                  <w:marLeft w:val="270"/>
                  <w:marRight w:val="27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AD30B-187D-43F3-AC22-B32BA8EB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admin</cp:lastModifiedBy>
  <cp:revision>2</cp:revision>
  <dcterms:created xsi:type="dcterms:W3CDTF">2021-06-09T08:10:00Z</dcterms:created>
  <dcterms:modified xsi:type="dcterms:W3CDTF">2021-06-09T08:10:00Z</dcterms:modified>
</cp:coreProperties>
</file>