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EEC" w:rsidRPr="00FD2498" w:rsidRDefault="00CB7D6C" w:rsidP="00610EEC">
      <w:pPr>
        <w:jc w:val="both"/>
        <w:rPr>
          <w:rFonts w:ascii="Arial" w:hAnsi="Arial" w:cs="Arial"/>
          <w:b/>
          <w:sz w:val="20"/>
          <w:szCs w:val="20"/>
          <w:lang w:val="es-ES"/>
        </w:rPr>
      </w:pPr>
      <w:bookmarkStart w:id="0" w:name="_GoBack"/>
      <w:bookmarkEnd w:id="0"/>
      <w:r w:rsidRPr="00FD2498">
        <w:rPr>
          <w:rFonts w:ascii="Arial" w:hAnsi="Arial" w:cs="Arial"/>
          <w:b/>
          <w:sz w:val="20"/>
          <w:szCs w:val="20"/>
          <w:lang w:val="es-ES"/>
        </w:rPr>
        <w:t>EVALUACIÓN DEL EFECTO DE LOS ANTÍGENOS POLISACÁRIDOS PUROS TYPHIM VI® Y PNEUMOVAX® SOBRE LA PROLIFERACIÓN CELULAR Y LA RESPUESTA LINFOCITARIA  T Y B ESPECÍFICA EN INDIVIDUOS SANOS.</w:t>
      </w:r>
    </w:p>
    <w:p w:rsidR="00CB7D6C" w:rsidRPr="00FD2498" w:rsidRDefault="00CB7D6C" w:rsidP="00610EEC">
      <w:pPr>
        <w:jc w:val="both"/>
        <w:rPr>
          <w:rFonts w:ascii="Arial" w:hAnsi="Arial" w:cs="Arial"/>
          <w:b/>
          <w:sz w:val="20"/>
          <w:szCs w:val="20"/>
          <w:lang w:val="es-ES"/>
        </w:rPr>
      </w:pPr>
    </w:p>
    <w:p w:rsidR="000256FB" w:rsidRPr="00FD2498" w:rsidRDefault="000256FB" w:rsidP="00610EEC">
      <w:pPr>
        <w:jc w:val="both"/>
        <w:rPr>
          <w:rFonts w:ascii="Arial" w:hAnsi="Arial" w:cs="Arial"/>
          <w:b/>
          <w:sz w:val="20"/>
          <w:szCs w:val="20"/>
          <w:lang w:val="es-ES"/>
        </w:rPr>
      </w:pPr>
    </w:p>
    <w:p w:rsidR="00610EEC" w:rsidRPr="00FD2498" w:rsidRDefault="00610EEC" w:rsidP="00610EEC">
      <w:pPr>
        <w:jc w:val="both"/>
        <w:rPr>
          <w:rFonts w:ascii="Arial" w:hAnsi="Arial" w:cs="Arial"/>
          <w:b/>
          <w:sz w:val="20"/>
          <w:szCs w:val="20"/>
          <w:lang w:val="es-ES"/>
        </w:rPr>
      </w:pPr>
      <w:r w:rsidRPr="00FD2498">
        <w:rPr>
          <w:rFonts w:ascii="Arial" w:hAnsi="Arial" w:cs="Arial"/>
          <w:b/>
          <w:sz w:val="20"/>
          <w:szCs w:val="20"/>
          <w:lang w:val="es-ES"/>
        </w:rPr>
        <w:t xml:space="preserve">Autor:  </w:t>
      </w:r>
      <w:r w:rsidRPr="00FD2498">
        <w:rPr>
          <w:rFonts w:ascii="Arial" w:hAnsi="Arial" w:cs="Arial"/>
          <w:b/>
          <w:sz w:val="20"/>
          <w:szCs w:val="20"/>
          <w:lang w:val="es-ES"/>
        </w:rPr>
        <w:tab/>
        <w:t>Minaret Carolina Sandrea Jiménez.</w:t>
      </w:r>
    </w:p>
    <w:p w:rsidR="00610EEC" w:rsidRPr="00FD2498" w:rsidRDefault="00610EEC" w:rsidP="00610EEC">
      <w:pPr>
        <w:jc w:val="both"/>
        <w:rPr>
          <w:rFonts w:ascii="Arial" w:hAnsi="Arial" w:cs="Arial"/>
          <w:b/>
          <w:sz w:val="20"/>
          <w:szCs w:val="20"/>
          <w:lang w:val="es-ES"/>
        </w:rPr>
      </w:pPr>
      <w:r w:rsidRPr="00FD2498">
        <w:rPr>
          <w:rFonts w:ascii="Arial" w:hAnsi="Arial" w:cs="Arial"/>
          <w:b/>
          <w:sz w:val="20"/>
          <w:szCs w:val="20"/>
          <w:lang w:val="es-ES"/>
        </w:rPr>
        <w:t xml:space="preserve">Director:  </w:t>
      </w:r>
      <w:r w:rsidRPr="00FD2498">
        <w:rPr>
          <w:rFonts w:ascii="Arial" w:hAnsi="Arial" w:cs="Arial"/>
          <w:b/>
          <w:sz w:val="20"/>
          <w:szCs w:val="20"/>
          <w:lang w:val="es-ES"/>
        </w:rPr>
        <w:tab/>
        <w:t>Dra. Silvia Sánchez-Ramón.</w:t>
      </w:r>
    </w:p>
    <w:p w:rsidR="00610EEC" w:rsidRPr="00FD2498" w:rsidRDefault="00610EEC" w:rsidP="00610EEC">
      <w:pPr>
        <w:jc w:val="both"/>
        <w:rPr>
          <w:rFonts w:ascii="Arial" w:hAnsi="Arial" w:cs="Arial"/>
          <w:b/>
          <w:sz w:val="20"/>
          <w:szCs w:val="20"/>
          <w:lang w:val="es-ES"/>
        </w:rPr>
      </w:pPr>
      <w:r w:rsidRPr="00FD2498">
        <w:rPr>
          <w:rFonts w:ascii="Arial" w:hAnsi="Arial" w:cs="Arial"/>
          <w:b/>
          <w:sz w:val="20"/>
          <w:szCs w:val="20"/>
          <w:lang w:val="es-ES"/>
        </w:rPr>
        <w:tab/>
      </w:r>
      <w:r w:rsidRPr="00FD2498">
        <w:rPr>
          <w:rFonts w:ascii="Arial" w:hAnsi="Arial" w:cs="Arial"/>
          <w:b/>
          <w:sz w:val="20"/>
          <w:szCs w:val="20"/>
          <w:lang w:val="es-ES"/>
        </w:rPr>
        <w:tab/>
        <w:t>Unidad de Inmunología Clínica.</w:t>
      </w:r>
    </w:p>
    <w:p w:rsidR="00610EEC" w:rsidRPr="00FD2498" w:rsidRDefault="00610EEC" w:rsidP="00610EEC">
      <w:pPr>
        <w:jc w:val="both"/>
        <w:rPr>
          <w:rFonts w:ascii="Arial" w:hAnsi="Arial" w:cs="Arial"/>
          <w:b/>
          <w:sz w:val="20"/>
          <w:szCs w:val="20"/>
          <w:lang w:val="es-ES"/>
        </w:rPr>
      </w:pPr>
      <w:r w:rsidRPr="00FD2498">
        <w:rPr>
          <w:rFonts w:ascii="Arial" w:hAnsi="Arial" w:cs="Arial"/>
          <w:b/>
          <w:sz w:val="20"/>
          <w:szCs w:val="20"/>
          <w:lang w:val="es-ES"/>
        </w:rPr>
        <w:tab/>
      </w:r>
      <w:r w:rsidRPr="00FD2498">
        <w:rPr>
          <w:rFonts w:ascii="Arial" w:hAnsi="Arial" w:cs="Arial"/>
          <w:b/>
          <w:sz w:val="20"/>
          <w:szCs w:val="20"/>
          <w:lang w:val="es-ES"/>
        </w:rPr>
        <w:tab/>
        <w:t>Servicio de Inmunología.</w:t>
      </w:r>
    </w:p>
    <w:p w:rsidR="00610EEC" w:rsidRPr="00FD2498" w:rsidRDefault="00610EEC" w:rsidP="00610EEC">
      <w:pPr>
        <w:jc w:val="both"/>
        <w:rPr>
          <w:rFonts w:ascii="Arial" w:hAnsi="Arial" w:cs="Arial"/>
          <w:b/>
          <w:sz w:val="20"/>
          <w:szCs w:val="20"/>
          <w:lang w:val="es-ES"/>
        </w:rPr>
      </w:pPr>
      <w:r w:rsidRPr="00FD2498">
        <w:rPr>
          <w:rFonts w:ascii="Arial" w:hAnsi="Arial" w:cs="Arial"/>
          <w:b/>
          <w:sz w:val="20"/>
          <w:szCs w:val="20"/>
          <w:lang w:val="es-ES"/>
        </w:rPr>
        <w:tab/>
      </w:r>
      <w:r w:rsidRPr="00FD2498">
        <w:rPr>
          <w:rFonts w:ascii="Arial" w:hAnsi="Arial" w:cs="Arial"/>
          <w:b/>
          <w:sz w:val="20"/>
          <w:szCs w:val="20"/>
          <w:lang w:val="es-ES"/>
        </w:rPr>
        <w:tab/>
        <w:t>Hospital General Universitario Gregorio Marañón.</w:t>
      </w:r>
    </w:p>
    <w:p w:rsidR="00610EEC" w:rsidRPr="00FD2498" w:rsidRDefault="00610EEC" w:rsidP="00440AAB">
      <w:pPr>
        <w:jc w:val="both"/>
        <w:rPr>
          <w:rFonts w:ascii="Arial" w:hAnsi="Arial" w:cs="Arial"/>
          <w:sz w:val="20"/>
          <w:szCs w:val="20"/>
          <w:lang w:val="es-ES"/>
        </w:rPr>
      </w:pPr>
    </w:p>
    <w:p w:rsidR="000256FB" w:rsidRPr="00FD2498" w:rsidRDefault="000256FB" w:rsidP="00440AAB">
      <w:pPr>
        <w:jc w:val="both"/>
        <w:rPr>
          <w:rFonts w:ascii="Arial" w:hAnsi="Arial" w:cs="Arial"/>
          <w:b/>
          <w:sz w:val="20"/>
          <w:szCs w:val="20"/>
          <w:lang w:val="es-ES"/>
        </w:rPr>
      </w:pPr>
    </w:p>
    <w:p w:rsidR="000256FB" w:rsidRPr="00FD2498" w:rsidRDefault="000256FB" w:rsidP="00440AAB">
      <w:pPr>
        <w:jc w:val="both"/>
        <w:rPr>
          <w:rFonts w:ascii="Arial" w:hAnsi="Arial" w:cs="Arial"/>
          <w:b/>
          <w:sz w:val="20"/>
          <w:szCs w:val="20"/>
          <w:lang w:val="es-ES"/>
        </w:rPr>
      </w:pPr>
    </w:p>
    <w:p w:rsidR="000125DD" w:rsidRPr="00FD2498" w:rsidRDefault="000125DD" w:rsidP="00440AAB">
      <w:pPr>
        <w:jc w:val="both"/>
        <w:rPr>
          <w:rFonts w:ascii="Arial" w:hAnsi="Arial" w:cs="Arial"/>
          <w:sz w:val="20"/>
          <w:szCs w:val="20"/>
          <w:lang w:val="es-ES"/>
        </w:rPr>
      </w:pPr>
      <w:r w:rsidRPr="00FD2498">
        <w:rPr>
          <w:rFonts w:ascii="Arial" w:hAnsi="Arial" w:cs="Arial"/>
          <w:b/>
          <w:sz w:val="20"/>
          <w:szCs w:val="20"/>
          <w:lang w:val="es-ES"/>
        </w:rPr>
        <w:t>RESUMEN</w:t>
      </w:r>
      <w:r w:rsidR="00F25F10" w:rsidRPr="00FD2498">
        <w:rPr>
          <w:rFonts w:ascii="Arial" w:hAnsi="Arial" w:cs="Arial"/>
          <w:b/>
          <w:sz w:val="20"/>
          <w:szCs w:val="20"/>
          <w:lang w:val="es-ES"/>
        </w:rPr>
        <w:t xml:space="preserve"> </w:t>
      </w:r>
    </w:p>
    <w:p w:rsidR="000125DD" w:rsidRPr="00FD2498" w:rsidRDefault="000125DD" w:rsidP="00440AAB">
      <w:pPr>
        <w:jc w:val="both"/>
        <w:rPr>
          <w:rFonts w:ascii="Arial" w:hAnsi="Arial" w:cs="Arial"/>
          <w:sz w:val="20"/>
          <w:szCs w:val="20"/>
          <w:lang w:val="es-ES"/>
        </w:rPr>
      </w:pPr>
    </w:p>
    <w:p w:rsidR="00FB042A" w:rsidRPr="00FD2498" w:rsidRDefault="000256FB" w:rsidP="00311345">
      <w:pPr>
        <w:tabs>
          <w:tab w:val="left" w:pos="4536"/>
        </w:tabs>
        <w:jc w:val="both"/>
        <w:rPr>
          <w:rFonts w:ascii="Arial" w:hAnsi="Arial" w:cs="Arial"/>
          <w:sz w:val="20"/>
          <w:szCs w:val="20"/>
          <w:lang w:val="es-ES"/>
        </w:rPr>
      </w:pPr>
      <w:r w:rsidRPr="00FD2498">
        <w:rPr>
          <w:rFonts w:ascii="Arial" w:hAnsi="Arial" w:cs="Arial"/>
          <w:sz w:val="20"/>
          <w:szCs w:val="20"/>
          <w:lang w:val="es-ES"/>
        </w:rPr>
        <w:t>El estudio de la respuesta inmunológica frente a</w:t>
      </w:r>
      <w:r w:rsidR="003E3B06" w:rsidRPr="00FD2498">
        <w:rPr>
          <w:rFonts w:ascii="Arial" w:hAnsi="Arial" w:cs="Arial"/>
          <w:sz w:val="20"/>
          <w:szCs w:val="20"/>
        </w:rPr>
        <w:t xml:space="preserve"> </w:t>
      </w:r>
      <w:r w:rsidRPr="00FD2498">
        <w:rPr>
          <w:rFonts w:ascii="Arial" w:hAnsi="Arial" w:cs="Arial"/>
          <w:sz w:val="20"/>
          <w:szCs w:val="20"/>
        </w:rPr>
        <w:t>antígen</w:t>
      </w:r>
      <w:r w:rsidR="00F83BAA" w:rsidRPr="00FD2498">
        <w:rPr>
          <w:rFonts w:ascii="Arial" w:hAnsi="Arial" w:cs="Arial"/>
          <w:sz w:val="20"/>
          <w:szCs w:val="20"/>
        </w:rPr>
        <w:t>os es</w:t>
      </w:r>
      <w:r w:rsidR="00AD60D2" w:rsidRPr="00FD2498">
        <w:rPr>
          <w:rFonts w:ascii="Arial" w:hAnsi="Arial" w:cs="Arial"/>
          <w:sz w:val="20"/>
          <w:szCs w:val="20"/>
        </w:rPr>
        <w:t>pecíficos es una herramienta</w:t>
      </w:r>
      <w:r w:rsidR="000176F6" w:rsidRPr="00FD2498">
        <w:rPr>
          <w:rFonts w:ascii="Arial" w:hAnsi="Arial" w:cs="Arial"/>
          <w:sz w:val="20"/>
          <w:szCs w:val="20"/>
        </w:rPr>
        <w:t xml:space="preserve"> </w:t>
      </w:r>
      <w:r w:rsidRPr="00FD2498">
        <w:rPr>
          <w:rFonts w:ascii="Arial" w:hAnsi="Arial" w:cs="Arial"/>
          <w:sz w:val="20"/>
          <w:szCs w:val="20"/>
        </w:rPr>
        <w:t xml:space="preserve">útil </w:t>
      </w:r>
      <w:r w:rsidR="000176F6" w:rsidRPr="00FD2498">
        <w:rPr>
          <w:rFonts w:ascii="Arial" w:hAnsi="Arial" w:cs="Arial"/>
          <w:sz w:val="20"/>
          <w:szCs w:val="20"/>
        </w:rPr>
        <w:t xml:space="preserve">para </w:t>
      </w:r>
      <w:r w:rsidRPr="00FD2498">
        <w:rPr>
          <w:rFonts w:ascii="Arial" w:hAnsi="Arial" w:cs="Arial"/>
          <w:sz w:val="20"/>
          <w:szCs w:val="20"/>
        </w:rPr>
        <w:t>evalua</w:t>
      </w:r>
      <w:r w:rsidR="000176F6" w:rsidRPr="00FD2498">
        <w:rPr>
          <w:rFonts w:ascii="Arial" w:hAnsi="Arial" w:cs="Arial"/>
          <w:sz w:val="20"/>
          <w:szCs w:val="20"/>
        </w:rPr>
        <w:t>r</w:t>
      </w:r>
      <w:r w:rsidR="00F83BAA" w:rsidRPr="00FD2498">
        <w:rPr>
          <w:rFonts w:ascii="Arial" w:hAnsi="Arial" w:cs="Arial"/>
          <w:sz w:val="20"/>
          <w:szCs w:val="20"/>
        </w:rPr>
        <w:t xml:space="preserve"> la</w:t>
      </w:r>
      <w:r w:rsidR="00311345" w:rsidRPr="00FD2498">
        <w:rPr>
          <w:rFonts w:ascii="Arial" w:hAnsi="Arial" w:cs="Arial"/>
          <w:sz w:val="20"/>
          <w:szCs w:val="20"/>
        </w:rPr>
        <w:t xml:space="preserve"> </w:t>
      </w:r>
      <w:r w:rsidRPr="00FD2498">
        <w:rPr>
          <w:rFonts w:ascii="Arial" w:hAnsi="Arial" w:cs="Arial"/>
          <w:sz w:val="20"/>
          <w:szCs w:val="20"/>
        </w:rPr>
        <w:t>inmunocompetencia</w:t>
      </w:r>
      <w:r w:rsidR="00311345" w:rsidRPr="00FD2498">
        <w:rPr>
          <w:rFonts w:ascii="Arial" w:hAnsi="Arial" w:cs="Arial"/>
          <w:sz w:val="20"/>
          <w:szCs w:val="20"/>
        </w:rPr>
        <w:t xml:space="preserve"> y </w:t>
      </w:r>
      <w:r w:rsidRPr="00FD2498">
        <w:rPr>
          <w:rFonts w:ascii="Arial" w:hAnsi="Arial" w:cs="Arial"/>
          <w:sz w:val="20"/>
          <w:szCs w:val="20"/>
        </w:rPr>
        <w:t>para el diagnóstico de</w:t>
      </w:r>
      <w:r w:rsidR="00AD60D2" w:rsidRPr="00FD2498">
        <w:rPr>
          <w:rFonts w:ascii="Arial" w:hAnsi="Arial" w:cs="Arial"/>
          <w:sz w:val="20"/>
          <w:szCs w:val="20"/>
        </w:rPr>
        <w:t xml:space="preserve"> </w:t>
      </w:r>
      <w:r w:rsidR="00F83BAA" w:rsidRPr="00FD2498">
        <w:rPr>
          <w:rFonts w:ascii="Arial" w:hAnsi="Arial" w:cs="Arial"/>
          <w:sz w:val="20"/>
          <w:szCs w:val="20"/>
        </w:rPr>
        <w:t>los défic</w:t>
      </w:r>
      <w:r w:rsidRPr="00FD2498">
        <w:rPr>
          <w:rFonts w:ascii="Arial" w:hAnsi="Arial" w:cs="Arial"/>
          <w:sz w:val="20"/>
          <w:szCs w:val="20"/>
        </w:rPr>
        <w:t>its de</w:t>
      </w:r>
      <w:r w:rsidR="00AD60D2" w:rsidRPr="00FD2498">
        <w:rPr>
          <w:rFonts w:ascii="Arial" w:hAnsi="Arial" w:cs="Arial"/>
          <w:sz w:val="20"/>
          <w:szCs w:val="20"/>
        </w:rPr>
        <w:t xml:space="preserve"> producción</w:t>
      </w:r>
      <w:r w:rsidRPr="00FD2498">
        <w:rPr>
          <w:rFonts w:ascii="Arial" w:hAnsi="Arial" w:cs="Arial"/>
          <w:sz w:val="20"/>
          <w:szCs w:val="20"/>
        </w:rPr>
        <w:t xml:space="preserve"> de anticuerpos</w:t>
      </w:r>
      <w:r w:rsidR="00F83BAA" w:rsidRPr="00FD2498">
        <w:rPr>
          <w:rFonts w:ascii="Arial" w:hAnsi="Arial" w:cs="Arial"/>
          <w:sz w:val="20"/>
          <w:szCs w:val="20"/>
        </w:rPr>
        <w:t>. Sin</w:t>
      </w:r>
      <w:r w:rsidR="00AD60D2" w:rsidRPr="00FD2498">
        <w:rPr>
          <w:rFonts w:ascii="Arial" w:hAnsi="Arial" w:cs="Arial"/>
          <w:sz w:val="20"/>
          <w:szCs w:val="20"/>
        </w:rPr>
        <w:t xml:space="preserve"> embargo, </w:t>
      </w:r>
      <w:r w:rsidRPr="00FD2498">
        <w:rPr>
          <w:rFonts w:ascii="Arial" w:hAnsi="Arial" w:cs="Arial"/>
          <w:sz w:val="20"/>
          <w:szCs w:val="20"/>
        </w:rPr>
        <w:t xml:space="preserve">hasta un 10% de los </w:t>
      </w:r>
      <w:r w:rsidR="00AD60D2" w:rsidRPr="00FD2498">
        <w:rPr>
          <w:rFonts w:ascii="Arial" w:hAnsi="Arial" w:cs="Arial"/>
          <w:sz w:val="20"/>
          <w:szCs w:val="20"/>
        </w:rPr>
        <w:t>sujetos</w:t>
      </w:r>
      <w:r w:rsidR="00F83BAA" w:rsidRPr="00FD2498">
        <w:rPr>
          <w:rFonts w:ascii="Arial" w:hAnsi="Arial" w:cs="Arial"/>
          <w:sz w:val="20"/>
          <w:szCs w:val="20"/>
        </w:rPr>
        <w:t xml:space="preserve"> normal</w:t>
      </w:r>
      <w:r w:rsidR="00AD60D2" w:rsidRPr="00FD2498">
        <w:rPr>
          <w:rFonts w:ascii="Arial" w:hAnsi="Arial" w:cs="Arial"/>
          <w:sz w:val="20"/>
          <w:szCs w:val="20"/>
        </w:rPr>
        <w:t>es</w:t>
      </w:r>
      <w:r w:rsidR="00F83BAA" w:rsidRPr="00FD2498">
        <w:rPr>
          <w:rFonts w:ascii="Arial" w:hAnsi="Arial" w:cs="Arial"/>
          <w:sz w:val="20"/>
          <w:szCs w:val="20"/>
        </w:rPr>
        <w:t xml:space="preserve"> pueden p</w:t>
      </w:r>
      <w:r w:rsidRPr="00FD2498">
        <w:rPr>
          <w:rFonts w:ascii="Arial" w:hAnsi="Arial" w:cs="Arial"/>
          <w:sz w:val="20"/>
          <w:szCs w:val="20"/>
        </w:rPr>
        <w:t>resentar niveles bajos de estos anticuerpos, tanto frente a antígeno proteico (cuyo prototipo es la respuesta fr</w:t>
      </w:r>
      <w:r w:rsidR="002D27B9" w:rsidRPr="00FD2498">
        <w:rPr>
          <w:rFonts w:ascii="Arial" w:hAnsi="Arial" w:cs="Arial"/>
          <w:sz w:val="20"/>
          <w:szCs w:val="20"/>
        </w:rPr>
        <w:t>ente a tox</w:t>
      </w:r>
      <w:r w:rsidRPr="00FD2498">
        <w:rPr>
          <w:rFonts w:ascii="Arial" w:hAnsi="Arial" w:cs="Arial"/>
          <w:sz w:val="20"/>
          <w:szCs w:val="20"/>
        </w:rPr>
        <w:t>oide tetánico) como frente a antígeno polisacárido (cuyo prototipo ha sido la respuesta frente a neumococo).</w:t>
      </w:r>
      <w:r w:rsidR="00311345" w:rsidRPr="00FD2498">
        <w:rPr>
          <w:rFonts w:ascii="Arial" w:hAnsi="Arial" w:cs="Arial"/>
          <w:sz w:val="20"/>
          <w:szCs w:val="20"/>
        </w:rPr>
        <w:t xml:space="preserve"> </w:t>
      </w:r>
      <w:r w:rsidRPr="00FD2498">
        <w:rPr>
          <w:rFonts w:ascii="Arial" w:hAnsi="Arial" w:cs="Arial"/>
          <w:sz w:val="20"/>
          <w:szCs w:val="20"/>
        </w:rPr>
        <w:t>Sin embargo,</w:t>
      </w:r>
      <w:r w:rsidR="00311345" w:rsidRPr="00FD2498">
        <w:rPr>
          <w:rFonts w:ascii="Arial" w:hAnsi="Arial" w:cs="Arial"/>
          <w:sz w:val="20"/>
          <w:szCs w:val="20"/>
        </w:rPr>
        <w:t xml:space="preserve"> </w:t>
      </w:r>
      <w:r w:rsidR="00AD60D2" w:rsidRPr="00FD2498">
        <w:rPr>
          <w:rFonts w:ascii="Arial" w:hAnsi="Arial" w:cs="Arial"/>
          <w:sz w:val="20"/>
          <w:szCs w:val="20"/>
        </w:rPr>
        <w:t xml:space="preserve">la implantación de la </w:t>
      </w:r>
      <w:r w:rsidR="00311345" w:rsidRPr="00FD2498">
        <w:rPr>
          <w:rFonts w:ascii="Arial" w:hAnsi="Arial" w:cs="Arial"/>
          <w:sz w:val="20"/>
          <w:szCs w:val="20"/>
        </w:rPr>
        <w:t>vacuna</w:t>
      </w:r>
      <w:r w:rsidRPr="00FD2498">
        <w:rPr>
          <w:rFonts w:ascii="Arial" w:hAnsi="Arial" w:cs="Arial"/>
          <w:sz w:val="20"/>
          <w:szCs w:val="20"/>
        </w:rPr>
        <w:t xml:space="preserve"> conjugada</w:t>
      </w:r>
      <w:r w:rsidR="00311345" w:rsidRPr="00FD2498">
        <w:rPr>
          <w:rFonts w:ascii="Arial" w:hAnsi="Arial" w:cs="Arial"/>
          <w:sz w:val="20"/>
          <w:szCs w:val="20"/>
        </w:rPr>
        <w:t xml:space="preserve"> frente a </w:t>
      </w:r>
      <w:r w:rsidRPr="00FD2498">
        <w:rPr>
          <w:rFonts w:ascii="Arial" w:hAnsi="Arial" w:cs="Arial"/>
          <w:i/>
          <w:sz w:val="20"/>
          <w:szCs w:val="20"/>
        </w:rPr>
        <w:t xml:space="preserve">Streptococcus </w:t>
      </w:r>
      <w:r w:rsidR="00311345" w:rsidRPr="00FD2498">
        <w:rPr>
          <w:rFonts w:ascii="Arial" w:hAnsi="Arial" w:cs="Arial"/>
          <w:i/>
          <w:sz w:val="20"/>
          <w:szCs w:val="20"/>
        </w:rPr>
        <w:t>pneumoniae</w:t>
      </w:r>
      <w:r w:rsidR="00F83BAA" w:rsidRPr="00FD2498">
        <w:rPr>
          <w:rFonts w:ascii="Arial" w:hAnsi="Arial" w:cs="Arial"/>
          <w:sz w:val="20"/>
          <w:szCs w:val="20"/>
        </w:rPr>
        <w:t xml:space="preserve"> (P</w:t>
      </w:r>
      <w:r w:rsidRPr="00FD2498">
        <w:rPr>
          <w:rFonts w:ascii="Arial" w:hAnsi="Arial" w:cs="Arial"/>
          <w:sz w:val="20"/>
          <w:szCs w:val="20"/>
        </w:rPr>
        <w:t>revenar®) dificult</w:t>
      </w:r>
      <w:r w:rsidR="00AD60D2" w:rsidRPr="00FD2498">
        <w:rPr>
          <w:rFonts w:ascii="Arial" w:hAnsi="Arial" w:cs="Arial"/>
          <w:sz w:val="20"/>
          <w:szCs w:val="20"/>
        </w:rPr>
        <w:t>a</w:t>
      </w:r>
      <w:r w:rsidR="00F5733F">
        <w:rPr>
          <w:rFonts w:ascii="Arial" w:hAnsi="Arial" w:cs="Arial"/>
          <w:sz w:val="20"/>
          <w:szCs w:val="20"/>
        </w:rPr>
        <w:t>rá en estos pacientes</w:t>
      </w:r>
      <w:r w:rsidR="000176F6" w:rsidRPr="00FD2498">
        <w:rPr>
          <w:rFonts w:ascii="Arial" w:hAnsi="Arial" w:cs="Arial"/>
          <w:sz w:val="20"/>
          <w:szCs w:val="20"/>
        </w:rPr>
        <w:t xml:space="preserve"> </w:t>
      </w:r>
      <w:r w:rsidRPr="00FD2498">
        <w:rPr>
          <w:rFonts w:ascii="Arial" w:hAnsi="Arial" w:cs="Arial"/>
          <w:sz w:val="20"/>
          <w:szCs w:val="20"/>
        </w:rPr>
        <w:t>la interpretación de</w:t>
      </w:r>
      <w:r w:rsidR="00F83BAA" w:rsidRPr="00FD2498">
        <w:rPr>
          <w:rFonts w:ascii="Arial" w:hAnsi="Arial" w:cs="Arial"/>
          <w:sz w:val="20"/>
          <w:szCs w:val="20"/>
        </w:rPr>
        <w:t xml:space="preserve"> la respuesta</w:t>
      </w:r>
      <w:r w:rsidR="00F5733F">
        <w:rPr>
          <w:rFonts w:ascii="Arial" w:hAnsi="Arial" w:cs="Arial"/>
          <w:sz w:val="20"/>
          <w:szCs w:val="20"/>
        </w:rPr>
        <w:t xml:space="preserve"> </w:t>
      </w:r>
      <w:r w:rsidR="00311345" w:rsidRPr="00FD2498">
        <w:rPr>
          <w:rFonts w:ascii="Arial" w:hAnsi="Arial" w:cs="Arial"/>
          <w:sz w:val="20"/>
          <w:szCs w:val="20"/>
        </w:rPr>
        <w:t>frente a polis</w:t>
      </w:r>
      <w:r w:rsidR="003E3B06" w:rsidRPr="00FD2498">
        <w:rPr>
          <w:rFonts w:ascii="Arial" w:hAnsi="Arial" w:cs="Arial"/>
          <w:sz w:val="20"/>
          <w:szCs w:val="20"/>
        </w:rPr>
        <w:t>acáridos</w:t>
      </w:r>
      <w:r w:rsidRPr="00FD2498">
        <w:rPr>
          <w:rFonts w:ascii="Arial" w:hAnsi="Arial" w:cs="Arial"/>
          <w:sz w:val="20"/>
          <w:szCs w:val="20"/>
        </w:rPr>
        <w:t xml:space="preserve"> puros</w:t>
      </w:r>
      <w:r w:rsidR="000176F6" w:rsidRPr="00FD2498">
        <w:rPr>
          <w:rFonts w:ascii="Arial" w:hAnsi="Arial" w:cs="Arial"/>
          <w:sz w:val="20"/>
          <w:szCs w:val="20"/>
        </w:rPr>
        <w:t>,</w:t>
      </w:r>
      <w:r w:rsidR="003E3B06" w:rsidRPr="00FD2498">
        <w:rPr>
          <w:rFonts w:ascii="Arial" w:hAnsi="Arial" w:cs="Arial"/>
          <w:sz w:val="20"/>
          <w:szCs w:val="20"/>
        </w:rPr>
        <w:t xml:space="preserve"> siendo</w:t>
      </w:r>
      <w:r w:rsidR="00AD60D2" w:rsidRPr="00FD2498">
        <w:rPr>
          <w:rFonts w:ascii="Arial" w:hAnsi="Arial" w:cs="Arial"/>
          <w:sz w:val="20"/>
          <w:szCs w:val="20"/>
        </w:rPr>
        <w:t xml:space="preserve"> necesario </w:t>
      </w:r>
      <w:r w:rsidR="00311345" w:rsidRPr="00FD2498">
        <w:rPr>
          <w:rFonts w:ascii="Arial" w:hAnsi="Arial" w:cs="Arial"/>
          <w:sz w:val="20"/>
          <w:szCs w:val="20"/>
        </w:rPr>
        <w:t>desarrol</w:t>
      </w:r>
      <w:r w:rsidR="00AD60D2" w:rsidRPr="00FD2498">
        <w:rPr>
          <w:rFonts w:ascii="Arial" w:hAnsi="Arial" w:cs="Arial"/>
          <w:sz w:val="20"/>
          <w:szCs w:val="20"/>
        </w:rPr>
        <w:t>l</w:t>
      </w:r>
      <w:r w:rsidR="00311345" w:rsidRPr="00FD2498">
        <w:rPr>
          <w:rFonts w:ascii="Arial" w:hAnsi="Arial" w:cs="Arial"/>
          <w:sz w:val="20"/>
          <w:szCs w:val="20"/>
        </w:rPr>
        <w:t>ar alternativas</w:t>
      </w:r>
      <w:r w:rsidR="00F5733F">
        <w:rPr>
          <w:rFonts w:ascii="Arial" w:hAnsi="Arial" w:cs="Arial"/>
          <w:sz w:val="20"/>
          <w:szCs w:val="20"/>
        </w:rPr>
        <w:t xml:space="preserve"> diagnósticas</w:t>
      </w:r>
      <w:r w:rsidR="00F83BAA" w:rsidRPr="00FD2498">
        <w:rPr>
          <w:rFonts w:ascii="Arial" w:hAnsi="Arial" w:cs="Arial"/>
          <w:sz w:val="20"/>
          <w:szCs w:val="20"/>
        </w:rPr>
        <w:t>. La</w:t>
      </w:r>
      <w:r w:rsidR="001040E1" w:rsidRPr="00FD2498">
        <w:rPr>
          <w:rFonts w:ascii="Arial" w:hAnsi="Arial" w:cs="Arial"/>
          <w:sz w:val="20"/>
          <w:szCs w:val="20"/>
          <w:lang w:val="es-ES"/>
        </w:rPr>
        <w:t xml:space="preserve"> inoculación con</w:t>
      </w:r>
      <w:r w:rsidR="00F83BAA" w:rsidRPr="00FD2498">
        <w:rPr>
          <w:rFonts w:ascii="Arial" w:hAnsi="Arial" w:cs="Arial"/>
          <w:sz w:val="20"/>
          <w:szCs w:val="20"/>
          <w:lang w:val="es-ES"/>
        </w:rPr>
        <w:t xml:space="preserve"> Typhim Vi® (</w:t>
      </w:r>
      <w:r w:rsidR="00F83BAA" w:rsidRPr="00FD2498">
        <w:rPr>
          <w:rFonts w:ascii="Arial" w:hAnsi="Arial" w:cs="Arial"/>
          <w:i/>
          <w:sz w:val="20"/>
          <w:szCs w:val="20"/>
          <w:lang w:val="es-ES"/>
        </w:rPr>
        <w:t>Samonella Typhi</w:t>
      </w:r>
      <w:r w:rsidR="00F83BAA" w:rsidRPr="00FD2498">
        <w:rPr>
          <w:rFonts w:ascii="Arial" w:hAnsi="Arial" w:cs="Arial"/>
          <w:sz w:val="20"/>
          <w:szCs w:val="20"/>
          <w:lang w:val="es-ES"/>
        </w:rPr>
        <w:t>) representa</w:t>
      </w:r>
      <w:r w:rsidR="00821DE1" w:rsidRPr="00FD2498">
        <w:rPr>
          <w:rFonts w:ascii="Arial" w:hAnsi="Arial" w:cs="Arial"/>
          <w:sz w:val="20"/>
          <w:szCs w:val="20"/>
          <w:lang w:val="es-ES"/>
        </w:rPr>
        <w:t>ría</w:t>
      </w:r>
      <w:r w:rsidR="00F83BAA" w:rsidRPr="00FD2498">
        <w:rPr>
          <w:rFonts w:ascii="Arial" w:hAnsi="Arial" w:cs="Arial"/>
          <w:sz w:val="20"/>
          <w:szCs w:val="20"/>
          <w:lang w:val="es-ES"/>
        </w:rPr>
        <w:t xml:space="preserve"> un método alternativo </w:t>
      </w:r>
      <w:r w:rsidR="00821DE1" w:rsidRPr="00FD2498">
        <w:rPr>
          <w:rFonts w:ascii="Arial" w:hAnsi="Arial" w:cs="Arial"/>
          <w:sz w:val="20"/>
          <w:szCs w:val="20"/>
          <w:lang w:val="es-ES"/>
        </w:rPr>
        <w:t xml:space="preserve">para detectar </w:t>
      </w:r>
      <w:r w:rsidR="00311345" w:rsidRPr="00FD2498">
        <w:rPr>
          <w:rFonts w:ascii="Arial" w:hAnsi="Arial" w:cs="Arial"/>
          <w:sz w:val="20"/>
          <w:szCs w:val="20"/>
          <w:lang w:val="es-ES"/>
        </w:rPr>
        <w:t>anticuerpos</w:t>
      </w:r>
      <w:r w:rsidR="001040E1" w:rsidRPr="00FD2498">
        <w:rPr>
          <w:rFonts w:ascii="Arial" w:hAnsi="Arial" w:cs="Arial"/>
          <w:sz w:val="20"/>
          <w:szCs w:val="20"/>
          <w:lang w:val="es-ES"/>
        </w:rPr>
        <w:t xml:space="preserve"> específicos</w:t>
      </w:r>
      <w:r w:rsidRPr="00FD2498">
        <w:rPr>
          <w:rFonts w:ascii="Arial" w:hAnsi="Arial" w:cs="Arial"/>
          <w:sz w:val="20"/>
          <w:szCs w:val="20"/>
          <w:lang w:val="es-ES"/>
        </w:rPr>
        <w:t xml:space="preserve"> frente a antígeno polisacárido puro</w:t>
      </w:r>
      <w:r w:rsidR="00F83BAA" w:rsidRPr="00FD2498">
        <w:rPr>
          <w:rFonts w:ascii="Arial" w:hAnsi="Arial" w:cs="Arial"/>
          <w:sz w:val="20"/>
          <w:szCs w:val="20"/>
          <w:lang w:val="es-ES"/>
        </w:rPr>
        <w:t xml:space="preserve">. </w:t>
      </w:r>
      <w:r w:rsidR="00024934" w:rsidRPr="00FD2498">
        <w:rPr>
          <w:rFonts w:ascii="Arial" w:hAnsi="Arial" w:cs="Arial"/>
          <w:color w:val="000000"/>
          <w:sz w:val="20"/>
          <w:szCs w:val="20"/>
        </w:rPr>
        <w:t>El</w:t>
      </w:r>
      <w:r w:rsidR="00F83BAA" w:rsidRPr="00FD2498">
        <w:rPr>
          <w:rFonts w:ascii="Arial" w:hAnsi="Arial" w:cs="Arial"/>
          <w:color w:val="000000"/>
          <w:sz w:val="20"/>
          <w:szCs w:val="20"/>
        </w:rPr>
        <w:t xml:space="preserve"> objetivo de</w:t>
      </w:r>
      <w:r w:rsidRPr="00FD2498">
        <w:rPr>
          <w:rFonts w:ascii="Arial" w:hAnsi="Arial" w:cs="Arial"/>
          <w:color w:val="000000"/>
          <w:sz w:val="20"/>
          <w:szCs w:val="20"/>
        </w:rPr>
        <w:t>l presente</w:t>
      </w:r>
      <w:r w:rsidR="00F83BAA" w:rsidRPr="00FD2498">
        <w:rPr>
          <w:rFonts w:ascii="Arial" w:hAnsi="Arial" w:cs="Arial"/>
          <w:color w:val="000000"/>
          <w:sz w:val="20"/>
          <w:szCs w:val="20"/>
        </w:rPr>
        <w:t xml:space="preserve"> estudio es </w:t>
      </w:r>
      <w:r w:rsidRPr="00FD2498">
        <w:rPr>
          <w:rFonts w:ascii="Arial" w:hAnsi="Arial" w:cs="Arial"/>
          <w:color w:val="000000"/>
          <w:sz w:val="20"/>
          <w:szCs w:val="20"/>
        </w:rPr>
        <w:t>poner a punto la evaluación de</w:t>
      </w:r>
      <w:r w:rsidR="00F83BAA" w:rsidRPr="00FD2498">
        <w:rPr>
          <w:rFonts w:ascii="Arial" w:hAnsi="Arial" w:cs="Arial"/>
          <w:color w:val="000000"/>
          <w:sz w:val="20"/>
          <w:szCs w:val="20"/>
        </w:rPr>
        <w:t xml:space="preserve"> la respuesta linfocitaria T y B </w:t>
      </w:r>
      <w:r w:rsidRPr="00FD2498">
        <w:rPr>
          <w:rFonts w:ascii="Arial" w:hAnsi="Arial" w:cs="Arial"/>
          <w:color w:val="000000"/>
          <w:sz w:val="20"/>
          <w:szCs w:val="20"/>
        </w:rPr>
        <w:t xml:space="preserve">específica </w:t>
      </w:r>
      <w:r w:rsidR="00F83BAA" w:rsidRPr="00FD2498">
        <w:rPr>
          <w:rFonts w:ascii="Arial" w:hAnsi="Arial" w:cs="Arial"/>
          <w:color w:val="000000"/>
          <w:sz w:val="20"/>
          <w:szCs w:val="20"/>
        </w:rPr>
        <w:t xml:space="preserve">frente a </w:t>
      </w:r>
      <w:r w:rsidR="00821DE1" w:rsidRPr="00FD2498">
        <w:rPr>
          <w:rFonts w:ascii="Arial" w:hAnsi="Arial" w:cs="Arial"/>
          <w:sz w:val="20"/>
          <w:szCs w:val="20"/>
          <w:lang w:val="es-ES"/>
        </w:rPr>
        <w:t xml:space="preserve">Typhim Vi® </w:t>
      </w:r>
      <w:r w:rsidR="00F83BAA" w:rsidRPr="00FD2498">
        <w:rPr>
          <w:rFonts w:ascii="Arial" w:hAnsi="Arial" w:cs="Arial"/>
          <w:color w:val="000000"/>
          <w:sz w:val="20"/>
          <w:szCs w:val="20"/>
        </w:rPr>
        <w:t>en sujetos sanos</w:t>
      </w:r>
      <w:r w:rsidRPr="00FD2498">
        <w:rPr>
          <w:rFonts w:ascii="Arial" w:hAnsi="Arial" w:cs="Arial"/>
          <w:color w:val="000000"/>
          <w:sz w:val="20"/>
          <w:szCs w:val="20"/>
        </w:rPr>
        <w:t>, comparada con la respuesta frente a Pneumovax 23</w:t>
      </w:r>
      <w:r w:rsidRPr="00FD2498">
        <w:rPr>
          <w:rFonts w:ascii="Arial" w:hAnsi="Arial" w:cs="Arial"/>
          <w:sz w:val="20"/>
          <w:szCs w:val="20"/>
          <w:lang w:val="es-ES"/>
        </w:rPr>
        <w:t>®</w:t>
      </w:r>
      <w:r w:rsidR="00F83BAA" w:rsidRPr="00FD2498">
        <w:rPr>
          <w:rFonts w:ascii="Arial" w:hAnsi="Arial" w:cs="Arial"/>
          <w:color w:val="000000"/>
          <w:sz w:val="20"/>
          <w:szCs w:val="20"/>
        </w:rPr>
        <w:t>.</w:t>
      </w:r>
      <w:r w:rsidR="00645394" w:rsidRPr="00FD2498">
        <w:rPr>
          <w:rFonts w:ascii="Arial" w:hAnsi="Arial" w:cs="Arial"/>
          <w:color w:val="000000"/>
          <w:sz w:val="20"/>
          <w:szCs w:val="20"/>
        </w:rPr>
        <w:t xml:space="preserve"> Se </w:t>
      </w:r>
      <w:r w:rsidRPr="00FD2498">
        <w:rPr>
          <w:rFonts w:ascii="Arial" w:hAnsi="Arial" w:cs="Arial"/>
          <w:color w:val="000000"/>
          <w:sz w:val="20"/>
          <w:szCs w:val="20"/>
        </w:rPr>
        <w:t>ha desarrollado un modelo de cultivo linfoproliferativo</w:t>
      </w:r>
      <w:r w:rsidR="003C735A" w:rsidRPr="00FD2498">
        <w:rPr>
          <w:rFonts w:ascii="Arial" w:hAnsi="Arial" w:cs="Arial"/>
          <w:color w:val="000000"/>
          <w:sz w:val="20"/>
          <w:szCs w:val="20"/>
        </w:rPr>
        <w:t xml:space="preserve"> </w:t>
      </w:r>
      <w:r w:rsidRPr="00FD2498">
        <w:rPr>
          <w:rFonts w:ascii="Arial" w:hAnsi="Arial" w:cs="Arial"/>
          <w:color w:val="000000"/>
          <w:sz w:val="20"/>
          <w:szCs w:val="20"/>
        </w:rPr>
        <w:t xml:space="preserve">con diferentes dosis de ambos antígenos </w:t>
      </w:r>
      <w:r w:rsidR="003C735A" w:rsidRPr="00FD2498">
        <w:rPr>
          <w:rFonts w:ascii="Arial" w:hAnsi="Arial" w:cs="Arial"/>
          <w:color w:val="000000"/>
          <w:sz w:val="20"/>
          <w:szCs w:val="20"/>
        </w:rPr>
        <w:t xml:space="preserve">antes y </w:t>
      </w:r>
      <w:r w:rsidRPr="00FD2498">
        <w:rPr>
          <w:rFonts w:ascii="Arial" w:hAnsi="Arial" w:cs="Arial"/>
          <w:color w:val="000000"/>
          <w:sz w:val="20"/>
          <w:szCs w:val="20"/>
        </w:rPr>
        <w:t>posteriormente a</w:t>
      </w:r>
      <w:r w:rsidR="003C735A" w:rsidRPr="00FD2498">
        <w:rPr>
          <w:rFonts w:ascii="Arial" w:hAnsi="Arial" w:cs="Arial"/>
          <w:color w:val="000000"/>
          <w:sz w:val="20"/>
          <w:szCs w:val="20"/>
        </w:rPr>
        <w:t xml:space="preserve"> la vacunación en sujetos sanos y en un sujeto con Inmunodeficiencia variable común</w:t>
      </w:r>
      <w:r w:rsidR="00F5733F">
        <w:rPr>
          <w:rFonts w:ascii="Arial" w:hAnsi="Arial" w:cs="Arial"/>
          <w:color w:val="000000"/>
          <w:sz w:val="20"/>
          <w:szCs w:val="20"/>
        </w:rPr>
        <w:t xml:space="preserve"> (IDVC) y estudiándose</w:t>
      </w:r>
      <w:r w:rsidR="00AD60D2" w:rsidRPr="00FD2498">
        <w:rPr>
          <w:rFonts w:ascii="Arial" w:hAnsi="Arial" w:cs="Arial"/>
          <w:color w:val="000000"/>
          <w:sz w:val="20"/>
          <w:szCs w:val="20"/>
        </w:rPr>
        <w:t xml:space="preserve"> la res</w:t>
      </w:r>
      <w:r w:rsidR="00024934" w:rsidRPr="00FD2498">
        <w:rPr>
          <w:rFonts w:ascii="Arial" w:hAnsi="Arial" w:cs="Arial"/>
          <w:color w:val="000000"/>
          <w:sz w:val="20"/>
          <w:szCs w:val="20"/>
        </w:rPr>
        <w:t xml:space="preserve">puesta humoral </w:t>
      </w:r>
      <w:r w:rsidR="00F5733F">
        <w:rPr>
          <w:rFonts w:ascii="Arial" w:hAnsi="Arial" w:cs="Arial"/>
          <w:color w:val="000000"/>
          <w:sz w:val="20"/>
          <w:szCs w:val="20"/>
        </w:rPr>
        <w:t xml:space="preserve">mediante la determinación de </w:t>
      </w:r>
      <w:r w:rsidRPr="00FD2498">
        <w:rPr>
          <w:rFonts w:ascii="Arial" w:hAnsi="Arial" w:cs="Arial"/>
          <w:color w:val="000000"/>
          <w:sz w:val="20"/>
          <w:szCs w:val="20"/>
        </w:rPr>
        <w:t>inmunoglobulinas</w:t>
      </w:r>
      <w:r w:rsidR="003C735A" w:rsidRPr="00FD2498">
        <w:rPr>
          <w:rFonts w:ascii="Arial" w:hAnsi="Arial" w:cs="Arial"/>
          <w:color w:val="000000"/>
          <w:sz w:val="20"/>
          <w:szCs w:val="20"/>
        </w:rPr>
        <w:t xml:space="preserve"> e interleuquinas</w:t>
      </w:r>
      <w:r w:rsidRPr="00FD2498">
        <w:rPr>
          <w:rFonts w:ascii="Arial" w:hAnsi="Arial" w:cs="Arial"/>
          <w:color w:val="000000"/>
          <w:sz w:val="20"/>
          <w:szCs w:val="20"/>
        </w:rPr>
        <w:t xml:space="preserve"> en los sobrenadantes</w:t>
      </w:r>
      <w:r w:rsidR="003C735A" w:rsidRPr="00FD2498">
        <w:rPr>
          <w:rFonts w:ascii="Arial" w:hAnsi="Arial" w:cs="Arial"/>
          <w:color w:val="000000"/>
          <w:sz w:val="20"/>
          <w:szCs w:val="20"/>
        </w:rPr>
        <w:t>.</w:t>
      </w:r>
      <w:r w:rsidR="00E63B20" w:rsidRPr="00FD2498">
        <w:rPr>
          <w:rFonts w:ascii="Arial" w:hAnsi="Arial" w:cs="Arial"/>
          <w:color w:val="000000"/>
          <w:sz w:val="20"/>
          <w:szCs w:val="20"/>
        </w:rPr>
        <w:t xml:space="preserve"> </w:t>
      </w:r>
      <w:r w:rsidR="00E63B20" w:rsidRPr="00FD2498">
        <w:rPr>
          <w:rFonts w:ascii="Arial" w:hAnsi="Arial" w:cs="Arial"/>
          <w:sz w:val="20"/>
          <w:szCs w:val="20"/>
          <w:lang w:val="es-ES"/>
        </w:rPr>
        <w:t>En individ</w:t>
      </w:r>
      <w:r w:rsidR="00AD60D2" w:rsidRPr="00FD2498">
        <w:rPr>
          <w:rFonts w:ascii="Arial" w:hAnsi="Arial" w:cs="Arial"/>
          <w:sz w:val="20"/>
          <w:szCs w:val="20"/>
          <w:lang w:val="es-ES"/>
        </w:rPr>
        <w:t>uos inmunocompetentes, la</w:t>
      </w:r>
      <w:r w:rsidR="00E63B20" w:rsidRPr="00FD2498">
        <w:rPr>
          <w:rFonts w:ascii="Arial" w:hAnsi="Arial" w:cs="Arial"/>
          <w:sz w:val="20"/>
          <w:szCs w:val="20"/>
          <w:lang w:val="es-ES"/>
        </w:rPr>
        <w:t xml:space="preserve"> proliferación linfoc</w:t>
      </w:r>
      <w:r w:rsidR="00821DE1" w:rsidRPr="00FD2498">
        <w:rPr>
          <w:rFonts w:ascii="Arial" w:hAnsi="Arial" w:cs="Arial"/>
          <w:sz w:val="20"/>
          <w:szCs w:val="20"/>
          <w:lang w:val="es-ES"/>
        </w:rPr>
        <w:t>itaria ante</w:t>
      </w:r>
      <w:r w:rsidR="00E63B20" w:rsidRPr="00FD2498">
        <w:rPr>
          <w:rFonts w:ascii="Arial" w:hAnsi="Arial" w:cs="Arial"/>
          <w:sz w:val="20"/>
          <w:szCs w:val="20"/>
          <w:lang w:val="es-ES"/>
        </w:rPr>
        <w:t xml:space="preserve"> Typhim Vi® en re</w:t>
      </w:r>
      <w:r w:rsidR="00645394" w:rsidRPr="00FD2498">
        <w:rPr>
          <w:rFonts w:ascii="Arial" w:hAnsi="Arial" w:cs="Arial"/>
          <w:sz w:val="20"/>
          <w:szCs w:val="20"/>
          <w:lang w:val="es-ES"/>
        </w:rPr>
        <w:t>lación a</w:t>
      </w:r>
      <w:r w:rsidR="00821DE1" w:rsidRPr="00FD2498">
        <w:rPr>
          <w:rFonts w:ascii="Arial" w:hAnsi="Arial" w:cs="Arial"/>
          <w:sz w:val="20"/>
          <w:szCs w:val="20"/>
          <w:lang w:val="es-ES"/>
        </w:rPr>
        <w:t xml:space="preserve"> dosis </w:t>
      </w:r>
      <w:r w:rsidR="00E63B20" w:rsidRPr="00FD2498">
        <w:rPr>
          <w:rFonts w:ascii="Arial" w:hAnsi="Arial" w:cs="Arial"/>
          <w:sz w:val="20"/>
          <w:szCs w:val="20"/>
          <w:lang w:val="es-ES"/>
        </w:rPr>
        <w:t xml:space="preserve"> y al tiempo transc</w:t>
      </w:r>
      <w:r w:rsidR="00024934" w:rsidRPr="00FD2498">
        <w:rPr>
          <w:rFonts w:ascii="Arial" w:hAnsi="Arial" w:cs="Arial"/>
          <w:sz w:val="20"/>
          <w:szCs w:val="20"/>
          <w:lang w:val="es-ES"/>
        </w:rPr>
        <w:t>urri</w:t>
      </w:r>
      <w:r w:rsidR="00645394" w:rsidRPr="00FD2498">
        <w:rPr>
          <w:rFonts w:ascii="Arial" w:hAnsi="Arial" w:cs="Arial"/>
          <w:sz w:val="20"/>
          <w:szCs w:val="20"/>
          <w:lang w:val="es-ES"/>
        </w:rPr>
        <w:t>do</w:t>
      </w:r>
      <w:r w:rsidR="00E63B20" w:rsidRPr="00FD2498">
        <w:rPr>
          <w:rFonts w:ascii="Arial" w:hAnsi="Arial" w:cs="Arial"/>
          <w:sz w:val="20"/>
          <w:szCs w:val="20"/>
          <w:lang w:val="es-ES"/>
        </w:rPr>
        <w:t>, muestra resultados equivalentes</w:t>
      </w:r>
      <w:r w:rsidR="00024934" w:rsidRPr="00FD2498">
        <w:rPr>
          <w:rFonts w:ascii="Arial" w:hAnsi="Arial" w:cs="Arial"/>
          <w:sz w:val="20"/>
          <w:szCs w:val="20"/>
          <w:lang w:val="es-ES"/>
        </w:rPr>
        <w:t xml:space="preserve"> a los de</w:t>
      </w:r>
      <w:r w:rsidR="00AD60D2" w:rsidRPr="00FD2498">
        <w:rPr>
          <w:rFonts w:ascii="Arial" w:hAnsi="Arial" w:cs="Arial"/>
          <w:sz w:val="20"/>
          <w:szCs w:val="20"/>
          <w:lang w:val="es-ES"/>
        </w:rPr>
        <w:t xml:space="preserve"> Pneumovax®.  N</w:t>
      </w:r>
      <w:r w:rsidR="00313C09" w:rsidRPr="00FD2498">
        <w:rPr>
          <w:rFonts w:ascii="Arial" w:hAnsi="Arial" w:cs="Arial"/>
          <w:sz w:val="20"/>
          <w:szCs w:val="20"/>
          <w:lang w:val="es-VE"/>
        </w:rPr>
        <w:t xml:space="preserve">uestros resultados, aunque muy preliminares, muestran un mayor efecto inductor de interleuquinas </w:t>
      </w:r>
      <w:r w:rsidR="00645394" w:rsidRPr="00FD2498">
        <w:rPr>
          <w:rFonts w:ascii="Arial" w:hAnsi="Arial" w:cs="Arial"/>
          <w:sz w:val="20"/>
          <w:szCs w:val="20"/>
          <w:lang w:val="es-VE"/>
        </w:rPr>
        <w:t xml:space="preserve"> </w:t>
      </w:r>
      <w:r w:rsidRPr="00FD2498">
        <w:rPr>
          <w:rFonts w:ascii="Arial" w:hAnsi="Arial" w:cs="Arial"/>
          <w:sz w:val="20"/>
          <w:szCs w:val="20"/>
          <w:lang w:val="es-VE"/>
        </w:rPr>
        <w:t>fren</w:t>
      </w:r>
      <w:r w:rsidR="00645394" w:rsidRPr="00FD2498">
        <w:rPr>
          <w:rFonts w:ascii="Arial" w:hAnsi="Arial" w:cs="Arial"/>
          <w:sz w:val="20"/>
          <w:szCs w:val="20"/>
          <w:lang w:val="es-VE"/>
        </w:rPr>
        <w:t>te</w:t>
      </w:r>
      <w:r w:rsidR="00313C09" w:rsidRPr="00FD2498">
        <w:rPr>
          <w:rFonts w:ascii="Arial" w:hAnsi="Arial" w:cs="Arial"/>
          <w:sz w:val="20"/>
          <w:szCs w:val="20"/>
          <w:lang w:val="es-VE"/>
        </w:rPr>
        <w:t xml:space="preserve"> </w:t>
      </w:r>
      <w:r w:rsidR="00313C09" w:rsidRPr="00FD2498">
        <w:rPr>
          <w:rFonts w:ascii="Arial" w:hAnsi="Arial" w:cs="Arial"/>
          <w:i/>
          <w:sz w:val="20"/>
          <w:szCs w:val="20"/>
          <w:lang w:val="es-VE"/>
        </w:rPr>
        <w:t>S. Typhi</w:t>
      </w:r>
      <w:r w:rsidR="00645394" w:rsidRPr="00FD2498">
        <w:rPr>
          <w:rFonts w:ascii="Arial" w:hAnsi="Arial" w:cs="Arial"/>
          <w:sz w:val="20"/>
          <w:szCs w:val="20"/>
          <w:lang w:val="es-VE"/>
        </w:rPr>
        <w:t xml:space="preserve"> que frente</w:t>
      </w:r>
      <w:r w:rsidR="00024934" w:rsidRPr="00FD2498">
        <w:rPr>
          <w:rFonts w:ascii="Arial" w:hAnsi="Arial" w:cs="Arial"/>
          <w:sz w:val="20"/>
          <w:szCs w:val="20"/>
          <w:lang w:val="es-VE"/>
        </w:rPr>
        <w:t xml:space="preserve"> a</w:t>
      </w:r>
      <w:r w:rsidR="00313C09" w:rsidRPr="00FD2498">
        <w:rPr>
          <w:rFonts w:ascii="Arial" w:hAnsi="Arial" w:cs="Arial"/>
          <w:sz w:val="20"/>
          <w:szCs w:val="20"/>
          <w:lang w:val="es-VE"/>
        </w:rPr>
        <w:t xml:space="preserve"> </w:t>
      </w:r>
      <w:r w:rsidR="00313C09" w:rsidRPr="00FD2498">
        <w:rPr>
          <w:rFonts w:ascii="Arial" w:hAnsi="Arial" w:cs="Arial"/>
          <w:i/>
          <w:sz w:val="20"/>
          <w:szCs w:val="20"/>
          <w:lang w:val="es-VE"/>
        </w:rPr>
        <w:t>S. Pneumoniae</w:t>
      </w:r>
      <w:r w:rsidRPr="00FD2498">
        <w:rPr>
          <w:rFonts w:ascii="Arial" w:hAnsi="Arial" w:cs="Arial"/>
          <w:i/>
          <w:sz w:val="20"/>
          <w:szCs w:val="20"/>
          <w:lang w:val="es-VE"/>
        </w:rPr>
        <w:t xml:space="preserve"> </w:t>
      </w:r>
      <w:r w:rsidRPr="00FD2498">
        <w:rPr>
          <w:rFonts w:ascii="Arial" w:hAnsi="Arial" w:cs="Arial"/>
          <w:sz w:val="20"/>
          <w:szCs w:val="20"/>
          <w:lang w:val="es-VE"/>
        </w:rPr>
        <w:t>a igual dosis</w:t>
      </w:r>
      <w:r w:rsidR="00313C09" w:rsidRPr="00FD2498">
        <w:rPr>
          <w:rFonts w:ascii="Arial" w:hAnsi="Arial" w:cs="Arial"/>
          <w:sz w:val="20"/>
          <w:szCs w:val="20"/>
          <w:lang w:val="es-VE"/>
        </w:rPr>
        <w:t xml:space="preserve">. En el paciente con IDVC se observa un defecto de esta </w:t>
      </w:r>
      <w:r w:rsidRPr="00FD2498">
        <w:rPr>
          <w:rFonts w:ascii="Arial" w:hAnsi="Arial" w:cs="Arial"/>
          <w:sz w:val="20"/>
          <w:szCs w:val="20"/>
          <w:lang w:val="es-VE"/>
        </w:rPr>
        <w:t xml:space="preserve">última </w:t>
      </w:r>
      <w:r w:rsidR="00313C09" w:rsidRPr="00FD2498">
        <w:rPr>
          <w:rFonts w:ascii="Arial" w:hAnsi="Arial" w:cs="Arial"/>
          <w:sz w:val="20"/>
          <w:szCs w:val="20"/>
          <w:lang w:val="es-VE"/>
        </w:rPr>
        <w:t>respuesta</w:t>
      </w:r>
      <w:r w:rsidRPr="00FD2498">
        <w:rPr>
          <w:rFonts w:ascii="Arial" w:hAnsi="Arial" w:cs="Arial"/>
          <w:sz w:val="20"/>
          <w:szCs w:val="20"/>
          <w:lang w:val="es-VE"/>
        </w:rPr>
        <w:t xml:space="preserve">, lo que puede aportar datos </w:t>
      </w:r>
      <w:r w:rsidR="00F5733F">
        <w:rPr>
          <w:rFonts w:ascii="Arial" w:hAnsi="Arial" w:cs="Arial"/>
          <w:sz w:val="20"/>
          <w:szCs w:val="20"/>
          <w:lang w:val="es-VE"/>
        </w:rPr>
        <w:t>interesantes sobre el</w:t>
      </w:r>
      <w:r w:rsidRPr="00FD2498">
        <w:rPr>
          <w:rFonts w:ascii="Arial" w:hAnsi="Arial" w:cs="Arial"/>
          <w:sz w:val="20"/>
          <w:szCs w:val="20"/>
          <w:lang w:val="es-VE"/>
        </w:rPr>
        <w:t xml:space="preserve"> defecto celular subyacente a esta inmunodeficiencia</w:t>
      </w:r>
      <w:r w:rsidR="00313C09" w:rsidRPr="00FD2498">
        <w:rPr>
          <w:rFonts w:ascii="Arial" w:hAnsi="Arial" w:cs="Arial"/>
          <w:sz w:val="20"/>
          <w:szCs w:val="20"/>
          <w:lang w:val="es-VE"/>
        </w:rPr>
        <w:t>.</w:t>
      </w:r>
      <w:r w:rsidR="00AD60D2" w:rsidRPr="00FD2498">
        <w:rPr>
          <w:rFonts w:ascii="Arial" w:hAnsi="Arial" w:cs="Arial"/>
          <w:sz w:val="20"/>
          <w:szCs w:val="20"/>
          <w:lang w:val="es-VE"/>
        </w:rPr>
        <w:t xml:space="preserve"> </w:t>
      </w:r>
      <w:r w:rsidRPr="00FD2498">
        <w:rPr>
          <w:rFonts w:ascii="Arial" w:hAnsi="Arial" w:cs="Arial"/>
          <w:sz w:val="20"/>
          <w:szCs w:val="20"/>
          <w:lang w:val="es-VE"/>
        </w:rPr>
        <w:t>Será necesario confirmar con un número mayor de individuos sanos y con déficit de producción de anticuerpos</w:t>
      </w:r>
      <w:r w:rsidR="00AD60D2" w:rsidRPr="00FD2498">
        <w:rPr>
          <w:rFonts w:ascii="Arial" w:hAnsi="Arial" w:cs="Arial"/>
          <w:sz w:val="20"/>
          <w:szCs w:val="20"/>
          <w:lang w:val="es-VE"/>
        </w:rPr>
        <w:t xml:space="preserve"> la utilidad práctica</w:t>
      </w:r>
      <w:r w:rsidR="00024934" w:rsidRPr="00FD2498">
        <w:rPr>
          <w:rFonts w:ascii="Arial" w:hAnsi="Arial" w:cs="Arial"/>
          <w:sz w:val="20"/>
          <w:szCs w:val="20"/>
          <w:lang w:val="es-VE"/>
        </w:rPr>
        <w:t xml:space="preserve"> de este mét</w:t>
      </w:r>
      <w:r w:rsidR="0069768A" w:rsidRPr="00FD2498">
        <w:rPr>
          <w:rFonts w:ascii="Arial" w:hAnsi="Arial" w:cs="Arial"/>
          <w:sz w:val="20"/>
          <w:szCs w:val="20"/>
          <w:lang w:val="es-VE"/>
        </w:rPr>
        <w:t>odo en el diagnóstico</w:t>
      </w:r>
      <w:r w:rsidR="00024934" w:rsidRPr="00FD2498">
        <w:rPr>
          <w:rFonts w:ascii="Arial" w:hAnsi="Arial" w:cs="Arial"/>
          <w:sz w:val="20"/>
          <w:szCs w:val="20"/>
          <w:lang w:val="es-VE"/>
        </w:rPr>
        <w:t xml:space="preserve"> de </w:t>
      </w:r>
      <w:r w:rsidR="0069768A" w:rsidRPr="00FD2498">
        <w:rPr>
          <w:rFonts w:ascii="Arial" w:hAnsi="Arial" w:cs="Arial"/>
          <w:sz w:val="20"/>
          <w:szCs w:val="20"/>
          <w:lang w:val="es-VE"/>
        </w:rPr>
        <w:t xml:space="preserve">las </w:t>
      </w:r>
      <w:r w:rsidR="00024934" w:rsidRPr="00FD2498">
        <w:rPr>
          <w:rFonts w:ascii="Arial" w:hAnsi="Arial" w:cs="Arial"/>
          <w:sz w:val="20"/>
          <w:szCs w:val="20"/>
          <w:lang w:val="es-VE"/>
        </w:rPr>
        <w:t>inmunodeficiencias</w:t>
      </w:r>
      <w:r w:rsidR="00AD60D2" w:rsidRPr="00FD2498">
        <w:rPr>
          <w:rFonts w:ascii="Arial" w:hAnsi="Arial" w:cs="Arial"/>
          <w:sz w:val="20"/>
          <w:szCs w:val="20"/>
          <w:lang w:val="es-VE"/>
        </w:rPr>
        <w:t>.</w:t>
      </w:r>
    </w:p>
    <w:p w:rsidR="00FB042A" w:rsidRPr="00FD2498" w:rsidRDefault="00FB042A" w:rsidP="00440AAB">
      <w:pPr>
        <w:jc w:val="both"/>
        <w:rPr>
          <w:rFonts w:ascii="Arial" w:hAnsi="Arial" w:cs="Arial"/>
          <w:sz w:val="20"/>
          <w:szCs w:val="20"/>
          <w:lang w:val="es-ES"/>
        </w:rPr>
      </w:pPr>
    </w:p>
    <w:p w:rsidR="00024934" w:rsidRPr="00FD2498" w:rsidRDefault="00024934" w:rsidP="00440AAB">
      <w:pPr>
        <w:jc w:val="both"/>
        <w:rPr>
          <w:rFonts w:ascii="Arial" w:hAnsi="Arial" w:cs="Arial"/>
          <w:b/>
          <w:sz w:val="20"/>
          <w:szCs w:val="20"/>
          <w:lang w:val="es-ES"/>
        </w:rPr>
      </w:pPr>
      <w:r w:rsidRPr="00FD2498">
        <w:rPr>
          <w:rFonts w:ascii="Arial" w:hAnsi="Arial" w:cs="Arial"/>
          <w:b/>
          <w:sz w:val="20"/>
          <w:szCs w:val="20"/>
          <w:lang w:val="es-ES"/>
        </w:rPr>
        <w:t xml:space="preserve">PALABRAS CLAVE: </w:t>
      </w:r>
      <w:r w:rsidRPr="00FD2498">
        <w:rPr>
          <w:rFonts w:ascii="Arial" w:hAnsi="Arial" w:cs="Arial"/>
          <w:sz w:val="20"/>
          <w:szCs w:val="20"/>
          <w:lang w:val="es-ES"/>
        </w:rPr>
        <w:t xml:space="preserve">Respuesta linfoproliferativa, producción de anticuerpos y </w:t>
      </w:r>
      <w:r w:rsidRPr="00FD2498">
        <w:rPr>
          <w:rFonts w:ascii="Arial" w:hAnsi="Arial" w:cs="Arial"/>
          <w:i/>
          <w:sz w:val="20"/>
          <w:szCs w:val="20"/>
          <w:lang w:val="es-ES"/>
        </w:rPr>
        <w:t>Salmonella Typhi</w:t>
      </w:r>
      <w:r w:rsidRPr="00FD2498">
        <w:rPr>
          <w:rFonts w:ascii="Arial" w:hAnsi="Arial" w:cs="Arial"/>
          <w:sz w:val="20"/>
          <w:szCs w:val="20"/>
          <w:lang w:val="es-ES"/>
        </w:rPr>
        <w:t>.</w:t>
      </w:r>
    </w:p>
    <w:p w:rsidR="00FB042A" w:rsidRPr="003946AF" w:rsidRDefault="00FB042A" w:rsidP="00440AAB">
      <w:pPr>
        <w:jc w:val="both"/>
        <w:rPr>
          <w:rFonts w:ascii="Arial" w:hAnsi="Arial" w:cs="Arial"/>
          <w:lang w:val="es-ES"/>
        </w:rPr>
      </w:pPr>
    </w:p>
    <w:p w:rsidR="00820F70" w:rsidRDefault="00820F70" w:rsidP="0073248D">
      <w:pPr>
        <w:jc w:val="both"/>
        <w:rPr>
          <w:rFonts w:ascii="Arial" w:hAnsi="Arial" w:cs="Arial"/>
          <w:b/>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FD2498" w:rsidRDefault="00FD2498" w:rsidP="0073248D">
      <w:pPr>
        <w:jc w:val="both"/>
        <w:rPr>
          <w:rFonts w:ascii="Arial" w:hAnsi="Arial" w:cs="Arial"/>
          <w:b/>
          <w:sz w:val="20"/>
          <w:szCs w:val="20"/>
          <w:lang w:val="es-ES"/>
        </w:rPr>
      </w:pPr>
    </w:p>
    <w:p w:rsidR="0073248D" w:rsidRPr="00DD428E" w:rsidRDefault="0073248D" w:rsidP="0073248D">
      <w:pPr>
        <w:jc w:val="both"/>
        <w:rPr>
          <w:rFonts w:ascii="Arial" w:hAnsi="Arial" w:cs="Arial"/>
          <w:b/>
          <w:sz w:val="20"/>
          <w:szCs w:val="20"/>
          <w:lang w:val="es-ES"/>
        </w:rPr>
      </w:pPr>
      <w:r w:rsidRPr="00DD428E">
        <w:rPr>
          <w:rFonts w:ascii="Arial" w:hAnsi="Arial" w:cs="Arial"/>
          <w:b/>
          <w:sz w:val="20"/>
          <w:szCs w:val="20"/>
          <w:lang w:val="es-ES"/>
        </w:rPr>
        <w:lastRenderedPageBreak/>
        <w:t>1. INTRODUCCION</w:t>
      </w:r>
    </w:p>
    <w:p w:rsidR="0073248D" w:rsidRPr="00DD428E" w:rsidRDefault="0073248D" w:rsidP="0073248D">
      <w:pPr>
        <w:jc w:val="both"/>
        <w:rPr>
          <w:rFonts w:ascii="Arial" w:hAnsi="Arial" w:cs="Arial"/>
          <w:sz w:val="20"/>
          <w:szCs w:val="20"/>
          <w:lang w:val="es-ES"/>
        </w:rPr>
      </w:pPr>
    </w:p>
    <w:p w:rsidR="0073248D" w:rsidRPr="00DD428E" w:rsidRDefault="0073248D" w:rsidP="008E2721">
      <w:pPr>
        <w:jc w:val="both"/>
        <w:rPr>
          <w:rFonts w:ascii="Arial" w:hAnsi="Arial" w:cs="Arial"/>
          <w:sz w:val="20"/>
          <w:szCs w:val="20"/>
        </w:rPr>
      </w:pPr>
      <w:r w:rsidRPr="00DD428E">
        <w:rPr>
          <w:rFonts w:ascii="Arial" w:hAnsi="Arial" w:cs="Arial"/>
          <w:sz w:val="20"/>
          <w:szCs w:val="20"/>
        </w:rPr>
        <w:t>La inmunidad humoral ha sido utilizada durante mucho tiempo como una medida consensuada de inmunización adecuada. La presencia de anticuerpos antígeno-específicos indica exposición al antígeno, y por tanto, es considerada como prueba de inmunidad al mismo</w:t>
      </w:r>
      <w:r w:rsidR="008D4065" w:rsidRPr="00DD428E">
        <w:rPr>
          <w:rFonts w:ascii="Arial" w:hAnsi="Arial" w:cs="Arial"/>
          <w:sz w:val="20"/>
          <w:szCs w:val="20"/>
        </w:rPr>
        <w:t xml:space="preserve"> (1)</w:t>
      </w:r>
      <w:r w:rsidRPr="00DD428E">
        <w:rPr>
          <w:rFonts w:ascii="Arial" w:hAnsi="Arial" w:cs="Arial"/>
          <w:sz w:val="20"/>
          <w:szCs w:val="20"/>
        </w:rPr>
        <w:t>. El estudio de los títulos de anticuerpos específicos es una herramienta fundamental en la interpretación de la respuesta inmunológica y en el diagnóstico de los déficits de producción de anticuerpos, ya sean aislados (deficiencia selectiva de anticuerpos) o en el contexto de otras inmunodeficiencias primarias (inmunodeficiencia variable común, deficiencia de subclases, entre otras)</w:t>
      </w:r>
      <w:r w:rsidR="001E0BF6" w:rsidRPr="00DD428E">
        <w:rPr>
          <w:rFonts w:ascii="Arial" w:hAnsi="Arial" w:cs="Arial"/>
          <w:sz w:val="20"/>
          <w:szCs w:val="20"/>
        </w:rPr>
        <w:t xml:space="preserve"> (2)</w:t>
      </w:r>
      <w:r w:rsidRPr="00DD428E">
        <w:rPr>
          <w:rFonts w:ascii="Arial" w:hAnsi="Arial" w:cs="Arial"/>
          <w:sz w:val="20"/>
          <w:szCs w:val="20"/>
        </w:rPr>
        <w:t xml:space="preserve">. Sin embargo, la interpretación de los resultados puede entrañar dificultad, debido a que sujetos con una respuesta inmunológica normal pueden presentar niveles bajos de producción de anticuerpos específicos. El toxoide tetánico es un potente inmunógeno y se ha utilizado universalmente para evaluar la respuesta frente a antígeno proteico. La primera vacuna utilizada para evaluar la respuesta frente a antígeno polisacárido puro fue la de </w:t>
      </w:r>
      <w:r w:rsidRPr="00DD428E">
        <w:rPr>
          <w:rFonts w:ascii="Arial" w:hAnsi="Arial" w:cs="Arial"/>
          <w:i/>
          <w:sz w:val="20"/>
          <w:szCs w:val="20"/>
        </w:rPr>
        <w:t>Haemophilus influenzae tipo b</w:t>
      </w:r>
      <w:r w:rsidRPr="00DD428E">
        <w:rPr>
          <w:rFonts w:ascii="Arial" w:hAnsi="Arial" w:cs="Arial"/>
          <w:sz w:val="20"/>
          <w:szCs w:val="20"/>
        </w:rPr>
        <w:t xml:space="preserve"> (Hib), mediante tests de enzimoinmunoensayo (ELISA) que miden la respuesta de producción de IgG total o de subclases de IgG. El desarrollo y la implantación de una vacuna conjugada Hib ha complicado la realización de un tests tras inmunización frente a antígeno polisacárido puro. La vacuna con 23 serotipos frente a antígeno polisacárido capsular del neumococo (Pneumo 23</w:t>
      </w:r>
      <w:r w:rsidRPr="00DD428E">
        <w:rPr>
          <w:rFonts w:ascii="Arial" w:hAnsi="Arial" w:cs="Arial"/>
          <w:bCs/>
          <w:kern w:val="28"/>
          <w:sz w:val="20"/>
          <w:szCs w:val="20"/>
        </w:rPr>
        <w:t>®</w:t>
      </w:r>
      <w:r w:rsidRPr="00DD428E">
        <w:rPr>
          <w:rFonts w:ascii="Arial" w:hAnsi="Arial" w:cs="Arial"/>
          <w:sz w:val="20"/>
          <w:szCs w:val="20"/>
        </w:rPr>
        <w:t>) es la más utilizada en la actualidad para evaluar la respuesta inmunológica frente a polisacárido. Sin embargo, el desarrollo y la implantación de una vacuna conjugada heptavalente frente a neumococo (Prevenar®) dificulta la interpretación de la respuesta inmunológica frente a antígeno polisacárido puro, lo que obligará en un futuro próximo a que ya no sea útil para evaluar esta respuesta</w:t>
      </w:r>
      <w:r w:rsidR="001E0BF6" w:rsidRPr="00DD428E">
        <w:rPr>
          <w:rFonts w:ascii="Arial" w:hAnsi="Arial" w:cs="Arial"/>
          <w:sz w:val="20"/>
          <w:szCs w:val="20"/>
        </w:rPr>
        <w:t xml:space="preserve"> (3)</w:t>
      </w:r>
      <w:r w:rsidRPr="00DD428E">
        <w:rPr>
          <w:rFonts w:ascii="Arial" w:hAnsi="Arial" w:cs="Arial"/>
          <w:sz w:val="20"/>
          <w:szCs w:val="20"/>
        </w:rPr>
        <w:t>.</w:t>
      </w:r>
    </w:p>
    <w:p w:rsidR="0073248D" w:rsidRPr="00DD428E" w:rsidRDefault="0073248D" w:rsidP="008E2721">
      <w:pPr>
        <w:jc w:val="both"/>
        <w:rPr>
          <w:rFonts w:ascii="Arial" w:hAnsi="Arial" w:cs="Arial"/>
          <w:sz w:val="20"/>
          <w:szCs w:val="20"/>
          <w:lang w:val="es-ES"/>
        </w:rPr>
      </w:pPr>
      <w:r w:rsidRPr="00DD428E">
        <w:rPr>
          <w:rFonts w:ascii="Arial" w:hAnsi="Arial" w:cs="Arial"/>
          <w:sz w:val="20"/>
          <w:szCs w:val="20"/>
          <w:lang w:val="es-ES"/>
        </w:rPr>
        <w:t xml:space="preserve">Ante tal circunstancia, la respuesta de producción de anticuerpos frente a la vacuna Typhim Vi® (antígeno polisacárido puro frente a la </w:t>
      </w:r>
      <w:r w:rsidRPr="00DD428E">
        <w:rPr>
          <w:rFonts w:ascii="Arial" w:hAnsi="Arial" w:cs="Arial"/>
          <w:i/>
          <w:sz w:val="20"/>
          <w:szCs w:val="20"/>
          <w:lang w:val="es-ES"/>
        </w:rPr>
        <w:t>Samonella Typhi</w:t>
      </w:r>
      <w:r w:rsidRPr="00DD428E">
        <w:rPr>
          <w:rFonts w:ascii="Arial" w:hAnsi="Arial" w:cs="Arial"/>
          <w:sz w:val="20"/>
          <w:szCs w:val="20"/>
          <w:lang w:val="es-ES"/>
        </w:rPr>
        <w:t>) representa un método alternativo a la detección de anticuerpos frente al polisacárido neumocócico en el diagnóstico de déficits de producción de anticuerpos frente a antígeno polisacárido. Ambas vacunas están autorizadas por la Agencia Española de Medicamentos y Productos Sanitarios (AEMPS)</w:t>
      </w:r>
      <w:r w:rsidR="0023741E" w:rsidRPr="00DD428E">
        <w:rPr>
          <w:rFonts w:ascii="Arial" w:hAnsi="Arial" w:cs="Arial"/>
          <w:sz w:val="20"/>
          <w:szCs w:val="20"/>
          <w:lang w:val="es-ES"/>
        </w:rPr>
        <w:t xml:space="preserve"> (4)</w:t>
      </w:r>
      <w:r w:rsidRPr="00DD428E">
        <w:rPr>
          <w:rFonts w:ascii="Arial" w:hAnsi="Arial" w:cs="Arial"/>
          <w:sz w:val="20"/>
          <w:szCs w:val="20"/>
          <w:lang w:val="es-ES"/>
        </w:rPr>
        <w:t xml:space="preserve"> y comercializadas y tienen un espectro de seguridad similar de reacciones adversas. La medición de anticuerpos frente a la Salmonella tiene la ventaja de no tener interferencias por infecciones o inmunizaciones previas. Por otro lado, iniciar estudios que caractericen simultáneamente la respuesta celular y humoral frente estos antígenos en individuos sanos serviría de base para la profundizar la comprensión de la respuesta en los individuos inmunocomprometidos.    </w:t>
      </w:r>
    </w:p>
    <w:p w:rsidR="0073248D" w:rsidRPr="00DD428E" w:rsidRDefault="0073248D" w:rsidP="008E2721">
      <w:pPr>
        <w:jc w:val="both"/>
        <w:rPr>
          <w:rFonts w:ascii="Arial" w:hAnsi="Arial" w:cs="Arial"/>
          <w:sz w:val="20"/>
          <w:szCs w:val="20"/>
          <w:lang w:val="es-ES"/>
        </w:rPr>
      </w:pPr>
    </w:p>
    <w:p w:rsidR="008E2721" w:rsidRPr="00DD428E" w:rsidRDefault="0073248D" w:rsidP="008E2721">
      <w:pPr>
        <w:jc w:val="both"/>
        <w:rPr>
          <w:rFonts w:ascii="Arial" w:hAnsi="Arial" w:cs="Arial"/>
          <w:sz w:val="20"/>
          <w:szCs w:val="20"/>
          <w:lang w:val="es-ES"/>
        </w:rPr>
      </w:pPr>
      <w:r w:rsidRPr="00DD428E">
        <w:rPr>
          <w:rFonts w:ascii="Arial" w:hAnsi="Arial" w:cs="Arial"/>
          <w:sz w:val="20"/>
          <w:szCs w:val="20"/>
          <w:lang w:val="es-ES"/>
        </w:rPr>
        <w:t xml:space="preserve">La fiebre tifoidea es causada por la </w:t>
      </w:r>
      <w:r w:rsidRPr="00DD428E">
        <w:rPr>
          <w:rFonts w:ascii="Arial" w:hAnsi="Arial" w:cs="Arial"/>
          <w:i/>
          <w:sz w:val="20"/>
          <w:szCs w:val="20"/>
          <w:lang w:val="es-ES"/>
        </w:rPr>
        <w:t xml:space="preserve">Salmonella typhi, </w:t>
      </w:r>
      <w:r w:rsidRPr="00DD428E">
        <w:rPr>
          <w:rFonts w:ascii="Arial" w:hAnsi="Arial" w:cs="Arial"/>
          <w:sz w:val="20"/>
          <w:szCs w:val="20"/>
          <w:lang w:val="es-ES"/>
        </w:rPr>
        <w:t>una enterobacteria, cuyo único reservorio es el hombre, donde se desarrolla una patología, que es considerada un  problema de salud pública.  Su seroprevalencia es muy baja en países desarrollados como España, si bien es aún prevalente en el suroeste de Asia, Asía central, algunos países de América del sur, y África Subsahariana</w:t>
      </w:r>
      <w:r w:rsidR="001B1A5F" w:rsidRPr="00DD428E">
        <w:rPr>
          <w:rFonts w:ascii="Arial" w:hAnsi="Arial" w:cs="Arial"/>
          <w:sz w:val="20"/>
          <w:szCs w:val="20"/>
          <w:lang w:val="es-ES"/>
        </w:rPr>
        <w:t xml:space="preserve"> (5)</w:t>
      </w:r>
      <w:r w:rsidRPr="00DD428E">
        <w:rPr>
          <w:rFonts w:ascii="Arial" w:hAnsi="Arial" w:cs="Arial"/>
          <w:sz w:val="20"/>
          <w:szCs w:val="20"/>
          <w:lang w:val="es-ES"/>
        </w:rPr>
        <w:t>. La utilización de la vacuna Typhim Vi® está indicada en viajeros a zonas endémicas, personas en contacto con enfermos de fiebre tifoidea y personal de riesgo que trabaje en laboratorios de microbiología donde se maneje dicha bacteria.  No se encuentra en el calendario vacunal para la población infantil</w:t>
      </w:r>
      <w:r w:rsidR="00AF4A59" w:rsidRPr="00DD428E">
        <w:rPr>
          <w:rFonts w:ascii="Arial" w:hAnsi="Arial" w:cs="Arial"/>
          <w:sz w:val="20"/>
          <w:szCs w:val="20"/>
          <w:lang w:val="es-ES"/>
        </w:rPr>
        <w:t xml:space="preserve"> (6-7)</w:t>
      </w:r>
      <w:r w:rsidRPr="00DD428E">
        <w:rPr>
          <w:rFonts w:ascii="Arial" w:hAnsi="Arial" w:cs="Arial"/>
          <w:sz w:val="20"/>
          <w:szCs w:val="20"/>
          <w:lang w:val="es-ES"/>
        </w:rPr>
        <w:t>.</w:t>
      </w:r>
      <w:r w:rsidR="008E2721" w:rsidRPr="00DD428E">
        <w:rPr>
          <w:rFonts w:ascii="Arial" w:hAnsi="Arial" w:cs="Arial"/>
          <w:sz w:val="20"/>
          <w:szCs w:val="20"/>
          <w:lang w:val="es-ES"/>
        </w:rPr>
        <w:t xml:space="preserve">  </w:t>
      </w:r>
    </w:p>
    <w:p w:rsidR="008E2721" w:rsidRPr="00DD428E" w:rsidRDefault="008E2721" w:rsidP="008E2721">
      <w:pPr>
        <w:jc w:val="both"/>
        <w:rPr>
          <w:rFonts w:ascii="Arial" w:hAnsi="Arial" w:cs="Arial"/>
          <w:sz w:val="20"/>
          <w:szCs w:val="20"/>
          <w:lang w:val="es-ES"/>
        </w:rPr>
      </w:pPr>
    </w:p>
    <w:p w:rsidR="0073248D" w:rsidRPr="00DD428E" w:rsidRDefault="0073248D" w:rsidP="008E2721">
      <w:pPr>
        <w:jc w:val="both"/>
        <w:rPr>
          <w:rFonts w:ascii="Arial" w:hAnsi="Arial" w:cs="Arial"/>
          <w:color w:val="000000"/>
          <w:sz w:val="20"/>
          <w:szCs w:val="20"/>
        </w:rPr>
      </w:pPr>
      <w:r w:rsidRPr="00DD428E">
        <w:rPr>
          <w:rFonts w:ascii="Arial" w:hAnsi="Arial" w:cs="Arial"/>
          <w:color w:val="000000"/>
          <w:sz w:val="20"/>
          <w:szCs w:val="20"/>
          <w:lang w:val="es-ES"/>
        </w:rPr>
        <w:t xml:space="preserve">La Inmunodeficiencia variable común (IDVC) </w:t>
      </w:r>
      <w:r w:rsidRPr="00DD428E">
        <w:rPr>
          <w:rFonts w:ascii="Arial" w:hAnsi="Arial" w:cs="Arial"/>
          <w:color w:val="000000"/>
          <w:sz w:val="20"/>
          <w:szCs w:val="20"/>
        </w:rPr>
        <w:t>es un trastorno caracterizado por niveles bajos de inmunoglobulinas y una mayor susceptibilidad a infecciones. Los mecanismos causantes de esta enfermedad son aun desconocidos</w:t>
      </w:r>
      <w:r w:rsidR="00AF4A59" w:rsidRPr="00DD428E">
        <w:rPr>
          <w:rFonts w:ascii="Arial" w:hAnsi="Arial" w:cs="Arial"/>
          <w:color w:val="000000"/>
          <w:sz w:val="20"/>
          <w:szCs w:val="20"/>
        </w:rPr>
        <w:t xml:space="preserve"> (8)</w:t>
      </w:r>
      <w:r w:rsidRPr="00DD428E">
        <w:rPr>
          <w:rFonts w:ascii="Arial" w:hAnsi="Arial" w:cs="Arial"/>
          <w:color w:val="000000"/>
          <w:sz w:val="20"/>
          <w:szCs w:val="20"/>
        </w:rPr>
        <w:t>. Representan una forma relativamente común de inmunodeficiencia, característicamente el grado y tipo de deficiencia de inmunoglobulinas es bastante variable.  Pudiendo coexistir una reducción tanto en IgG como en IgA o presentar  disminución en los tres principales tipos de inmunoglobulinas se pueden encontrar reducidos</w:t>
      </w:r>
      <w:r w:rsidR="008E2721" w:rsidRPr="00DD428E">
        <w:rPr>
          <w:rFonts w:ascii="Arial" w:hAnsi="Arial" w:cs="Arial"/>
          <w:color w:val="000000"/>
          <w:sz w:val="20"/>
          <w:szCs w:val="20"/>
        </w:rPr>
        <w:t xml:space="preserve"> (9)</w:t>
      </w:r>
      <w:r w:rsidRPr="00DD428E">
        <w:rPr>
          <w:rFonts w:ascii="Arial" w:hAnsi="Arial" w:cs="Arial"/>
          <w:color w:val="000000"/>
          <w:sz w:val="20"/>
          <w:szCs w:val="20"/>
        </w:rPr>
        <w:t xml:space="preserve">.  La vacunación con antígenos se realiza de rutina en esta patología como fue descrito anteriormente. </w:t>
      </w:r>
    </w:p>
    <w:p w:rsidR="0073248D" w:rsidRPr="00DD428E" w:rsidRDefault="0073248D" w:rsidP="008E2721">
      <w:pPr>
        <w:jc w:val="both"/>
        <w:rPr>
          <w:rFonts w:ascii="Arial" w:hAnsi="Arial" w:cs="Arial"/>
          <w:color w:val="000000"/>
          <w:sz w:val="20"/>
          <w:szCs w:val="20"/>
        </w:rPr>
      </w:pPr>
    </w:p>
    <w:p w:rsidR="0073248D" w:rsidRPr="00DD428E" w:rsidRDefault="0073248D" w:rsidP="008E2721">
      <w:pPr>
        <w:jc w:val="both"/>
        <w:rPr>
          <w:rFonts w:ascii="Arial" w:hAnsi="Arial" w:cs="Arial"/>
          <w:color w:val="000000"/>
          <w:sz w:val="20"/>
          <w:szCs w:val="20"/>
        </w:rPr>
      </w:pPr>
      <w:r w:rsidRPr="00DD428E">
        <w:rPr>
          <w:rFonts w:ascii="Arial" w:hAnsi="Arial" w:cs="Arial"/>
          <w:color w:val="000000"/>
          <w:sz w:val="20"/>
          <w:szCs w:val="20"/>
        </w:rPr>
        <w:t xml:space="preserve">El principal objetivo de este estudio es evaluar la respuesta linfocitaria T y B frente a la vacuna de </w:t>
      </w:r>
      <w:r w:rsidRPr="00DD428E">
        <w:rPr>
          <w:rFonts w:ascii="Arial" w:hAnsi="Arial" w:cs="Arial"/>
          <w:i/>
          <w:color w:val="000000"/>
          <w:sz w:val="20"/>
          <w:szCs w:val="20"/>
        </w:rPr>
        <w:t xml:space="preserve">Salmonella Typhi </w:t>
      </w:r>
      <w:r w:rsidRPr="00DD428E">
        <w:rPr>
          <w:rFonts w:ascii="Arial" w:hAnsi="Arial" w:cs="Arial"/>
          <w:color w:val="000000"/>
          <w:sz w:val="20"/>
          <w:szCs w:val="20"/>
        </w:rPr>
        <w:t xml:space="preserve">en sujetos sanos que requieran la vacuna. A partir de observaciones en la respuesta normal, se obtendrían patrones de comparación para analizar la respuesta en los pacientes con déficit de producción de anticuerpos, en donde se han encontrado una amplia gama </w:t>
      </w:r>
      <w:r w:rsidRPr="00DD428E">
        <w:rPr>
          <w:rFonts w:ascii="Arial" w:hAnsi="Arial" w:cs="Arial"/>
          <w:color w:val="000000"/>
          <w:sz w:val="20"/>
          <w:szCs w:val="20"/>
        </w:rPr>
        <w:lastRenderedPageBreak/>
        <w:t>de defectos en la fisiología de linfocitos T y B, pero que dada la diversidad de los mismos se dificulta la  interpretación, así como la obtención de conclusiones susceptibles de ser generalizadas para la comprensión y tratamiento de esta enfermedad.</w:t>
      </w:r>
    </w:p>
    <w:p w:rsidR="00851430" w:rsidRPr="00DD428E" w:rsidRDefault="00851430" w:rsidP="0073248D">
      <w:pPr>
        <w:pStyle w:val="Textoindependiente"/>
        <w:spacing w:line="276" w:lineRule="auto"/>
        <w:jc w:val="both"/>
        <w:rPr>
          <w:rFonts w:ascii="Arial" w:hAnsi="Arial" w:cs="Arial"/>
          <w:color w:val="000000"/>
          <w:sz w:val="20"/>
          <w:szCs w:val="20"/>
          <w:lang w:val="es-ES_tradnl"/>
        </w:rPr>
      </w:pPr>
    </w:p>
    <w:p w:rsidR="00851430" w:rsidRPr="00DD428E" w:rsidRDefault="00095B87" w:rsidP="0073248D">
      <w:pPr>
        <w:pStyle w:val="Textoindependiente"/>
        <w:spacing w:line="276" w:lineRule="auto"/>
        <w:jc w:val="both"/>
        <w:rPr>
          <w:rFonts w:ascii="Arial" w:hAnsi="Arial" w:cs="Arial"/>
          <w:b/>
          <w:color w:val="000000"/>
          <w:sz w:val="20"/>
          <w:szCs w:val="20"/>
          <w:lang w:val="es-ES_tradnl"/>
        </w:rPr>
      </w:pPr>
      <w:r w:rsidRPr="00DD428E">
        <w:rPr>
          <w:rFonts w:ascii="Arial" w:hAnsi="Arial" w:cs="Arial"/>
          <w:b/>
          <w:color w:val="000000"/>
          <w:sz w:val="20"/>
          <w:szCs w:val="20"/>
          <w:lang w:val="es-ES_tradnl"/>
        </w:rPr>
        <w:t xml:space="preserve">2. </w:t>
      </w:r>
      <w:r w:rsidR="00851430" w:rsidRPr="00DD428E">
        <w:rPr>
          <w:rFonts w:ascii="Arial" w:hAnsi="Arial" w:cs="Arial"/>
          <w:b/>
          <w:color w:val="000000"/>
          <w:sz w:val="20"/>
          <w:szCs w:val="20"/>
          <w:lang w:val="es-ES_tradnl"/>
        </w:rPr>
        <w:t>OBJETIVOS</w:t>
      </w:r>
    </w:p>
    <w:p w:rsidR="00851430" w:rsidRPr="00DD428E" w:rsidRDefault="00095B87" w:rsidP="00851430">
      <w:pPr>
        <w:jc w:val="both"/>
        <w:rPr>
          <w:rFonts w:ascii="Arial" w:hAnsi="Arial" w:cs="Arial"/>
          <w:sz w:val="20"/>
          <w:szCs w:val="20"/>
          <w:lang w:val="es-ES"/>
        </w:rPr>
      </w:pPr>
      <w:r w:rsidRPr="00DD428E">
        <w:rPr>
          <w:rFonts w:ascii="Arial" w:hAnsi="Arial" w:cs="Arial"/>
          <w:sz w:val="20"/>
          <w:szCs w:val="20"/>
          <w:lang w:val="es-ES"/>
        </w:rPr>
        <w:t>2.</w:t>
      </w:r>
      <w:r w:rsidR="00851430" w:rsidRPr="00DD428E">
        <w:rPr>
          <w:rFonts w:ascii="Arial" w:hAnsi="Arial" w:cs="Arial"/>
          <w:sz w:val="20"/>
          <w:szCs w:val="20"/>
          <w:lang w:val="es-ES"/>
        </w:rPr>
        <w:t xml:space="preserve">1. Objetivo principal: </w:t>
      </w:r>
      <w:r w:rsidR="00851430" w:rsidRPr="00DD428E">
        <w:rPr>
          <w:rFonts w:ascii="Arial" w:hAnsi="Arial" w:cs="Arial"/>
          <w:color w:val="000000"/>
          <w:sz w:val="20"/>
          <w:szCs w:val="20"/>
        </w:rPr>
        <w:t xml:space="preserve">evaluar la respuesta linfocitaria T y B frente a la vacuna de </w:t>
      </w:r>
      <w:r w:rsidR="00851430" w:rsidRPr="00DD428E">
        <w:rPr>
          <w:rFonts w:ascii="Arial" w:hAnsi="Arial" w:cs="Arial"/>
          <w:i/>
          <w:color w:val="000000"/>
          <w:sz w:val="20"/>
          <w:szCs w:val="20"/>
        </w:rPr>
        <w:t>Salmonella Typhi</w:t>
      </w:r>
      <w:r w:rsidR="00851430" w:rsidRPr="00DD428E">
        <w:rPr>
          <w:rFonts w:ascii="Arial" w:hAnsi="Arial" w:cs="Arial"/>
          <w:color w:val="000000"/>
          <w:sz w:val="20"/>
          <w:szCs w:val="20"/>
        </w:rPr>
        <w:t xml:space="preserve"> en sujetos sanos.</w:t>
      </w:r>
    </w:p>
    <w:p w:rsidR="00095B87" w:rsidRPr="00DD428E" w:rsidRDefault="00095B87" w:rsidP="00851430">
      <w:pPr>
        <w:jc w:val="both"/>
        <w:rPr>
          <w:rFonts w:ascii="Arial" w:hAnsi="Arial" w:cs="Arial"/>
          <w:sz w:val="20"/>
          <w:szCs w:val="20"/>
          <w:lang w:val="es-ES"/>
        </w:rPr>
      </w:pPr>
    </w:p>
    <w:p w:rsidR="00851430" w:rsidRPr="00DD428E" w:rsidRDefault="00095B87" w:rsidP="00851430">
      <w:pPr>
        <w:jc w:val="both"/>
        <w:rPr>
          <w:rFonts w:ascii="Arial" w:hAnsi="Arial" w:cs="Arial"/>
          <w:sz w:val="20"/>
          <w:szCs w:val="20"/>
          <w:lang w:val="es-ES"/>
        </w:rPr>
      </w:pPr>
      <w:r w:rsidRPr="00DD428E">
        <w:rPr>
          <w:rFonts w:ascii="Arial" w:hAnsi="Arial" w:cs="Arial"/>
          <w:sz w:val="20"/>
          <w:szCs w:val="20"/>
          <w:lang w:val="es-ES"/>
        </w:rPr>
        <w:t>2.</w:t>
      </w:r>
      <w:r w:rsidR="00851430" w:rsidRPr="00DD428E">
        <w:rPr>
          <w:rFonts w:ascii="Arial" w:hAnsi="Arial" w:cs="Arial"/>
          <w:sz w:val="20"/>
          <w:szCs w:val="20"/>
          <w:lang w:val="es-ES"/>
        </w:rPr>
        <w:t>1.1.Determinar los efectos sobre la proliferación y diferenciación de linfocitos T CD4+ y CD8+ y B frente al antígeno Typhim Vi® en individuos inmunocompetentes.</w:t>
      </w:r>
    </w:p>
    <w:p w:rsidR="00851430" w:rsidRPr="00DD428E" w:rsidRDefault="00851430" w:rsidP="00851430">
      <w:pPr>
        <w:jc w:val="both"/>
        <w:rPr>
          <w:rFonts w:ascii="Arial" w:hAnsi="Arial" w:cs="Arial"/>
          <w:sz w:val="20"/>
          <w:szCs w:val="20"/>
          <w:lang w:val="es-ES"/>
        </w:rPr>
      </w:pPr>
    </w:p>
    <w:p w:rsidR="00851430" w:rsidRPr="00DD428E" w:rsidRDefault="00095B87" w:rsidP="00851430">
      <w:pPr>
        <w:jc w:val="both"/>
        <w:rPr>
          <w:rFonts w:ascii="Arial" w:hAnsi="Arial" w:cs="Arial"/>
          <w:sz w:val="20"/>
          <w:szCs w:val="20"/>
          <w:lang w:val="es-ES"/>
        </w:rPr>
      </w:pPr>
      <w:r w:rsidRPr="00DD428E">
        <w:rPr>
          <w:rFonts w:ascii="Arial" w:hAnsi="Arial" w:cs="Arial"/>
          <w:sz w:val="20"/>
          <w:szCs w:val="20"/>
          <w:lang w:val="es-ES"/>
        </w:rPr>
        <w:t>2.</w:t>
      </w:r>
      <w:r w:rsidR="00851430" w:rsidRPr="00DD428E">
        <w:rPr>
          <w:rFonts w:ascii="Arial" w:hAnsi="Arial" w:cs="Arial"/>
          <w:sz w:val="20"/>
          <w:szCs w:val="20"/>
          <w:lang w:val="es-ES"/>
        </w:rPr>
        <w:t>1.2. Comparar los efectos sobre la proliferación y diferenciación de linfocitos T y B frente a los antígenos Typhim Vi® y Pneumovax® en individuos inmunocompetentes.</w:t>
      </w:r>
    </w:p>
    <w:p w:rsidR="00851430" w:rsidRPr="00DD428E" w:rsidRDefault="00851430" w:rsidP="00851430">
      <w:pPr>
        <w:jc w:val="both"/>
        <w:rPr>
          <w:rFonts w:ascii="Arial" w:hAnsi="Arial" w:cs="Arial"/>
          <w:sz w:val="20"/>
          <w:szCs w:val="20"/>
          <w:lang w:val="es-ES"/>
        </w:rPr>
      </w:pPr>
    </w:p>
    <w:p w:rsidR="00851430" w:rsidRPr="00DD428E" w:rsidRDefault="00095B87" w:rsidP="00851430">
      <w:pPr>
        <w:jc w:val="both"/>
        <w:rPr>
          <w:rFonts w:ascii="Arial" w:hAnsi="Arial" w:cs="Arial"/>
          <w:sz w:val="20"/>
          <w:szCs w:val="20"/>
          <w:lang w:val="es-ES"/>
        </w:rPr>
      </w:pPr>
      <w:r w:rsidRPr="00DD428E">
        <w:rPr>
          <w:rFonts w:ascii="Arial" w:hAnsi="Arial" w:cs="Arial"/>
          <w:sz w:val="20"/>
          <w:szCs w:val="20"/>
          <w:lang w:val="es-ES"/>
        </w:rPr>
        <w:t>2.</w:t>
      </w:r>
      <w:r w:rsidR="00851430" w:rsidRPr="00DD428E">
        <w:rPr>
          <w:rFonts w:ascii="Arial" w:hAnsi="Arial" w:cs="Arial"/>
          <w:sz w:val="20"/>
          <w:szCs w:val="20"/>
          <w:lang w:val="es-ES"/>
        </w:rPr>
        <w:t>1.3. Determinar los efectos sobre la respuesta humoral frente al antígeno  Typhim Vi® en individuos inmunocompetentes.</w:t>
      </w:r>
    </w:p>
    <w:p w:rsidR="00851430" w:rsidRPr="00DD428E" w:rsidRDefault="00851430" w:rsidP="00851430">
      <w:pPr>
        <w:jc w:val="both"/>
        <w:rPr>
          <w:rFonts w:ascii="Arial" w:hAnsi="Arial" w:cs="Arial"/>
          <w:sz w:val="20"/>
          <w:szCs w:val="20"/>
          <w:lang w:val="es-ES"/>
        </w:rPr>
      </w:pPr>
    </w:p>
    <w:p w:rsidR="00851430" w:rsidRPr="00DD428E" w:rsidRDefault="00095B87" w:rsidP="00851430">
      <w:pPr>
        <w:jc w:val="both"/>
        <w:rPr>
          <w:rFonts w:ascii="Arial" w:hAnsi="Arial" w:cs="Arial"/>
          <w:sz w:val="20"/>
          <w:szCs w:val="20"/>
          <w:lang w:val="es-ES"/>
        </w:rPr>
      </w:pPr>
      <w:r w:rsidRPr="00DD428E">
        <w:rPr>
          <w:rFonts w:ascii="Arial" w:hAnsi="Arial" w:cs="Arial"/>
          <w:sz w:val="20"/>
          <w:szCs w:val="20"/>
          <w:lang w:val="es-ES"/>
        </w:rPr>
        <w:t>2.</w:t>
      </w:r>
      <w:r w:rsidR="00851430" w:rsidRPr="00DD428E">
        <w:rPr>
          <w:rFonts w:ascii="Arial" w:hAnsi="Arial" w:cs="Arial"/>
          <w:sz w:val="20"/>
          <w:szCs w:val="20"/>
          <w:lang w:val="es-ES"/>
        </w:rPr>
        <w:t>1.4. Comparar los efectos sobre la respuesta humoral específica frente a los antígenos Typhim Vi® y Pneumovax® en individuos inmunocompetentes.</w:t>
      </w:r>
    </w:p>
    <w:p w:rsidR="00851430" w:rsidRPr="00DD428E" w:rsidRDefault="00851430" w:rsidP="00851430">
      <w:pPr>
        <w:jc w:val="both"/>
        <w:rPr>
          <w:rFonts w:ascii="Arial" w:hAnsi="Arial" w:cs="Arial"/>
          <w:sz w:val="20"/>
          <w:szCs w:val="20"/>
          <w:lang w:val="es-ES"/>
        </w:rPr>
      </w:pPr>
    </w:p>
    <w:p w:rsidR="00851430" w:rsidRPr="00DD428E" w:rsidRDefault="00095B87" w:rsidP="00851430">
      <w:pPr>
        <w:jc w:val="both"/>
        <w:rPr>
          <w:rFonts w:ascii="Arial" w:hAnsi="Arial" w:cs="Arial"/>
          <w:sz w:val="20"/>
          <w:szCs w:val="20"/>
          <w:lang w:val="es-ES"/>
        </w:rPr>
      </w:pPr>
      <w:r w:rsidRPr="00DD428E">
        <w:rPr>
          <w:rFonts w:ascii="Arial" w:hAnsi="Arial" w:cs="Arial"/>
          <w:sz w:val="20"/>
          <w:szCs w:val="20"/>
          <w:lang w:val="es-ES"/>
        </w:rPr>
        <w:t>2.</w:t>
      </w:r>
      <w:r w:rsidR="00851430" w:rsidRPr="00DD428E">
        <w:rPr>
          <w:rFonts w:ascii="Arial" w:hAnsi="Arial" w:cs="Arial"/>
          <w:sz w:val="20"/>
          <w:szCs w:val="20"/>
          <w:lang w:val="es-ES"/>
        </w:rPr>
        <w:t>1.5. Determinar los niveles séricos de citoquinas pro- y anti-inflamatorias antes y tras la inmunización con vacunas polisacáridas puras Typhim Vi® y Pneumovax® en individuos inmunocompetentes.</w:t>
      </w:r>
    </w:p>
    <w:p w:rsidR="00851430" w:rsidRPr="00DD428E" w:rsidRDefault="00851430" w:rsidP="00851430">
      <w:pPr>
        <w:jc w:val="both"/>
        <w:rPr>
          <w:rFonts w:ascii="Arial" w:hAnsi="Arial" w:cs="Arial"/>
          <w:sz w:val="20"/>
          <w:szCs w:val="20"/>
          <w:lang w:val="es-ES"/>
        </w:rPr>
      </w:pPr>
    </w:p>
    <w:p w:rsidR="00851430" w:rsidRPr="00DD428E" w:rsidRDefault="00095B87" w:rsidP="00851430">
      <w:pPr>
        <w:jc w:val="both"/>
        <w:rPr>
          <w:rFonts w:ascii="Arial" w:hAnsi="Arial" w:cs="Arial"/>
          <w:sz w:val="20"/>
          <w:szCs w:val="20"/>
          <w:lang w:val="es-ES"/>
        </w:rPr>
      </w:pPr>
      <w:r w:rsidRPr="00DD428E">
        <w:rPr>
          <w:rFonts w:ascii="Arial" w:hAnsi="Arial" w:cs="Arial"/>
          <w:sz w:val="20"/>
          <w:szCs w:val="20"/>
          <w:lang w:val="es-ES"/>
        </w:rPr>
        <w:t>2.</w:t>
      </w:r>
      <w:r w:rsidR="00851430" w:rsidRPr="00DD428E">
        <w:rPr>
          <w:rFonts w:ascii="Arial" w:hAnsi="Arial" w:cs="Arial"/>
          <w:sz w:val="20"/>
          <w:szCs w:val="20"/>
          <w:lang w:val="es-ES"/>
        </w:rPr>
        <w:t>1.6. Determinar los niveles de citoquinas pro- y anti-inflamatorias en los sobrenadantes de cultivos de células mononucleares de sangre periférica antes y tras la inmunización con vacunas polisacáridas puras Typhim Vi® y Pneumovax® en individuos inmunocompetentes.</w:t>
      </w:r>
    </w:p>
    <w:p w:rsidR="00851430" w:rsidRPr="00DD428E" w:rsidRDefault="00851430">
      <w:pPr>
        <w:jc w:val="both"/>
        <w:rPr>
          <w:rFonts w:ascii="Arial" w:hAnsi="Arial" w:cs="Arial"/>
          <w:b/>
          <w:sz w:val="20"/>
          <w:szCs w:val="20"/>
          <w:lang w:val="es-ES"/>
        </w:rPr>
      </w:pPr>
    </w:p>
    <w:p w:rsidR="001614C2" w:rsidRPr="00DD428E" w:rsidRDefault="00095B87" w:rsidP="001614C2">
      <w:pPr>
        <w:jc w:val="both"/>
        <w:rPr>
          <w:rFonts w:ascii="Arial" w:hAnsi="Arial" w:cs="Arial"/>
          <w:b/>
          <w:sz w:val="20"/>
          <w:szCs w:val="20"/>
          <w:lang w:val="es-ES"/>
        </w:rPr>
      </w:pPr>
      <w:r w:rsidRPr="00DD428E">
        <w:rPr>
          <w:rFonts w:ascii="Arial" w:hAnsi="Arial" w:cs="Arial"/>
          <w:b/>
          <w:sz w:val="20"/>
          <w:szCs w:val="20"/>
          <w:lang w:val="es-ES"/>
        </w:rPr>
        <w:t xml:space="preserve">3. </w:t>
      </w:r>
      <w:r w:rsidR="001614C2" w:rsidRPr="00DD428E">
        <w:rPr>
          <w:rFonts w:ascii="Arial" w:hAnsi="Arial" w:cs="Arial"/>
          <w:b/>
          <w:sz w:val="20"/>
          <w:szCs w:val="20"/>
          <w:lang w:val="es-ES"/>
        </w:rPr>
        <w:t>MATERIALES Y METODOS</w:t>
      </w:r>
    </w:p>
    <w:p w:rsidR="001614C2" w:rsidRPr="00DD428E" w:rsidRDefault="001614C2" w:rsidP="001614C2">
      <w:pPr>
        <w:jc w:val="both"/>
        <w:rPr>
          <w:rFonts w:ascii="Arial" w:hAnsi="Arial" w:cs="Arial"/>
          <w:sz w:val="20"/>
          <w:szCs w:val="20"/>
          <w:lang w:val="es-ES"/>
        </w:rPr>
      </w:pPr>
    </w:p>
    <w:p w:rsidR="001614C2" w:rsidRPr="00DD428E" w:rsidRDefault="00095B87" w:rsidP="001614C2">
      <w:pPr>
        <w:jc w:val="both"/>
        <w:rPr>
          <w:rFonts w:ascii="Arial" w:hAnsi="Arial" w:cs="Arial"/>
          <w:b/>
          <w:sz w:val="20"/>
          <w:szCs w:val="20"/>
          <w:lang w:val="es-ES"/>
        </w:rPr>
      </w:pPr>
      <w:r w:rsidRPr="00DD428E">
        <w:rPr>
          <w:rFonts w:ascii="Arial" w:hAnsi="Arial" w:cs="Arial"/>
          <w:b/>
          <w:sz w:val="20"/>
          <w:szCs w:val="20"/>
          <w:lang w:val="es-ES"/>
        </w:rPr>
        <w:t>3</w:t>
      </w:r>
      <w:r w:rsidR="001614C2" w:rsidRPr="00DD428E">
        <w:rPr>
          <w:rFonts w:ascii="Arial" w:hAnsi="Arial" w:cs="Arial"/>
          <w:b/>
          <w:sz w:val="20"/>
          <w:szCs w:val="20"/>
          <w:lang w:val="es-ES"/>
        </w:rPr>
        <w:t>.1. Sujetos de estudio:</w:t>
      </w:r>
    </w:p>
    <w:p w:rsidR="001614C2" w:rsidRPr="00DD428E" w:rsidRDefault="001614C2" w:rsidP="001614C2">
      <w:pPr>
        <w:jc w:val="both"/>
        <w:rPr>
          <w:rFonts w:ascii="Arial" w:hAnsi="Arial" w:cs="Arial"/>
          <w:b/>
          <w:sz w:val="20"/>
          <w:szCs w:val="20"/>
          <w:lang w:val="es-ES"/>
        </w:rPr>
      </w:pPr>
    </w:p>
    <w:p w:rsidR="001614C2" w:rsidRPr="00DD428E" w:rsidRDefault="00095B87" w:rsidP="001614C2">
      <w:pPr>
        <w:jc w:val="both"/>
        <w:rPr>
          <w:rFonts w:ascii="Arial" w:hAnsi="Arial" w:cs="Arial"/>
          <w:sz w:val="20"/>
          <w:szCs w:val="20"/>
          <w:lang w:val="es-ES"/>
        </w:rPr>
      </w:pPr>
      <w:r w:rsidRPr="00DD428E">
        <w:rPr>
          <w:rFonts w:ascii="Arial" w:hAnsi="Arial" w:cs="Arial"/>
          <w:b/>
          <w:sz w:val="20"/>
          <w:szCs w:val="20"/>
          <w:lang w:val="es-ES"/>
        </w:rPr>
        <w:t>3</w:t>
      </w:r>
      <w:r w:rsidR="001614C2" w:rsidRPr="00DD428E">
        <w:rPr>
          <w:rFonts w:ascii="Arial" w:hAnsi="Arial" w:cs="Arial"/>
          <w:b/>
          <w:sz w:val="20"/>
          <w:szCs w:val="20"/>
          <w:lang w:val="es-ES"/>
        </w:rPr>
        <w:t>.2. Muestras</w:t>
      </w:r>
      <w:r w:rsidR="001614C2" w:rsidRPr="00DD428E">
        <w:rPr>
          <w:rFonts w:ascii="Arial" w:hAnsi="Arial" w:cs="Arial"/>
          <w:sz w:val="20"/>
          <w:szCs w:val="20"/>
          <w:lang w:val="es-ES"/>
        </w:rPr>
        <w:t xml:space="preserve">:  </w:t>
      </w:r>
    </w:p>
    <w:p w:rsidR="001614C2" w:rsidRPr="00DD428E" w:rsidRDefault="001614C2" w:rsidP="001614C2">
      <w:pPr>
        <w:jc w:val="both"/>
        <w:rPr>
          <w:rFonts w:ascii="Arial" w:hAnsi="Arial" w:cs="Arial"/>
          <w:sz w:val="20"/>
          <w:szCs w:val="20"/>
          <w:lang w:val="es-ES"/>
        </w:rPr>
      </w:pPr>
      <w:r w:rsidRPr="00DD428E">
        <w:rPr>
          <w:rFonts w:ascii="Arial" w:hAnsi="Arial" w:cs="Arial"/>
          <w:sz w:val="20"/>
          <w:szCs w:val="20"/>
          <w:lang w:val="es-ES"/>
        </w:rPr>
        <w:t>La recolección de los datos se llevó a cabo en dos fases. Durante la primera se puso a punto la concentración de antígeno para observar respuestas específicas en los ensayos de cultivo y proliferación celular.  En esta primera fase se estudiaron 11 individuos sanos voluntarios, en quienes se obtuvo una muestra de sangre periférica anticoagulada con hep</w:t>
      </w:r>
      <w:r w:rsidR="00095B87" w:rsidRPr="00DD428E">
        <w:rPr>
          <w:rFonts w:ascii="Arial" w:hAnsi="Arial" w:cs="Arial"/>
          <w:sz w:val="20"/>
          <w:szCs w:val="20"/>
          <w:lang w:val="es-ES"/>
        </w:rPr>
        <w:t>a</w:t>
      </w:r>
      <w:r w:rsidRPr="00DD428E">
        <w:rPr>
          <w:rFonts w:ascii="Arial" w:hAnsi="Arial" w:cs="Arial"/>
          <w:sz w:val="20"/>
          <w:szCs w:val="20"/>
          <w:lang w:val="es-ES"/>
        </w:rPr>
        <w:t xml:space="preserve">rina de litio, para el aislamiento de las células mononucleares de sangre periférica (peripheral blood mononuclear cells, PBMCs), mediante gradiente de densidad sobre Ficoll-Hypaque y se cultivaron durante 4 y 6 </w:t>
      </w:r>
      <w:r w:rsidR="00095B87" w:rsidRPr="00DD428E">
        <w:rPr>
          <w:rFonts w:ascii="Arial" w:hAnsi="Arial" w:cs="Arial"/>
          <w:sz w:val="20"/>
          <w:szCs w:val="20"/>
          <w:lang w:val="es-ES"/>
        </w:rPr>
        <w:t>días</w:t>
      </w:r>
      <w:r w:rsidRPr="00DD428E">
        <w:rPr>
          <w:rFonts w:ascii="Arial" w:hAnsi="Arial" w:cs="Arial"/>
          <w:sz w:val="20"/>
          <w:szCs w:val="20"/>
          <w:lang w:val="es-ES"/>
        </w:rPr>
        <w:t xml:space="preserve"> enfrentándolas a una curva de antígenos tanto de </w:t>
      </w:r>
      <w:r w:rsidRPr="00DD428E">
        <w:rPr>
          <w:rFonts w:ascii="Arial" w:hAnsi="Arial" w:cs="Arial"/>
          <w:i/>
          <w:sz w:val="20"/>
          <w:szCs w:val="20"/>
          <w:lang w:val="es-ES"/>
        </w:rPr>
        <w:t>S. Typhi</w:t>
      </w:r>
      <w:r w:rsidRPr="00DD428E">
        <w:rPr>
          <w:rFonts w:ascii="Arial" w:hAnsi="Arial" w:cs="Arial"/>
          <w:sz w:val="20"/>
          <w:szCs w:val="20"/>
          <w:lang w:val="es-ES"/>
        </w:rPr>
        <w:t xml:space="preserve"> (Typhim Vi®) como de </w:t>
      </w:r>
      <w:r w:rsidRPr="00DD428E">
        <w:rPr>
          <w:rFonts w:ascii="Arial" w:hAnsi="Arial" w:cs="Arial"/>
          <w:i/>
          <w:sz w:val="20"/>
          <w:szCs w:val="20"/>
          <w:lang w:val="es-ES"/>
        </w:rPr>
        <w:t>S. pneumoniae</w:t>
      </w:r>
      <w:r w:rsidRPr="00DD428E">
        <w:rPr>
          <w:rFonts w:ascii="Arial" w:hAnsi="Arial" w:cs="Arial"/>
          <w:sz w:val="20"/>
          <w:szCs w:val="20"/>
          <w:lang w:val="es-ES"/>
        </w:rPr>
        <w:t xml:space="preserve"> (Pneumo 23®). Tomamos como referencia inicial la utilizada</w:t>
      </w:r>
      <w:r w:rsidR="00095B87" w:rsidRPr="00DD428E">
        <w:rPr>
          <w:rFonts w:ascii="Arial" w:hAnsi="Arial" w:cs="Arial"/>
          <w:sz w:val="20"/>
          <w:szCs w:val="20"/>
          <w:lang w:val="es-ES"/>
        </w:rPr>
        <w:t xml:space="preserve"> en experimentos similares por Wyant y cols</w:t>
      </w:r>
      <w:r w:rsidRPr="00DD428E">
        <w:rPr>
          <w:rFonts w:ascii="Arial" w:hAnsi="Arial" w:cs="Arial"/>
          <w:sz w:val="20"/>
          <w:szCs w:val="20"/>
          <w:lang w:val="es-ES"/>
        </w:rPr>
        <w:t xml:space="preserve">. Se estimó que las concentraciones finales serían para </w:t>
      </w:r>
      <w:r w:rsidRPr="00DD428E">
        <w:rPr>
          <w:rFonts w:ascii="Arial" w:hAnsi="Arial" w:cs="Arial"/>
          <w:i/>
          <w:sz w:val="20"/>
          <w:szCs w:val="20"/>
          <w:lang w:val="es-ES"/>
        </w:rPr>
        <w:t>S. typhi</w:t>
      </w:r>
      <w:r w:rsidRPr="00DD428E">
        <w:rPr>
          <w:rFonts w:ascii="Arial" w:hAnsi="Arial" w:cs="Arial"/>
          <w:sz w:val="20"/>
          <w:szCs w:val="20"/>
          <w:lang w:val="es-ES"/>
        </w:rPr>
        <w:t xml:space="preserve"> de 3 y 6 microgramos</w:t>
      </w:r>
      <w:r w:rsidR="00095B87" w:rsidRPr="00DD428E">
        <w:rPr>
          <w:rFonts w:ascii="Arial" w:hAnsi="Arial" w:cs="Arial"/>
          <w:sz w:val="20"/>
          <w:szCs w:val="20"/>
          <w:lang w:val="es-ES"/>
        </w:rPr>
        <w:t>/ml</w:t>
      </w:r>
      <w:r w:rsidRPr="00DD428E">
        <w:rPr>
          <w:rFonts w:ascii="Arial" w:hAnsi="Arial" w:cs="Arial"/>
          <w:sz w:val="20"/>
          <w:szCs w:val="20"/>
          <w:lang w:val="es-ES"/>
        </w:rPr>
        <w:t xml:space="preserve"> y para </w:t>
      </w:r>
      <w:r w:rsidRPr="00DD428E">
        <w:rPr>
          <w:rFonts w:ascii="Arial" w:hAnsi="Arial" w:cs="Arial"/>
          <w:i/>
          <w:sz w:val="20"/>
          <w:szCs w:val="20"/>
          <w:lang w:val="es-ES"/>
        </w:rPr>
        <w:t>S. pneumoniae</w:t>
      </w:r>
      <w:r w:rsidRPr="00DD428E">
        <w:rPr>
          <w:rFonts w:ascii="Arial" w:hAnsi="Arial" w:cs="Arial"/>
          <w:sz w:val="20"/>
          <w:szCs w:val="20"/>
          <w:lang w:val="es-ES"/>
        </w:rPr>
        <w:t xml:space="preserve"> de 6 y 9 microgramos</w:t>
      </w:r>
      <w:r w:rsidR="00095B87" w:rsidRPr="00DD428E">
        <w:rPr>
          <w:rFonts w:ascii="Arial" w:hAnsi="Arial" w:cs="Arial"/>
          <w:sz w:val="20"/>
          <w:szCs w:val="20"/>
          <w:lang w:val="es-ES"/>
        </w:rPr>
        <w:t>/ml</w:t>
      </w:r>
      <w:r w:rsidRPr="00DD428E">
        <w:rPr>
          <w:rFonts w:ascii="Arial" w:hAnsi="Arial" w:cs="Arial"/>
          <w:sz w:val="20"/>
          <w:szCs w:val="20"/>
          <w:lang w:val="es-ES"/>
        </w:rPr>
        <w:t xml:space="preserve">  Una vez determinadas las concentraciones antigénicas, en una segunda fase se reclutaron 4 individuos sanos y un paciente diagnosticado de Inmunodeficiencia variable común con déficit de producción de anticuerpos específicos demostrado, que participaron voluntariamente al estudio y dieron su consentimiento por escrito. Debido a circunstancias personales, un individuo abandonó el estudio en la tercera semana, excluyéndosele por tanto, de las tomas de muestras posteriores.  Previo al procesamiento de la prueba se obtiene plasma para la determinación de inmunoglobulinas.</w:t>
      </w:r>
    </w:p>
    <w:p w:rsidR="001614C2" w:rsidRPr="00DD428E" w:rsidRDefault="001614C2" w:rsidP="001614C2">
      <w:pPr>
        <w:jc w:val="both"/>
        <w:rPr>
          <w:rFonts w:ascii="Arial" w:hAnsi="Arial" w:cs="Arial"/>
          <w:sz w:val="20"/>
          <w:szCs w:val="20"/>
          <w:lang w:val="es-ES"/>
        </w:rPr>
      </w:pPr>
    </w:p>
    <w:p w:rsidR="001614C2" w:rsidRPr="00DD428E" w:rsidRDefault="00095B87" w:rsidP="001614C2">
      <w:pPr>
        <w:jc w:val="both"/>
        <w:rPr>
          <w:rFonts w:ascii="Arial" w:hAnsi="Arial" w:cs="Arial"/>
          <w:sz w:val="20"/>
          <w:szCs w:val="20"/>
          <w:lang w:val="es-ES"/>
        </w:rPr>
      </w:pPr>
      <w:r w:rsidRPr="00DD428E">
        <w:rPr>
          <w:rFonts w:ascii="Arial" w:hAnsi="Arial" w:cs="Arial"/>
          <w:b/>
          <w:sz w:val="20"/>
          <w:szCs w:val="20"/>
          <w:lang w:val="es-ES"/>
        </w:rPr>
        <w:t>3</w:t>
      </w:r>
      <w:r w:rsidR="001614C2" w:rsidRPr="00DD428E">
        <w:rPr>
          <w:rFonts w:ascii="Arial" w:hAnsi="Arial" w:cs="Arial"/>
          <w:b/>
          <w:sz w:val="20"/>
          <w:szCs w:val="20"/>
          <w:lang w:val="es-ES"/>
        </w:rPr>
        <w:t>.3. Aislamiento de células mononucleares de sangre periférica</w:t>
      </w:r>
      <w:r w:rsidR="001614C2" w:rsidRPr="00DD428E">
        <w:rPr>
          <w:rFonts w:ascii="Arial" w:hAnsi="Arial" w:cs="Arial"/>
          <w:sz w:val="20"/>
          <w:szCs w:val="20"/>
          <w:lang w:val="es-ES"/>
        </w:rPr>
        <w:t>:  En condiciones de esterilidad se realizó el aislamiento de PBMCs mediante centrifugación por gradientes de densidad con medio completo (</w:t>
      </w:r>
      <w:r w:rsidR="001614C2" w:rsidRPr="00DD428E">
        <w:rPr>
          <w:rFonts w:ascii="Arial" w:hAnsi="Arial" w:cs="Arial"/>
          <w:sz w:val="20"/>
          <w:szCs w:val="20"/>
        </w:rPr>
        <w:t>1640 suplementado con 10% de suero AB</w:t>
      </w:r>
      <w:r w:rsidR="001614C2" w:rsidRPr="00DD428E">
        <w:rPr>
          <w:rFonts w:ascii="Arial" w:hAnsi="Arial" w:cs="Arial"/>
          <w:sz w:val="20"/>
          <w:szCs w:val="20"/>
          <w:lang w:val="es-ES"/>
        </w:rPr>
        <w:t xml:space="preserve">) para la separación de linfocitos.  Se realizaron tres extracciones de sangre: antes de la vacunación y a las 4 y 6 semanas tras la inmunización de los voluntarios con Typhim Vi® y Pneumo 23®.  </w:t>
      </w:r>
    </w:p>
    <w:p w:rsidR="001614C2" w:rsidRPr="00DD428E" w:rsidRDefault="00095B87" w:rsidP="001614C2">
      <w:pPr>
        <w:jc w:val="both"/>
        <w:rPr>
          <w:rFonts w:ascii="Arial" w:hAnsi="Arial" w:cs="Arial"/>
          <w:sz w:val="20"/>
          <w:szCs w:val="20"/>
          <w:lang w:val="es-ES"/>
        </w:rPr>
      </w:pPr>
      <w:r w:rsidRPr="00DD428E">
        <w:rPr>
          <w:rFonts w:ascii="Arial" w:hAnsi="Arial" w:cs="Arial"/>
          <w:b/>
          <w:sz w:val="20"/>
          <w:szCs w:val="20"/>
          <w:lang w:val="es-ES"/>
        </w:rPr>
        <w:lastRenderedPageBreak/>
        <w:t>3</w:t>
      </w:r>
      <w:r w:rsidR="001614C2" w:rsidRPr="00DD428E">
        <w:rPr>
          <w:rFonts w:ascii="Arial" w:hAnsi="Arial" w:cs="Arial"/>
          <w:b/>
          <w:sz w:val="20"/>
          <w:szCs w:val="20"/>
          <w:lang w:val="es-ES"/>
        </w:rPr>
        <w:t>.4. Recuento y estudio de la viabilidad celular</w:t>
      </w:r>
      <w:r w:rsidR="001614C2" w:rsidRPr="00DD428E">
        <w:rPr>
          <w:rFonts w:ascii="Arial" w:hAnsi="Arial" w:cs="Arial"/>
          <w:sz w:val="20"/>
          <w:szCs w:val="20"/>
          <w:lang w:val="es-ES"/>
        </w:rPr>
        <w:t xml:space="preserve">:  En todos los resuspendidos celulares se determinó la concentración celular y la viabilidad mediante la dilución con Azul Tripan al 0,1% y recuento con microscopio en cámara de Neubauer. El porcentaje de células vivas se estableció por la capacidad de exclusión del colorante. </w:t>
      </w:r>
    </w:p>
    <w:p w:rsidR="001614C2" w:rsidRPr="00DD428E" w:rsidRDefault="001614C2" w:rsidP="001614C2">
      <w:pPr>
        <w:jc w:val="both"/>
        <w:rPr>
          <w:rFonts w:ascii="Arial" w:hAnsi="Arial" w:cs="Arial"/>
          <w:sz w:val="20"/>
          <w:szCs w:val="20"/>
          <w:lang w:val="es-ES"/>
        </w:rPr>
      </w:pPr>
    </w:p>
    <w:p w:rsidR="001614C2" w:rsidRPr="00DD428E" w:rsidRDefault="009227E6" w:rsidP="001614C2">
      <w:pPr>
        <w:jc w:val="both"/>
        <w:rPr>
          <w:rFonts w:ascii="Arial" w:hAnsi="Arial" w:cs="Arial"/>
          <w:sz w:val="20"/>
          <w:szCs w:val="20"/>
          <w:lang w:val="es-ES"/>
        </w:rPr>
      </w:pPr>
      <w:r>
        <w:rPr>
          <w:rFonts w:ascii="Arial" w:hAnsi="Arial" w:cs="Arial"/>
          <w:b/>
          <w:sz w:val="20"/>
          <w:szCs w:val="20"/>
          <w:lang w:val="es-ES"/>
        </w:rPr>
        <w:t>3.5</w:t>
      </w:r>
      <w:r w:rsidR="00095B87" w:rsidRPr="00DD428E">
        <w:rPr>
          <w:rFonts w:ascii="Arial" w:hAnsi="Arial" w:cs="Arial"/>
          <w:b/>
          <w:sz w:val="20"/>
          <w:szCs w:val="20"/>
          <w:lang w:val="es-ES"/>
        </w:rPr>
        <w:t xml:space="preserve">. </w:t>
      </w:r>
      <w:r w:rsidR="001614C2" w:rsidRPr="00DD428E">
        <w:rPr>
          <w:rFonts w:ascii="Arial" w:hAnsi="Arial" w:cs="Arial"/>
          <w:b/>
          <w:sz w:val="20"/>
          <w:szCs w:val="20"/>
          <w:lang w:val="es-ES"/>
        </w:rPr>
        <w:t>Cultivo celular</w:t>
      </w:r>
      <w:r w:rsidR="001614C2" w:rsidRPr="00DD428E">
        <w:rPr>
          <w:rFonts w:ascii="Arial" w:hAnsi="Arial" w:cs="Arial"/>
          <w:sz w:val="20"/>
          <w:szCs w:val="20"/>
          <w:lang w:val="es-ES"/>
        </w:rPr>
        <w:t xml:space="preserve">:  Las células fueron cultivadas en placas de 48 pocillos </w:t>
      </w:r>
      <w:r w:rsidR="001614C2" w:rsidRPr="00DD428E">
        <w:rPr>
          <w:rFonts w:ascii="Arial" w:hAnsi="Arial" w:cs="Arial"/>
          <w:sz w:val="20"/>
          <w:szCs w:val="20"/>
        </w:rPr>
        <w:t>Las células se crecieron en medio RPMI-1640 suplementado con 10% de suero AB a 37ºC en un atmósfera del  5% de CO</w:t>
      </w:r>
      <w:r w:rsidR="001614C2" w:rsidRPr="00DD428E">
        <w:rPr>
          <w:rFonts w:ascii="Arial" w:hAnsi="Arial" w:cs="Arial"/>
          <w:sz w:val="20"/>
          <w:szCs w:val="20"/>
          <w:vertAlign w:val="subscript"/>
        </w:rPr>
        <w:t xml:space="preserve">2 </w:t>
      </w:r>
      <w:r w:rsidR="001614C2" w:rsidRPr="00DD428E">
        <w:rPr>
          <w:rFonts w:ascii="Arial" w:hAnsi="Arial" w:cs="Arial"/>
          <w:sz w:val="20"/>
          <w:szCs w:val="20"/>
        </w:rPr>
        <w:t xml:space="preserve"> y 100% de humedad por espacio de 4 días. Todos los cultivos fueron realizados en condiciones de esterilidad en una cámara de flujo laminar vertical, empleando materiales estériles de un solo uso.</w:t>
      </w:r>
    </w:p>
    <w:p w:rsidR="001614C2" w:rsidRPr="00DD428E" w:rsidRDefault="001614C2" w:rsidP="001614C2">
      <w:pPr>
        <w:jc w:val="both"/>
        <w:rPr>
          <w:rFonts w:ascii="Arial" w:hAnsi="Arial" w:cs="Arial"/>
          <w:sz w:val="20"/>
          <w:szCs w:val="20"/>
          <w:lang w:val="es-ES"/>
        </w:rPr>
      </w:pPr>
    </w:p>
    <w:p w:rsidR="001614C2" w:rsidRPr="00DD428E" w:rsidRDefault="009227E6" w:rsidP="001614C2">
      <w:pPr>
        <w:jc w:val="both"/>
        <w:rPr>
          <w:rFonts w:ascii="Arial" w:hAnsi="Arial" w:cs="Arial"/>
          <w:sz w:val="20"/>
          <w:szCs w:val="20"/>
          <w:lang w:val="es-ES"/>
        </w:rPr>
      </w:pPr>
      <w:r>
        <w:rPr>
          <w:rFonts w:ascii="Arial" w:hAnsi="Arial" w:cs="Arial"/>
          <w:b/>
          <w:sz w:val="20"/>
          <w:szCs w:val="20"/>
          <w:lang w:val="es-ES"/>
        </w:rPr>
        <w:t>3.6</w:t>
      </w:r>
      <w:r w:rsidR="00095B87" w:rsidRPr="00DD428E">
        <w:rPr>
          <w:rFonts w:ascii="Arial" w:hAnsi="Arial" w:cs="Arial"/>
          <w:b/>
          <w:sz w:val="20"/>
          <w:szCs w:val="20"/>
          <w:lang w:val="es-ES"/>
        </w:rPr>
        <w:t xml:space="preserve"> </w:t>
      </w:r>
      <w:r w:rsidR="001614C2" w:rsidRPr="00DD428E">
        <w:rPr>
          <w:rFonts w:ascii="Arial" w:hAnsi="Arial" w:cs="Arial"/>
          <w:b/>
          <w:sz w:val="20"/>
          <w:szCs w:val="20"/>
          <w:lang w:val="es-ES"/>
        </w:rPr>
        <w:t>Protocolo de CFSE</w:t>
      </w:r>
      <w:r w:rsidR="001614C2" w:rsidRPr="00DD428E">
        <w:rPr>
          <w:rFonts w:ascii="Arial" w:hAnsi="Arial" w:cs="Arial"/>
          <w:sz w:val="20"/>
          <w:szCs w:val="20"/>
          <w:lang w:val="es-ES"/>
        </w:rPr>
        <w:t>: Fue realizado en las semanas 4 y 6 luego de la inmunización.  Previa a la realización del cultivo se incubaron las células con carboxi-fluoresceína diacetato, succinimidyl ester (CFSE) (Sigma-Aldrich), CFSE a 1 Mm por 10 minutos a 37 ºC, agitándose cada minuto.  Guardando condiciones de obscuridad.  El CFSE es una molécula fluorescente y liposoluble que puede entrar y salir de la célula a través de la membrana plasmática. En el citosol celular existen esterasas que degradan los dos grupos acetato del CFSE, lo cual disminuye su permeabilidad, siendo entonces retenido en el interior celular.  Una vez en el citoplasma se une covalentemente a las proteínas, las cuales quedan marcadas fluorescentemente. Desde su descubrimiento, el CFSE ha sido utilizado en una gran variedad de estudios inmunológicos.</w:t>
      </w:r>
    </w:p>
    <w:p w:rsidR="001614C2" w:rsidRPr="00DD428E" w:rsidRDefault="001614C2" w:rsidP="001614C2">
      <w:pPr>
        <w:jc w:val="both"/>
        <w:rPr>
          <w:rFonts w:ascii="Arial" w:hAnsi="Arial" w:cs="Arial"/>
          <w:sz w:val="20"/>
          <w:szCs w:val="20"/>
          <w:lang w:val="es-ES"/>
        </w:rPr>
      </w:pPr>
    </w:p>
    <w:p w:rsidR="001614C2" w:rsidRPr="00DD428E" w:rsidRDefault="009227E6" w:rsidP="001614C2">
      <w:pPr>
        <w:jc w:val="both"/>
        <w:rPr>
          <w:rFonts w:ascii="Arial" w:hAnsi="Arial" w:cs="Arial"/>
          <w:sz w:val="20"/>
          <w:szCs w:val="20"/>
          <w:lang w:val="es-ES"/>
        </w:rPr>
      </w:pPr>
      <w:r>
        <w:rPr>
          <w:rFonts w:ascii="Arial" w:hAnsi="Arial" w:cs="Arial"/>
          <w:b/>
          <w:sz w:val="20"/>
          <w:szCs w:val="20"/>
          <w:lang w:val="es-ES"/>
        </w:rPr>
        <w:t>3.7</w:t>
      </w:r>
      <w:r w:rsidR="00690129" w:rsidRPr="00DD428E">
        <w:rPr>
          <w:rFonts w:ascii="Arial" w:hAnsi="Arial" w:cs="Arial"/>
          <w:b/>
          <w:sz w:val="20"/>
          <w:szCs w:val="20"/>
          <w:lang w:val="es-ES"/>
        </w:rPr>
        <w:t>. Citometrí</w:t>
      </w:r>
      <w:r w:rsidR="001614C2" w:rsidRPr="00DD428E">
        <w:rPr>
          <w:rFonts w:ascii="Arial" w:hAnsi="Arial" w:cs="Arial"/>
          <w:b/>
          <w:sz w:val="20"/>
          <w:szCs w:val="20"/>
          <w:lang w:val="es-ES"/>
        </w:rPr>
        <w:t>a de flujo</w:t>
      </w:r>
      <w:r w:rsidR="001614C2" w:rsidRPr="00DD428E">
        <w:rPr>
          <w:rFonts w:ascii="Arial" w:hAnsi="Arial" w:cs="Arial"/>
          <w:sz w:val="20"/>
          <w:szCs w:val="20"/>
          <w:lang w:val="es-ES"/>
        </w:rPr>
        <w:t xml:space="preserve">:  Con equipo </w:t>
      </w:r>
      <w:r w:rsidR="001614C2" w:rsidRPr="00DD428E">
        <w:rPr>
          <w:rFonts w:ascii="Arial" w:hAnsi="Arial" w:cs="Arial"/>
          <w:sz w:val="20"/>
          <w:szCs w:val="20"/>
        </w:rPr>
        <w:t>FACSort</w:t>
      </w:r>
      <w:r w:rsidR="001614C2" w:rsidRPr="00DD428E">
        <w:rPr>
          <w:rFonts w:ascii="Arial" w:hAnsi="Arial" w:cs="Arial"/>
          <w:sz w:val="20"/>
          <w:szCs w:val="20"/>
          <w:lang w:val="es-ES"/>
        </w:rPr>
        <w:t xml:space="preserve"> (</w:t>
      </w:r>
      <w:r w:rsidR="001614C2" w:rsidRPr="00DD428E">
        <w:rPr>
          <w:rFonts w:ascii="Arial" w:hAnsi="Arial" w:cs="Arial"/>
          <w:sz w:val="20"/>
          <w:szCs w:val="20"/>
        </w:rPr>
        <w:t xml:space="preserve">Becton Dickinson). </w:t>
      </w:r>
      <w:r w:rsidR="001614C2" w:rsidRPr="00DD428E">
        <w:rPr>
          <w:rFonts w:ascii="Arial" w:hAnsi="Arial" w:cs="Arial"/>
          <w:sz w:val="20"/>
          <w:szCs w:val="20"/>
          <w:lang w:val="es-ES"/>
        </w:rPr>
        <w:t xml:space="preserve">Realizada antes de la vacunación, a las 4 y 6 semanas, previo </w:t>
      </w:r>
      <w:r w:rsidR="000B4F17" w:rsidRPr="00DD428E">
        <w:rPr>
          <w:rFonts w:ascii="Arial" w:hAnsi="Arial" w:cs="Arial"/>
          <w:sz w:val="20"/>
          <w:szCs w:val="20"/>
        </w:rPr>
        <w:t>m</w:t>
      </w:r>
      <w:r w:rsidR="00690129" w:rsidRPr="00DD428E">
        <w:rPr>
          <w:rFonts w:ascii="Arial" w:hAnsi="Arial" w:cs="Arial"/>
          <w:sz w:val="20"/>
          <w:szCs w:val="20"/>
        </w:rPr>
        <w:t>arcaje con anticuerpos m</w:t>
      </w:r>
      <w:r w:rsidR="001614C2" w:rsidRPr="00DD428E">
        <w:rPr>
          <w:rFonts w:ascii="Arial" w:hAnsi="Arial" w:cs="Arial"/>
          <w:sz w:val="20"/>
          <w:szCs w:val="20"/>
        </w:rPr>
        <w:t xml:space="preserve">onoclonales, según la </w:t>
      </w:r>
      <w:r w:rsidR="00690129" w:rsidRPr="00DD428E">
        <w:rPr>
          <w:rFonts w:ascii="Arial" w:hAnsi="Arial" w:cs="Arial"/>
          <w:sz w:val="20"/>
          <w:szCs w:val="20"/>
        </w:rPr>
        <w:t>siguiente</w:t>
      </w:r>
      <w:r w:rsidR="001614C2" w:rsidRPr="00DD428E">
        <w:rPr>
          <w:rFonts w:ascii="Arial" w:hAnsi="Arial" w:cs="Arial"/>
          <w:sz w:val="20"/>
          <w:szCs w:val="20"/>
        </w:rPr>
        <w:t xml:space="preserve"> secuencia: extracción del sobrenadante en tubos separados y se lleva a congelación para la determinación de citocinas</w:t>
      </w:r>
      <w:r w:rsidR="00690129" w:rsidRPr="00DD428E">
        <w:rPr>
          <w:rFonts w:ascii="Arial" w:hAnsi="Arial" w:cs="Arial"/>
          <w:sz w:val="20"/>
          <w:szCs w:val="20"/>
        </w:rPr>
        <w:t>. Resuspensió</w:t>
      </w:r>
      <w:r w:rsidR="001614C2" w:rsidRPr="00DD428E">
        <w:rPr>
          <w:rFonts w:ascii="Arial" w:hAnsi="Arial" w:cs="Arial"/>
          <w:sz w:val="20"/>
          <w:szCs w:val="20"/>
        </w:rPr>
        <w:t>n de las células de cada pocillo y marcadas de la siguiente manera:</w:t>
      </w:r>
    </w:p>
    <w:p w:rsidR="001614C2" w:rsidRPr="00DD428E" w:rsidRDefault="001614C2" w:rsidP="001614C2">
      <w:pPr>
        <w:jc w:val="both"/>
        <w:rPr>
          <w:rFonts w:ascii="Arial" w:hAnsi="Arial" w:cs="Arial"/>
          <w:sz w:val="20"/>
          <w:szCs w:val="20"/>
        </w:rPr>
      </w:pPr>
      <w:r w:rsidRPr="00DD428E">
        <w:rPr>
          <w:rFonts w:ascii="Arial" w:hAnsi="Arial" w:cs="Arial"/>
          <w:sz w:val="20"/>
          <w:szCs w:val="20"/>
        </w:rPr>
        <w:t>Tubo 1:  CFSE/CD25/CD4/CD8</w:t>
      </w:r>
    </w:p>
    <w:p w:rsidR="001614C2" w:rsidRPr="00DD428E" w:rsidRDefault="001614C2" w:rsidP="001614C2">
      <w:pPr>
        <w:jc w:val="both"/>
        <w:rPr>
          <w:rFonts w:ascii="Arial" w:hAnsi="Arial" w:cs="Arial"/>
          <w:sz w:val="20"/>
          <w:szCs w:val="20"/>
        </w:rPr>
      </w:pPr>
      <w:r w:rsidRPr="00DD428E">
        <w:rPr>
          <w:rFonts w:ascii="Arial" w:hAnsi="Arial" w:cs="Arial"/>
          <w:sz w:val="20"/>
          <w:szCs w:val="20"/>
        </w:rPr>
        <w:t>Tubo 2:  CFSE/IgD/CD19/CD27</w:t>
      </w:r>
    </w:p>
    <w:p w:rsidR="001614C2" w:rsidRPr="00DD428E" w:rsidRDefault="001614C2" w:rsidP="001614C2">
      <w:pPr>
        <w:jc w:val="both"/>
        <w:rPr>
          <w:rFonts w:ascii="Arial" w:hAnsi="Arial" w:cs="Arial"/>
          <w:sz w:val="20"/>
          <w:szCs w:val="20"/>
        </w:rPr>
      </w:pPr>
      <w:r w:rsidRPr="00DD428E">
        <w:rPr>
          <w:rFonts w:ascii="Arial" w:hAnsi="Arial" w:cs="Arial"/>
          <w:sz w:val="20"/>
          <w:szCs w:val="20"/>
        </w:rPr>
        <w:t>Se incubo 20 minutos en obscuridad y se realizó el lavado para retiro de exceso de anticuerpo.</w:t>
      </w:r>
      <w:r w:rsidR="00C35FB2" w:rsidRPr="00DD428E">
        <w:rPr>
          <w:rFonts w:ascii="Arial" w:hAnsi="Arial" w:cs="Arial"/>
          <w:sz w:val="20"/>
          <w:szCs w:val="20"/>
        </w:rPr>
        <w:t xml:space="preserve"> Definiéndose como Linfocitos T CD4+ reguladores (CD4+CD25+</w:t>
      </w:r>
      <w:r w:rsidR="00C35FB2" w:rsidRPr="00DD428E">
        <w:rPr>
          <w:rFonts w:ascii="Arial" w:hAnsi="Arial" w:cs="Arial"/>
          <w:sz w:val="20"/>
          <w:szCs w:val="20"/>
          <w:vertAlign w:val="superscript"/>
        </w:rPr>
        <w:t>High</w:t>
      </w:r>
      <w:r w:rsidR="00C35FB2" w:rsidRPr="00DD428E">
        <w:rPr>
          <w:rFonts w:ascii="Arial" w:hAnsi="Arial" w:cs="Arial"/>
          <w:sz w:val="20"/>
          <w:szCs w:val="20"/>
        </w:rPr>
        <w:t>), Linfocitos T CD4+ respondedores (CD4+CD25−</w:t>
      </w:r>
      <w:r w:rsidR="00C35FB2" w:rsidRPr="00DD428E">
        <w:rPr>
          <w:rFonts w:ascii="Arial" w:hAnsi="Arial" w:cs="Arial"/>
          <w:sz w:val="20"/>
          <w:szCs w:val="20"/>
          <w:vertAlign w:val="superscript"/>
        </w:rPr>
        <w:t>low</w:t>
      </w:r>
      <w:r w:rsidR="00C35FB2" w:rsidRPr="00DD428E">
        <w:rPr>
          <w:rFonts w:ascii="Arial" w:hAnsi="Arial" w:cs="Arial"/>
          <w:sz w:val="20"/>
          <w:szCs w:val="20"/>
        </w:rPr>
        <w:t>), Linfocitos T CD8+ reguladores (CD8+CD25+</w:t>
      </w:r>
      <w:r w:rsidR="00C35FB2" w:rsidRPr="00DD428E">
        <w:rPr>
          <w:rFonts w:ascii="Arial" w:hAnsi="Arial" w:cs="Arial"/>
          <w:sz w:val="20"/>
          <w:szCs w:val="20"/>
          <w:vertAlign w:val="superscript"/>
        </w:rPr>
        <w:t>High</w:t>
      </w:r>
      <w:r w:rsidR="00C35FB2" w:rsidRPr="00DD428E">
        <w:rPr>
          <w:rFonts w:ascii="Arial" w:hAnsi="Arial" w:cs="Arial"/>
          <w:sz w:val="20"/>
          <w:szCs w:val="20"/>
        </w:rPr>
        <w:t>), Linfocitos T CD8+ respondedores (CD8+CD25−</w:t>
      </w:r>
      <w:r w:rsidR="00C35FB2" w:rsidRPr="00DD428E">
        <w:rPr>
          <w:rFonts w:ascii="Arial" w:hAnsi="Arial" w:cs="Arial"/>
          <w:sz w:val="20"/>
          <w:szCs w:val="20"/>
          <w:vertAlign w:val="superscript"/>
        </w:rPr>
        <w:t>low</w:t>
      </w:r>
      <w:r w:rsidR="00AE3BD1" w:rsidRPr="00DD428E">
        <w:rPr>
          <w:rFonts w:ascii="Arial" w:hAnsi="Arial" w:cs="Arial"/>
          <w:sz w:val="20"/>
          <w:szCs w:val="20"/>
        </w:rPr>
        <w:t>).</w:t>
      </w:r>
    </w:p>
    <w:p w:rsidR="001614C2" w:rsidRPr="00DD428E" w:rsidRDefault="001614C2" w:rsidP="001614C2">
      <w:pPr>
        <w:jc w:val="both"/>
        <w:rPr>
          <w:rFonts w:ascii="Arial" w:hAnsi="Arial" w:cs="Arial"/>
          <w:b/>
          <w:sz w:val="20"/>
          <w:szCs w:val="20"/>
          <w:lang w:val="es-ES"/>
        </w:rPr>
      </w:pPr>
    </w:p>
    <w:p w:rsidR="001614C2" w:rsidRPr="00DD428E" w:rsidRDefault="009227E6" w:rsidP="001614C2">
      <w:pPr>
        <w:jc w:val="both"/>
        <w:rPr>
          <w:rFonts w:ascii="Arial" w:hAnsi="Arial" w:cs="Arial"/>
          <w:sz w:val="20"/>
          <w:szCs w:val="20"/>
          <w:lang w:val="es-ES"/>
        </w:rPr>
      </w:pPr>
      <w:r>
        <w:rPr>
          <w:rFonts w:ascii="Arial" w:hAnsi="Arial" w:cs="Arial"/>
          <w:b/>
          <w:sz w:val="20"/>
          <w:szCs w:val="20"/>
          <w:lang w:val="es-ES"/>
        </w:rPr>
        <w:t>3.8</w:t>
      </w:r>
      <w:r w:rsidR="00452538" w:rsidRPr="00DD428E">
        <w:rPr>
          <w:rFonts w:ascii="Arial" w:hAnsi="Arial" w:cs="Arial"/>
          <w:b/>
          <w:sz w:val="20"/>
          <w:szCs w:val="20"/>
          <w:lang w:val="es-ES"/>
        </w:rPr>
        <w:t xml:space="preserve">. </w:t>
      </w:r>
      <w:r w:rsidR="001614C2" w:rsidRPr="00DD428E">
        <w:rPr>
          <w:rFonts w:ascii="Arial" w:hAnsi="Arial" w:cs="Arial"/>
          <w:b/>
          <w:sz w:val="20"/>
          <w:szCs w:val="20"/>
          <w:lang w:val="es-ES"/>
        </w:rPr>
        <w:t>Determinación de anticuerpos en plasma</w:t>
      </w:r>
      <w:r w:rsidR="001614C2" w:rsidRPr="00DD428E">
        <w:rPr>
          <w:rFonts w:ascii="Arial" w:hAnsi="Arial" w:cs="Arial"/>
          <w:sz w:val="20"/>
          <w:szCs w:val="20"/>
          <w:lang w:val="es-ES"/>
        </w:rPr>
        <w:t xml:space="preserve">:  </w:t>
      </w:r>
      <w:r w:rsidR="00AE3BD1" w:rsidRPr="00DD428E">
        <w:rPr>
          <w:rFonts w:ascii="Arial" w:hAnsi="Arial" w:cs="Arial"/>
          <w:sz w:val="20"/>
          <w:szCs w:val="20"/>
          <w:lang w:val="es-ES"/>
        </w:rPr>
        <w:t>Se realizó mediante N</w:t>
      </w:r>
      <w:r w:rsidR="001614C2" w:rsidRPr="00DD428E">
        <w:rPr>
          <w:rFonts w:ascii="Arial" w:hAnsi="Arial" w:cs="Arial"/>
          <w:sz w:val="20"/>
          <w:szCs w:val="20"/>
          <w:lang w:val="es-ES"/>
        </w:rPr>
        <w:t>efelometría</w:t>
      </w:r>
      <w:r w:rsidR="00AE3BD1" w:rsidRPr="00DD428E">
        <w:rPr>
          <w:rFonts w:ascii="Arial" w:hAnsi="Arial" w:cs="Arial"/>
          <w:sz w:val="20"/>
          <w:szCs w:val="20"/>
          <w:lang w:val="es-ES"/>
        </w:rPr>
        <w:t xml:space="preserve"> c</w:t>
      </w:r>
      <w:r w:rsidR="001614C2" w:rsidRPr="00DD428E">
        <w:rPr>
          <w:rFonts w:ascii="Arial" w:hAnsi="Arial" w:cs="Arial"/>
          <w:sz w:val="20"/>
          <w:szCs w:val="20"/>
          <w:lang w:val="es-ES"/>
        </w:rPr>
        <w:t xml:space="preserve">inética con IMMAGE. Se mide la velocidad de incremento de la dispersión de luz producida por las partículas suspendidas en la solución, resultantes de los complejos formados durante la reacción antígeno-anticuerpo.  Determinándose IgG, IgA e IgM en los tres pacientes de la muestra final, se toma dos condiciones, antes y después de la vacunación con Typhim Vi® y Pneumo 23®.  Las alícuotas fueron congeladas a menos 20 C </w:t>
      </w:r>
      <w:r w:rsidR="00AE3BD1" w:rsidRPr="00DD428E">
        <w:rPr>
          <w:rFonts w:ascii="Arial" w:hAnsi="Arial" w:cs="Arial"/>
          <w:sz w:val="20"/>
          <w:szCs w:val="20"/>
          <w:lang w:val="es-ES"/>
        </w:rPr>
        <w:t xml:space="preserve">luego de su extracción a partir de sangre total hasta el momento de la determinación de inmunoglobulinas </w:t>
      </w:r>
      <w:r w:rsidR="001614C2" w:rsidRPr="00DD428E">
        <w:rPr>
          <w:rFonts w:ascii="Arial" w:hAnsi="Arial" w:cs="Arial"/>
          <w:sz w:val="20"/>
          <w:szCs w:val="20"/>
          <w:lang w:val="es-ES"/>
        </w:rPr>
        <w:t>descongelándose una sola vez.</w:t>
      </w:r>
    </w:p>
    <w:p w:rsidR="000516DF" w:rsidRPr="00DD428E" w:rsidRDefault="000516DF" w:rsidP="001614C2">
      <w:pPr>
        <w:jc w:val="both"/>
        <w:rPr>
          <w:rFonts w:ascii="Arial" w:hAnsi="Arial" w:cs="Arial"/>
          <w:sz w:val="20"/>
          <w:szCs w:val="20"/>
          <w:lang w:val="es-ES"/>
        </w:rPr>
      </w:pPr>
    </w:p>
    <w:p w:rsidR="001614C2" w:rsidRPr="00DD428E" w:rsidRDefault="009227E6" w:rsidP="001614C2">
      <w:pPr>
        <w:jc w:val="both"/>
        <w:rPr>
          <w:rFonts w:ascii="Arial" w:hAnsi="Arial" w:cs="Arial"/>
          <w:sz w:val="20"/>
          <w:szCs w:val="20"/>
          <w:lang w:val="es-ES"/>
        </w:rPr>
      </w:pPr>
      <w:r>
        <w:rPr>
          <w:rFonts w:ascii="Arial" w:hAnsi="Arial" w:cs="Arial"/>
          <w:b/>
          <w:sz w:val="20"/>
          <w:szCs w:val="20"/>
          <w:lang w:val="es-ES"/>
        </w:rPr>
        <w:t>3.9</w:t>
      </w:r>
      <w:r w:rsidR="0054440B" w:rsidRPr="00DD428E">
        <w:rPr>
          <w:rFonts w:ascii="Arial" w:hAnsi="Arial" w:cs="Arial"/>
          <w:b/>
          <w:sz w:val="20"/>
          <w:szCs w:val="20"/>
          <w:lang w:val="es-ES"/>
        </w:rPr>
        <w:t xml:space="preserve">. </w:t>
      </w:r>
      <w:r w:rsidR="000516DF" w:rsidRPr="00DD428E">
        <w:rPr>
          <w:rFonts w:ascii="Arial" w:hAnsi="Arial" w:cs="Arial"/>
          <w:b/>
          <w:sz w:val="20"/>
          <w:szCs w:val="20"/>
          <w:lang w:val="es-ES"/>
        </w:rPr>
        <w:t>Determinación de interleu</w:t>
      </w:r>
      <w:r w:rsidR="001614C2" w:rsidRPr="00DD428E">
        <w:rPr>
          <w:rFonts w:ascii="Arial" w:hAnsi="Arial" w:cs="Arial"/>
          <w:b/>
          <w:sz w:val="20"/>
          <w:szCs w:val="20"/>
          <w:lang w:val="es-ES"/>
        </w:rPr>
        <w:t>quinas</w:t>
      </w:r>
      <w:r w:rsidR="001614C2" w:rsidRPr="00DD428E">
        <w:rPr>
          <w:rFonts w:ascii="Arial" w:hAnsi="Arial" w:cs="Arial"/>
          <w:sz w:val="20"/>
          <w:szCs w:val="20"/>
          <w:lang w:val="es-ES"/>
        </w:rPr>
        <w:t>:  Se utilizó el Human Basic Kit Flowcytomix® (BMS8420FF), Multiple analyte detection, de la compañía eBioscience, para la detección de las citoquinas por citometría.  Los resultados obtenidos se expresan en pg/ml.</w:t>
      </w:r>
    </w:p>
    <w:p w:rsidR="001614C2" w:rsidRPr="00DD428E" w:rsidRDefault="001614C2" w:rsidP="001614C2">
      <w:pPr>
        <w:jc w:val="both"/>
        <w:rPr>
          <w:rFonts w:ascii="Arial" w:hAnsi="Arial" w:cs="Arial"/>
          <w:sz w:val="20"/>
          <w:szCs w:val="20"/>
          <w:lang w:val="es-ES"/>
        </w:rPr>
      </w:pPr>
    </w:p>
    <w:p w:rsidR="001614C2" w:rsidRPr="00DD428E" w:rsidRDefault="001614C2" w:rsidP="001614C2">
      <w:pPr>
        <w:jc w:val="both"/>
        <w:rPr>
          <w:rFonts w:ascii="Arial" w:hAnsi="Arial" w:cs="Arial"/>
          <w:b/>
          <w:sz w:val="20"/>
          <w:szCs w:val="20"/>
          <w:lang w:val="es-ES"/>
        </w:rPr>
      </w:pPr>
    </w:p>
    <w:p w:rsidR="001614C2" w:rsidRPr="00DD428E" w:rsidRDefault="009227E6" w:rsidP="001614C2">
      <w:pPr>
        <w:jc w:val="both"/>
        <w:rPr>
          <w:rFonts w:ascii="Arial" w:hAnsi="Arial" w:cs="Arial"/>
          <w:sz w:val="20"/>
          <w:szCs w:val="20"/>
          <w:lang w:val="es-ES"/>
        </w:rPr>
      </w:pPr>
      <w:r>
        <w:rPr>
          <w:rFonts w:ascii="Arial" w:hAnsi="Arial" w:cs="Arial"/>
          <w:b/>
          <w:sz w:val="20"/>
          <w:szCs w:val="20"/>
          <w:lang w:val="es-ES"/>
        </w:rPr>
        <w:t>3</w:t>
      </w:r>
      <w:r w:rsidR="0054440B" w:rsidRPr="00DD428E">
        <w:rPr>
          <w:rFonts w:ascii="Arial" w:hAnsi="Arial" w:cs="Arial"/>
          <w:b/>
          <w:sz w:val="20"/>
          <w:szCs w:val="20"/>
          <w:lang w:val="es-ES"/>
        </w:rPr>
        <w:t>.</w:t>
      </w:r>
      <w:r>
        <w:rPr>
          <w:rFonts w:ascii="Arial" w:hAnsi="Arial" w:cs="Arial"/>
          <w:b/>
          <w:sz w:val="20"/>
          <w:szCs w:val="20"/>
          <w:lang w:val="es-ES"/>
        </w:rPr>
        <w:t>10</w:t>
      </w:r>
      <w:r w:rsidR="0054440B" w:rsidRPr="00DD428E">
        <w:rPr>
          <w:rFonts w:ascii="Arial" w:hAnsi="Arial" w:cs="Arial"/>
          <w:b/>
          <w:sz w:val="20"/>
          <w:szCs w:val="20"/>
          <w:lang w:val="es-ES"/>
        </w:rPr>
        <w:t xml:space="preserve">. </w:t>
      </w:r>
      <w:r w:rsidR="001614C2" w:rsidRPr="00DD428E">
        <w:rPr>
          <w:rFonts w:ascii="Arial" w:hAnsi="Arial" w:cs="Arial"/>
          <w:b/>
          <w:sz w:val="20"/>
          <w:szCs w:val="20"/>
          <w:lang w:val="es-ES"/>
        </w:rPr>
        <w:t>Análisis estadístico</w:t>
      </w:r>
      <w:r w:rsidR="001614C2" w:rsidRPr="00DD428E">
        <w:rPr>
          <w:rFonts w:ascii="Arial" w:hAnsi="Arial" w:cs="Arial"/>
          <w:sz w:val="20"/>
          <w:szCs w:val="20"/>
          <w:lang w:val="es-ES"/>
        </w:rPr>
        <w:t>:  Para el resumen de los datos se utilizó como medida de tendencia central el cálculo de mediana y promedio; como medida de dispersión se utilizó la desviación estándar. El análisis y graficación de los datos fue realizado mediante el paquete estadístico SPSS versión 19 y FlowJo.</w:t>
      </w:r>
    </w:p>
    <w:p w:rsidR="001614C2" w:rsidRPr="00DD428E" w:rsidRDefault="001614C2">
      <w:pPr>
        <w:jc w:val="both"/>
        <w:rPr>
          <w:rFonts w:ascii="Arial" w:hAnsi="Arial" w:cs="Arial"/>
          <w:b/>
          <w:sz w:val="20"/>
          <w:szCs w:val="20"/>
          <w:lang w:val="es-ES"/>
        </w:rPr>
      </w:pPr>
    </w:p>
    <w:p w:rsidR="0073671D" w:rsidRDefault="0073671D" w:rsidP="00D52972">
      <w:pPr>
        <w:jc w:val="both"/>
        <w:rPr>
          <w:rFonts w:ascii="Arial" w:hAnsi="Arial" w:cs="Arial"/>
          <w:b/>
          <w:sz w:val="20"/>
          <w:szCs w:val="20"/>
          <w:lang w:val="es-ES"/>
        </w:rPr>
      </w:pPr>
    </w:p>
    <w:p w:rsidR="0073671D" w:rsidRDefault="0073671D" w:rsidP="00D52972">
      <w:pPr>
        <w:jc w:val="both"/>
        <w:rPr>
          <w:rFonts w:ascii="Arial" w:hAnsi="Arial" w:cs="Arial"/>
          <w:b/>
          <w:sz w:val="20"/>
          <w:szCs w:val="20"/>
          <w:lang w:val="es-ES"/>
        </w:rPr>
      </w:pPr>
    </w:p>
    <w:p w:rsidR="0073671D" w:rsidRDefault="0073671D" w:rsidP="00D52972">
      <w:pPr>
        <w:jc w:val="both"/>
        <w:rPr>
          <w:rFonts w:ascii="Arial" w:hAnsi="Arial" w:cs="Arial"/>
          <w:b/>
          <w:sz w:val="20"/>
          <w:szCs w:val="20"/>
          <w:lang w:val="es-ES"/>
        </w:rPr>
      </w:pPr>
    </w:p>
    <w:p w:rsidR="0073671D" w:rsidRDefault="0073671D" w:rsidP="00D52972">
      <w:pPr>
        <w:jc w:val="both"/>
        <w:rPr>
          <w:rFonts w:ascii="Arial" w:hAnsi="Arial" w:cs="Arial"/>
          <w:b/>
          <w:sz w:val="20"/>
          <w:szCs w:val="20"/>
          <w:lang w:val="es-ES"/>
        </w:rPr>
      </w:pPr>
    </w:p>
    <w:p w:rsidR="0073671D" w:rsidRDefault="0073671D" w:rsidP="00D52972">
      <w:pPr>
        <w:jc w:val="both"/>
        <w:rPr>
          <w:rFonts w:ascii="Arial" w:hAnsi="Arial" w:cs="Arial"/>
          <w:b/>
          <w:sz w:val="20"/>
          <w:szCs w:val="20"/>
          <w:lang w:val="es-ES"/>
        </w:rPr>
      </w:pPr>
    </w:p>
    <w:p w:rsidR="00D52972" w:rsidRPr="00DD428E" w:rsidRDefault="009227E6" w:rsidP="00D52972">
      <w:pPr>
        <w:jc w:val="both"/>
        <w:rPr>
          <w:rFonts w:ascii="Arial" w:hAnsi="Arial" w:cs="Arial"/>
          <w:b/>
          <w:sz w:val="20"/>
          <w:szCs w:val="20"/>
          <w:lang w:val="es-ES"/>
        </w:rPr>
      </w:pPr>
      <w:r>
        <w:rPr>
          <w:rFonts w:ascii="Arial" w:hAnsi="Arial" w:cs="Arial"/>
          <w:b/>
          <w:sz w:val="20"/>
          <w:szCs w:val="20"/>
          <w:lang w:val="es-ES"/>
        </w:rPr>
        <w:lastRenderedPageBreak/>
        <w:t>4</w:t>
      </w:r>
      <w:r w:rsidR="0054440B" w:rsidRPr="00DD428E">
        <w:rPr>
          <w:rFonts w:ascii="Arial" w:hAnsi="Arial" w:cs="Arial"/>
          <w:b/>
          <w:sz w:val="20"/>
          <w:szCs w:val="20"/>
          <w:lang w:val="es-ES"/>
        </w:rPr>
        <w:t xml:space="preserve">. </w:t>
      </w:r>
      <w:r w:rsidR="00D52972" w:rsidRPr="00DD428E">
        <w:rPr>
          <w:rFonts w:ascii="Arial" w:hAnsi="Arial" w:cs="Arial"/>
          <w:b/>
          <w:sz w:val="20"/>
          <w:szCs w:val="20"/>
          <w:lang w:val="es-ES"/>
        </w:rPr>
        <w:t>RESULTADOS</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b/>
          <w:sz w:val="20"/>
          <w:szCs w:val="20"/>
          <w:u w:val="single"/>
          <w:lang w:val="es-ES"/>
        </w:rPr>
        <w:t>Puesta a punto de los cultivos linfoproliferativos</w:t>
      </w:r>
      <w:r w:rsidRPr="00DD428E">
        <w:rPr>
          <w:rFonts w:ascii="Arial" w:hAnsi="Arial" w:cs="Arial"/>
          <w:sz w:val="20"/>
          <w:szCs w:val="20"/>
          <w:lang w:val="es-ES"/>
        </w:rPr>
        <w:t>:</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 xml:space="preserve">En primer lugar, se puso a punto los cultivos con diferentes concentraciones antígenos de </w:t>
      </w:r>
      <w:r w:rsidRPr="00DD428E">
        <w:rPr>
          <w:rFonts w:ascii="Arial" w:hAnsi="Arial" w:cs="Arial"/>
          <w:i/>
          <w:sz w:val="20"/>
          <w:szCs w:val="20"/>
          <w:lang w:val="es-ES"/>
        </w:rPr>
        <w:t>S. Typhi</w:t>
      </w:r>
      <w:r w:rsidRPr="00DD428E">
        <w:rPr>
          <w:rFonts w:ascii="Arial" w:hAnsi="Arial" w:cs="Arial"/>
          <w:sz w:val="20"/>
          <w:szCs w:val="20"/>
          <w:lang w:val="es-ES"/>
        </w:rPr>
        <w:t xml:space="preserve"> y </w:t>
      </w:r>
      <w:r w:rsidRPr="00DD428E">
        <w:rPr>
          <w:rFonts w:ascii="Arial" w:hAnsi="Arial" w:cs="Arial"/>
          <w:i/>
          <w:sz w:val="20"/>
          <w:szCs w:val="20"/>
          <w:lang w:val="es-ES"/>
        </w:rPr>
        <w:t>S. Pneumoniae</w:t>
      </w:r>
      <w:r w:rsidRPr="00DD428E">
        <w:rPr>
          <w:rFonts w:ascii="Arial" w:hAnsi="Arial" w:cs="Arial"/>
          <w:sz w:val="20"/>
          <w:szCs w:val="20"/>
          <w:lang w:val="es-ES"/>
        </w:rPr>
        <w:t xml:space="preserve"> para determinar la concentración mínima necesaria que indujera proliferación en PBMCs tras tinción con CFSE, partiendo de una concentración d</w:t>
      </w:r>
      <w:r w:rsidR="001A44F9" w:rsidRPr="00DD428E">
        <w:rPr>
          <w:rFonts w:ascii="Arial" w:hAnsi="Arial" w:cs="Arial"/>
          <w:sz w:val="20"/>
          <w:szCs w:val="20"/>
          <w:lang w:val="es-ES"/>
        </w:rPr>
        <w:t>e 5 µg/mL</w:t>
      </w:r>
      <w:r w:rsidRPr="00DD428E">
        <w:rPr>
          <w:rFonts w:ascii="Arial" w:hAnsi="Arial" w:cs="Arial"/>
          <w:sz w:val="20"/>
          <w:szCs w:val="20"/>
          <w:lang w:val="es-ES"/>
        </w:rPr>
        <w:t xml:space="preserve"> referida en el artículo de Wyant y cols.</w:t>
      </w:r>
      <w:r w:rsidR="008E2721" w:rsidRPr="00DD428E">
        <w:rPr>
          <w:rFonts w:ascii="Arial" w:hAnsi="Arial" w:cs="Arial"/>
          <w:sz w:val="20"/>
          <w:szCs w:val="20"/>
          <w:lang w:val="es-ES"/>
        </w:rPr>
        <w:t xml:space="preserve"> (10</w:t>
      </w:r>
      <w:r w:rsidR="002B7984" w:rsidRPr="00DD428E">
        <w:rPr>
          <w:rFonts w:ascii="Arial" w:hAnsi="Arial" w:cs="Arial"/>
          <w:sz w:val="20"/>
          <w:szCs w:val="20"/>
          <w:lang w:val="es-ES"/>
        </w:rPr>
        <w:t>)</w:t>
      </w:r>
      <w:r w:rsidRPr="00DD428E">
        <w:rPr>
          <w:rFonts w:ascii="Arial" w:hAnsi="Arial" w:cs="Arial"/>
          <w:sz w:val="20"/>
          <w:szCs w:val="20"/>
          <w:lang w:val="es-ES"/>
        </w:rPr>
        <w:t xml:space="preserve">. Se concluyó que las concentraciones para realizar los experimentos de cultivos serían de 3 y 6 </w:t>
      </w:r>
      <w:r w:rsidR="001A44F9" w:rsidRPr="00DD428E">
        <w:rPr>
          <w:rFonts w:ascii="Arial" w:hAnsi="Arial" w:cs="Arial"/>
          <w:sz w:val="20"/>
          <w:szCs w:val="20"/>
          <w:lang w:val="es-ES"/>
        </w:rPr>
        <w:t>µg/mL</w:t>
      </w:r>
      <w:r w:rsidRPr="00DD428E">
        <w:rPr>
          <w:rFonts w:ascii="Arial" w:hAnsi="Arial" w:cs="Arial"/>
          <w:sz w:val="20"/>
          <w:szCs w:val="20"/>
          <w:lang w:val="es-ES"/>
        </w:rPr>
        <w:t xml:space="preserve"> para Typhim Vi® (Typhi 3 y Typhi 6) y </w:t>
      </w:r>
      <w:r w:rsidR="001A44F9" w:rsidRPr="00DD428E">
        <w:rPr>
          <w:rFonts w:ascii="Arial" w:hAnsi="Arial" w:cs="Arial"/>
          <w:sz w:val="20"/>
          <w:szCs w:val="20"/>
          <w:lang w:val="es-ES"/>
        </w:rPr>
        <w:t>6 y 9 µg/mL</w:t>
      </w:r>
      <w:r w:rsidRPr="00DD428E">
        <w:rPr>
          <w:rFonts w:ascii="Arial" w:hAnsi="Arial" w:cs="Arial"/>
          <w:sz w:val="20"/>
          <w:szCs w:val="20"/>
          <w:lang w:val="es-ES"/>
        </w:rPr>
        <w:t xml:space="preserve"> para Pneumovax® (Pneumo 6 y Pneumo 9). A su vez, se determinó la proliferación de las diversas subpoblaciones linfocitarias y se estableció, otro parámetro resultado de las pruebas preliminares sirvió para establecer que la adquisición de los cultivos  se realizaría  al día 4.</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 xml:space="preserve">En general, se observó un incremento de la proliferación linfocitaria en relación con las dosis de antígeno utilizada en los cultivos y al tiempo transcurrido posterior a la vacunación (4 </w:t>
      </w:r>
      <w:r w:rsidRPr="00DD428E">
        <w:rPr>
          <w:rFonts w:ascii="Arial" w:hAnsi="Arial" w:cs="Arial"/>
          <w:i/>
          <w:sz w:val="20"/>
          <w:szCs w:val="20"/>
          <w:lang w:val="es-ES"/>
        </w:rPr>
        <w:t>versus</w:t>
      </w:r>
      <w:r w:rsidRPr="00DD428E">
        <w:rPr>
          <w:rFonts w:ascii="Arial" w:hAnsi="Arial" w:cs="Arial"/>
          <w:sz w:val="20"/>
          <w:szCs w:val="20"/>
          <w:lang w:val="es-ES"/>
        </w:rPr>
        <w:t xml:space="preserve"> 6 semanas), resultando similar a las 6 semanas tanto para el antígeno Typhim Vi®  como para</w:t>
      </w:r>
      <w:r w:rsidR="00554A68" w:rsidRPr="00DD428E">
        <w:rPr>
          <w:rFonts w:ascii="Arial" w:hAnsi="Arial" w:cs="Arial"/>
          <w:sz w:val="20"/>
          <w:szCs w:val="20"/>
          <w:lang w:val="es-ES"/>
        </w:rPr>
        <w:t xml:space="preserve"> el Pneumovax® (Figura </w:t>
      </w:r>
      <w:r w:rsidRPr="00DD428E">
        <w:rPr>
          <w:rFonts w:ascii="Arial" w:hAnsi="Arial" w:cs="Arial"/>
          <w:sz w:val="20"/>
          <w:szCs w:val="20"/>
          <w:lang w:val="es-ES"/>
        </w:rPr>
        <w:t>1</w:t>
      </w:r>
      <w:r w:rsidR="00554A68" w:rsidRPr="00DD428E">
        <w:rPr>
          <w:rFonts w:ascii="Arial" w:hAnsi="Arial" w:cs="Arial"/>
          <w:sz w:val="20"/>
          <w:szCs w:val="20"/>
          <w:lang w:val="es-ES"/>
        </w:rPr>
        <w:t>, Gráficos A y B</w:t>
      </w:r>
      <w:r w:rsidRPr="00DD428E">
        <w:rPr>
          <w:rFonts w:ascii="Arial" w:hAnsi="Arial" w:cs="Arial"/>
          <w:sz w:val="20"/>
          <w:szCs w:val="20"/>
          <w:lang w:val="es-ES"/>
        </w:rPr>
        <w:t xml:space="preserve">).  Los linfocitos del paciente con IDVC a las 4 semanas alcanzaron valores de 50.884 para Typhi 6 y 56.630 para Pneumo 9. </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b/>
          <w:sz w:val="20"/>
          <w:szCs w:val="20"/>
          <w:u w:val="single"/>
          <w:lang w:val="es-ES"/>
        </w:rPr>
        <w:t>Estudios linfoproliferativos antígeno-específicos</w:t>
      </w:r>
      <w:r w:rsidRPr="00DD428E">
        <w:rPr>
          <w:rFonts w:ascii="Arial" w:hAnsi="Arial" w:cs="Arial"/>
          <w:sz w:val="20"/>
          <w:szCs w:val="20"/>
          <w:lang w:val="es-ES"/>
        </w:rPr>
        <w:t>:</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 xml:space="preserve">Según la mediana de linfocitos T CD4, se evidenciaron valores superiores en la semana 4 con valores de 58,78 </w:t>
      </w:r>
      <w:r w:rsidR="00604BD4" w:rsidRPr="00DD428E">
        <w:rPr>
          <w:rFonts w:ascii="Arial" w:hAnsi="Arial" w:cs="Arial"/>
          <w:sz w:val="20"/>
          <w:szCs w:val="20"/>
          <w:lang w:val="es-ES"/>
        </w:rPr>
        <w:t>±</w:t>
      </w:r>
      <w:r w:rsidRPr="00DD428E">
        <w:rPr>
          <w:rFonts w:ascii="Arial" w:hAnsi="Arial" w:cs="Arial"/>
          <w:sz w:val="20"/>
          <w:szCs w:val="20"/>
          <w:lang w:val="es-ES"/>
        </w:rPr>
        <w:t xml:space="preserve"> 7,43 para Pneumo 9, además de 57,97% </w:t>
      </w:r>
      <w:r w:rsidR="00604BD4" w:rsidRPr="00DD428E">
        <w:rPr>
          <w:rFonts w:ascii="Arial" w:hAnsi="Arial" w:cs="Arial"/>
          <w:sz w:val="20"/>
          <w:szCs w:val="20"/>
          <w:lang w:val="es-ES"/>
        </w:rPr>
        <w:t xml:space="preserve">± </w:t>
      </w:r>
      <w:r w:rsidRPr="00DD428E">
        <w:rPr>
          <w:rFonts w:ascii="Arial" w:hAnsi="Arial" w:cs="Arial"/>
          <w:sz w:val="20"/>
          <w:szCs w:val="20"/>
          <w:lang w:val="es-ES"/>
        </w:rPr>
        <w:t>7,45 y 56,40%</w:t>
      </w:r>
      <w:r w:rsidR="00604BD4" w:rsidRPr="00DD428E">
        <w:rPr>
          <w:rFonts w:ascii="Arial" w:hAnsi="Arial" w:cs="Arial"/>
          <w:sz w:val="20"/>
          <w:szCs w:val="20"/>
          <w:lang w:val="es-ES"/>
        </w:rPr>
        <w:t xml:space="preserve"> ± </w:t>
      </w:r>
      <w:r w:rsidRPr="00DD428E">
        <w:rPr>
          <w:rFonts w:ascii="Arial" w:hAnsi="Arial" w:cs="Arial"/>
          <w:sz w:val="20"/>
          <w:szCs w:val="20"/>
          <w:lang w:val="es-ES"/>
        </w:rPr>
        <w:t>7,54 de los linfocitos totales para Pneumo 6 y Typhi 6 respectivamente. Para los  linfocitos T CD8 la mediana fue menor a 28 en general en la determinación basal y en la semana 4, mientras que para la semana 6 fue superior a 48 para toda</w:t>
      </w:r>
      <w:r w:rsidR="00554A68" w:rsidRPr="00DD428E">
        <w:rPr>
          <w:rFonts w:ascii="Arial" w:hAnsi="Arial" w:cs="Arial"/>
          <w:sz w:val="20"/>
          <w:szCs w:val="20"/>
          <w:lang w:val="es-ES"/>
        </w:rPr>
        <w:t>s las condiciones (Figura 1, Gráficos C,D,E y F</w:t>
      </w:r>
      <w:r w:rsidRPr="00DD428E">
        <w:rPr>
          <w:rFonts w:ascii="Arial" w:hAnsi="Arial" w:cs="Arial"/>
          <w:sz w:val="20"/>
          <w:szCs w:val="20"/>
          <w:lang w:val="es-ES"/>
        </w:rPr>
        <w:t xml:space="preserve">).  En general los  linfocitos T CD4 del paciente con IDVC presentaron valores de 62,29% para Typhi 6 y 61,81% para Pneumo 9, en relación a los  linfocitos T CD8 en líneas generales presentaron valores inferiores a 25 en todas las condiciones. </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b/>
          <w:sz w:val="20"/>
          <w:szCs w:val="20"/>
          <w:u w:val="single"/>
          <w:lang w:val="es-ES"/>
        </w:rPr>
        <w:t>Linfocitos T CD4+</w:t>
      </w:r>
      <w:r w:rsidRPr="00DD428E">
        <w:rPr>
          <w:rFonts w:ascii="Arial" w:hAnsi="Arial" w:cs="Arial"/>
          <w:sz w:val="20"/>
          <w:szCs w:val="20"/>
          <w:lang w:val="es-ES"/>
        </w:rPr>
        <w:t>:</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En los controles sanos estudiados, los linfocitos T CD4 respondedores presentan un valor de mediana superior mayor en la semana 4, con un valor de 50,97% para todas las condiciones y para la semana 6 las condiciones de Typhi 3 y 6 presentan los mayores valores con 43,</w:t>
      </w:r>
      <w:r w:rsidR="00554A68" w:rsidRPr="00DD428E">
        <w:rPr>
          <w:rFonts w:ascii="Arial" w:hAnsi="Arial" w:cs="Arial"/>
          <w:sz w:val="20"/>
          <w:szCs w:val="20"/>
          <w:lang w:val="es-ES"/>
        </w:rPr>
        <w:t>27±13,93 para Typhi 6 (Figura 2, Gráfico A,B y C</w:t>
      </w:r>
      <w:r w:rsidRPr="00DD428E">
        <w:rPr>
          <w:rFonts w:ascii="Arial" w:hAnsi="Arial" w:cs="Arial"/>
          <w:sz w:val="20"/>
          <w:szCs w:val="20"/>
          <w:lang w:val="es-ES"/>
        </w:rPr>
        <w:t xml:space="preserve">).  Al comparar las poblaciones de linfocitos T CD4 reguladores se observa una  mediana que aumenta progresivamente en el tiempo y para todas las condiciones estudiadas, siendo mayor frente  a Pneumo 9 con 4,27±1,76, mientras que para las dos condiciones de Typhi, el porcentaje fue de 3,83±1,57 y 3,83±1,47 para Typhi 6 y Typhi 3, respectivamente. </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En el paciente con IDVC los valores de linfocitos T CD4 reguladores oscilaron entre 1,42% para Pneumo 6 y 3,29% para Thypi 3, siendo estos superiores a los descritos en los pacientes sanos, mientras que para los linfocitos T CD8 los valores fueron superiores a las medianas descritas en los pacientes sanos, destacando los valores de 53,58% y 52,88% para Pneumo 6 y Typhi 6 respectivamente.</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b/>
          <w:sz w:val="20"/>
          <w:szCs w:val="20"/>
          <w:u w:val="single"/>
          <w:lang w:val="es-ES"/>
        </w:rPr>
        <w:t>Linfocitos T CD8+</w:t>
      </w:r>
      <w:r w:rsidRPr="00DD428E">
        <w:rPr>
          <w:rFonts w:ascii="Arial" w:hAnsi="Arial" w:cs="Arial"/>
          <w:sz w:val="20"/>
          <w:szCs w:val="20"/>
          <w:lang w:val="es-ES"/>
        </w:rPr>
        <w:t>:</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En los controles sanos estudiados, los linfocitos T CD8 respondedores incrementaron sus proporciones progresivamente en todas las condiciones para la semana 4, disminuyendo en la semana 6 sin llegar a los valores iniciales.  Siendo mayor para la semana 4, en las condiciones de Pneumo 9 (98,82±1,35), Pneumo 6 (98,82±1,33) y</w:t>
      </w:r>
      <w:r w:rsidR="00526FCB" w:rsidRPr="00DD428E">
        <w:rPr>
          <w:rFonts w:ascii="Arial" w:hAnsi="Arial" w:cs="Arial"/>
          <w:sz w:val="20"/>
          <w:szCs w:val="20"/>
          <w:lang w:val="es-ES"/>
        </w:rPr>
        <w:t xml:space="preserve"> Typhi 6 (98,16±1,28) (Figura 2, Gráfico D y F</w:t>
      </w:r>
      <w:r w:rsidRPr="00DD428E">
        <w:rPr>
          <w:rFonts w:ascii="Arial" w:hAnsi="Arial" w:cs="Arial"/>
          <w:sz w:val="20"/>
          <w:szCs w:val="20"/>
          <w:lang w:val="es-ES"/>
        </w:rPr>
        <w:t xml:space="preserve">). Por el contrario, los linfocitos T CD8 reguladores tienen una escasa representación, con valores de mediana en torno a 0,60 en la determinación basal, para la semana 4 con valores que oscilan entre 0,39 y 0,63. Para la semana 6 el valor mayor fue para Typhi 3 con 0,59±0,38, sin diferencias </w:t>
      </w:r>
      <w:r w:rsidRPr="00DD428E">
        <w:rPr>
          <w:rFonts w:ascii="Arial" w:hAnsi="Arial" w:cs="Arial"/>
          <w:sz w:val="20"/>
          <w:szCs w:val="20"/>
          <w:lang w:val="es-ES"/>
        </w:rPr>
        <w:lastRenderedPageBreak/>
        <w:t>resaltantes entre las condiciones. Los valores encontrados en los linfocitos T CD8 reguladores del paciente con IDVC son menores a los de los pacientes sanos, excepto para la condición de Typhi 3, mientras que los linfocitos T CD8 respondedores presentaron valores discretamente mayores excepto en la condición de Typhi 3 donde alcanzó un valor de 94,44</w:t>
      </w:r>
      <w:r w:rsidR="00526FCB" w:rsidRPr="00DD428E">
        <w:rPr>
          <w:rFonts w:ascii="Arial" w:hAnsi="Arial" w:cs="Arial"/>
          <w:sz w:val="20"/>
          <w:szCs w:val="20"/>
          <w:lang w:val="es-ES"/>
        </w:rPr>
        <w:t xml:space="preserve"> (Figura 2, Gráfico E).</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b/>
          <w:sz w:val="20"/>
          <w:szCs w:val="20"/>
          <w:u w:val="single"/>
          <w:lang w:val="es-ES"/>
        </w:rPr>
        <w:t>Linfocitos B CD19+</w:t>
      </w:r>
      <w:r w:rsidRPr="00DD428E">
        <w:rPr>
          <w:rFonts w:ascii="Arial" w:hAnsi="Arial" w:cs="Arial"/>
          <w:sz w:val="20"/>
          <w:szCs w:val="20"/>
          <w:lang w:val="es-ES"/>
        </w:rPr>
        <w:t>:</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En los controles sanos estudiados, los linfocitos B totales mostraron frecuencias mayores en la semana 4 para la condición Typhi 6 con 46,91±15,6, siendo menor para Pneumo 9 con 32,84±15,04. En cuanto a las diferentes subpoblaciones, los linfocitos B naive, se observó una disminución de la frecuencia de la mediana en relación a la determinación basal a nivel de los valores de la semana 4 evidenciándose mayores valores para la semana 6 en las condiciones Pneumo 6 (1,</w:t>
      </w:r>
      <w:r w:rsidR="006C116B" w:rsidRPr="00DD428E">
        <w:rPr>
          <w:rFonts w:ascii="Arial" w:hAnsi="Arial" w:cs="Arial"/>
          <w:sz w:val="20"/>
          <w:szCs w:val="20"/>
          <w:lang w:val="es-ES"/>
        </w:rPr>
        <w:t>34±0,50) y Pneumo 9 (1,34±0,46)</w:t>
      </w:r>
      <w:r w:rsidRPr="00DD428E">
        <w:rPr>
          <w:rFonts w:ascii="Arial" w:hAnsi="Arial" w:cs="Arial"/>
          <w:sz w:val="20"/>
          <w:szCs w:val="20"/>
          <w:lang w:val="es-ES"/>
        </w:rPr>
        <w:t>. En los linfocitos B con cambio de isotipo (class-switched) se observa un incremento, con una mediana &gt; 45% en la semana 4 y a 62% en la semana 6, sin diferencias entre las condiciones dependientes de la concentración de antígeno, frente a los casos basales los valor</w:t>
      </w:r>
      <w:r w:rsidR="008614C6">
        <w:rPr>
          <w:rFonts w:ascii="Arial" w:hAnsi="Arial" w:cs="Arial"/>
          <w:sz w:val="20"/>
          <w:szCs w:val="20"/>
          <w:lang w:val="es-ES"/>
        </w:rPr>
        <w:t xml:space="preserve">es aumentan a </w:t>
      </w:r>
      <w:r w:rsidRPr="00DD428E">
        <w:rPr>
          <w:rFonts w:ascii="Arial" w:hAnsi="Arial" w:cs="Arial"/>
          <w:sz w:val="20"/>
          <w:szCs w:val="20"/>
          <w:lang w:val="es-ES"/>
        </w:rPr>
        <w:t>62,29±13,99 para Pneumo 9</w:t>
      </w:r>
      <w:r w:rsidR="00FB7B0F" w:rsidRPr="00DD428E">
        <w:rPr>
          <w:rFonts w:ascii="Arial" w:hAnsi="Arial" w:cs="Arial"/>
          <w:sz w:val="20"/>
          <w:szCs w:val="20"/>
          <w:lang w:val="es-ES"/>
        </w:rPr>
        <w:t xml:space="preserve"> (Figura 3, Gráfico A y B)</w:t>
      </w:r>
      <w:r w:rsidRPr="00DD428E">
        <w:rPr>
          <w:rFonts w:ascii="Arial" w:hAnsi="Arial" w:cs="Arial"/>
          <w:sz w:val="20"/>
          <w:szCs w:val="20"/>
          <w:lang w:val="es-ES"/>
        </w:rPr>
        <w:t>.</w:t>
      </w:r>
      <w:r w:rsidR="00FB7B0F" w:rsidRPr="00DD428E">
        <w:rPr>
          <w:rFonts w:ascii="Arial" w:hAnsi="Arial" w:cs="Arial"/>
          <w:sz w:val="20"/>
          <w:szCs w:val="20"/>
          <w:lang w:val="es-ES"/>
        </w:rPr>
        <w:t xml:space="preserve"> </w:t>
      </w:r>
      <w:r w:rsidRPr="00DD428E">
        <w:rPr>
          <w:rFonts w:ascii="Arial" w:hAnsi="Arial" w:cs="Arial"/>
          <w:sz w:val="20"/>
          <w:szCs w:val="20"/>
          <w:lang w:val="es-ES"/>
        </w:rPr>
        <w:t xml:space="preserve"> En general, los linfocitos B de memoria presentan un aumento de los valores de la mediana según el tiempo y las concentracione</w:t>
      </w:r>
      <w:r w:rsidR="00FB7B0F" w:rsidRPr="00DD428E">
        <w:rPr>
          <w:rFonts w:ascii="Arial" w:hAnsi="Arial" w:cs="Arial"/>
          <w:sz w:val="20"/>
          <w:szCs w:val="20"/>
          <w:lang w:val="es-ES"/>
        </w:rPr>
        <w:t>s de antígeno</w:t>
      </w:r>
      <w:r w:rsidRPr="00DD428E">
        <w:rPr>
          <w:rFonts w:ascii="Arial" w:hAnsi="Arial" w:cs="Arial"/>
          <w:sz w:val="20"/>
          <w:szCs w:val="20"/>
          <w:lang w:val="es-ES"/>
        </w:rPr>
        <w:t xml:space="preserve">.  </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Cuantitativamente, los LB del paciente con IDVC presentaron valores &lt;6% para todas las condiciones, y en relación a las subpo</w:t>
      </w:r>
      <w:r w:rsidR="00E66E6A" w:rsidRPr="00DD428E">
        <w:rPr>
          <w:rFonts w:ascii="Arial" w:hAnsi="Arial" w:cs="Arial"/>
          <w:sz w:val="20"/>
          <w:szCs w:val="20"/>
          <w:lang w:val="es-ES"/>
        </w:rPr>
        <w:t>blaciones, los LB con cambio de isotipo</w:t>
      </w:r>
      <w:r w:rsidRPr="00DD428E">
        <w:rPr>
          <w:rFonts w:ascii="Arial" w:hAnsi="Arial" w:cs="Arial"/>
          <w:sz w:val="20"/>
          <w:szCs w:val="20"/>
          <w:lang w:val="es-ES"/>
        </w:rPr>
        <w:t xml:space="preserve"> presentaron valores &gt; 68%, superando en todas las condiciones los valores de mediana reportados, mientras que los linfocitos B naive presentaron valores discretamente mayores en relación a los individuos sanos con valores de 0,96 para la condición basal 2,13 para Pneumo 9 y 2,09 para Typhi 3.  Con respecto a los LB de memoria, los valores mayores a los presentados para los individuos normales fueron los de Typhi 3 con 0,83 y basal con 0,33, resultando menores para el resto de las condiciones. </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b/>
          <w:sz w:val="20"/>
          <w:szCs w:val="20"/>
          <w:u w:val="single"/>
          <w:lang w:val="es-ES"/>
        </w:rPr>
        <w:t>Ensayos de proliferación</w:t>
      </w:r>
      <w:r w:rsidRPr="00DD428E">
        <w:rPr>
          <w:rFonts w:ascii="Arial" w:hAnsi="Arial" w:cs="Arial"/>
          <w:sz w:val="20"/>
          <w:szCs w:val="20"/>
          <w:lang w:val="es-ES"/>
        </w:rPr>
        <w:t xml:space="preserve">: </w:t>
      </w:r>
    </w:p>
    <w:p w:rsidR="00D52972" w:rsidRPr="00DD428E" w:rsidRDefault="00D52972" w:rsidP="00D52972">
      <w:pPr>
        <w:jc w:val="both"/>
        <w:rPr>
          <w:rFonts w:ascii="Arial" w:hAnsi="Arial" w:cs="Arial"/>
          <w:sz w:val="20"/>
          <w:szCs w:val="20"/>
          <w:lang w:val="es-ES"/>
        </w:rPr>
      </w:pPr>
    </w:p>
    <w:p w:rsidR="00D52972" w:rsidRPr="00DD428E" w:rsidRDefault="008D6A23" w:rsidP="00D52972">
      <w:pPr>
        <w:jc w:val="both"/>
        <w:rPr>
          <w:rFonts w:ascii="Arial" w:hAnsi="Arial" w:cs="Arial"/>
          <w:sz w:val="20"/>
          <w:szCs w:val="20"/>
          <w:lang w:val="es-ES"/>
        </w:rPr>
      </w:pPr>
      <w:r w:rsidRPr="00DD428E">
        <w:rPr>
          <w:rFonts w:ascii="Arial" w:hAnsi="Arial" w:cs="Arial"/>
          <w:sz w:val="20"/>
          <w:szCs w:val="20"/>
          <w:lang w:val="es-ES"/>
        </w:rPr>
        <w:t xml:space="preserve">La proliferación es expresada en porcentaje de cada subpoblación con respecto a los linfocitos totales. </w:t>
      </w:r>
      <w:r w:rsidR="00D52972" w:rsidRPr="00DD428E">
        <w:rPr>
          <w:rFonts w:ascii="Arial" w:hAnsi="Arial" w:cs="Arial"/>
          <w:sz w:val="20"/>
          <w:szCs w:val="20"/>
          <w:lang w:val="es-ES"/>
        </w:rPr>
        <w:t xml:space="preserve">Para los linfocitos CD4 reguladores los valores mayores </w:t>
      </w:r>
      <w:r w:rsidR="00FA54CF" w:rsidRPr="00DD428E">
        <w:rPr>
          <w:rFonts w:ascii="Arial" w:hAnsi="Arial" w:cs="Arial"/>
          <w:sz w:val="20"/>
          <w:szCs w:val="20"/>
          <w:lang w:val="es-ES"/>
        </w:rPr>
        <w:t>resaltan a las 4 semanas con 90±</w:t>
      </w:r>
      <w:r w:rsidR="00D52972" w:rsidRPr="00DD428E">
        <w:rPr>
          <w:rFonts w:ascii="Arial" w:hAnsi="Arial" w:cs="Arial"/>
          <w:sz w:val="20"/>
          <w:szCs w:val="20"/>
          <w:lang w:val="es-ES"/>
        </w:rPr>
        <w:t>25,22 para Pneumo 9 y 85,43</w:t>
      </w:r>
      <w:r w:rsidR="00FA54CF" w:rsidRPr="00DD428E">
        <w:rPr>
          <w:rFonts w:ascii="Arial" w:hAnsi="Arial" w:cs="Arial"/>
          <w:sz w:val="20"/>
          <w:szCs w:val="20"/>
          <w:lang w:val="es-ES"/>
        </w:rPr>
        <w:t>±</w:t>
      </w:r>
      <w:r w:rsidR="00D52972" w:rsidRPr="00DD428E">
        <w:rPr>
          <w:rFonts w:ascii="Arial" w:hAnsi="Arial" w:cs="Arial"/>
          <w:sz w:val="20"/>
          <w:szCs w:val="20"/>
          <w:lang w:val="es-ES"/>
        </w:rPr>
        <w:t>36,35  para Typhi 6, de manera contrastante los menores valores fueron para estas condiciones en la semana 6.  Para los linfocitos T CD4 respondedores, en cambio se observan valores superiores a 40 para la mediana en la semana 6, resultan</w:t>
      </w:r>
      <w:r w:rsidR="00FA54CF" w:rsidRPr="00DD428E">
        <w:rPr>
          <w:rFonts w:ascii="Arial" w:hAnsi="Arial" w:cs="Arial"/>
          <w:sz w:val="20"/>
          <w:szCs w:val="20"/>
          <w:lang w:val="es-ES"/>
        </w:rPr>
        <w:t>do mayor para Typhi 3 con 45,87±4,84</w:t>
      </w:r>
      <w:r w:rsidR="00D52972" w:rsidRPr="00DD428E">
        <w:rPr>
          <w:rFonts w:ascii="Arial" w:hAnsi="Arial" w:cs="Arial"/>
          <w:sz w:val="20"/>
          <w:szCs w:val="20"/>
          <w:lang w:val="es-ES"/>
        </w:rPr>
        <w:t>.  Los linfocitos T CD4 reguladores del paciente con IDVC proliferaron en valores reportados en menos de 12 para todas las condiciones, mientras que  para los linfocitos T CD4 respondedores los valores reportados fueron mayores a 2, para la misma semana en los individuos sanos todas las condiciones reportaron valores menores a 0,51.</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 xml:space="preserve">El patrón de aumento de porcentaje para los linfocitos T </w:t>
      </w:r>
      <w:r w:rsidR="00FA54CF" w:rsidRPr="00DD428E">
        <w:rPr>
          <w:rFonts w:ascii="Arial" w:hAnsi="Arial" w:cs="Arial"/>
          <w:sz w:val="20"/>
          <w:szCs w:val="20"/>
          <w:lang w:val="es-ES"/>
        </w:rPr>
        <w:t>CD8 reguladores</w:t>
      </w:r>
      <w:r w:rsidRPr="00DD428E">
        <w:rPr>
          <w:rFonts w:ascii="Arial" w:hAnsi="Arial" w:cs="Arial"/>
          <w:sz w:val="20"/>
          <w:szCs w:val="20"/>
          <w:lang w:val="es-ES"/>
        </w:rPr>
        <w:t xml:space="preserve"> fue similar en la semana 4 independientemente de la dosis de antígeno. la mediana no supera el valor de 14, con una mayor proliferación durante la semana 6 para la condición de Typhi 3 con 18,64±25,02 y para Pneumo 6 con 14,24±17,27. P Los valores de mediana de proliferación de linfocitos T CD8 respondedores fue &gt; 43% en la semana 6, resultando ligeramente superior en las condiciones de Typhi 3 (43,06±12,51), sobre Typhi 6, Pneumo 6 y Pneumo 9. Los valores a las 4 semanas resultaron menores al 2% en todas las condiciones estudiadas.  Al comparar los porcentajes de proliferación entre los linfocitos T CD8 reguladores y respondedores se reportó que para las condiciones de sin estimulo y Typhi 3 el grupo de respondedores prolifero un 97% frente a un 78% y 28 % respectivamente en los linfocitos T CD8 reguladores, mientras que para el resto de las condiciones de los respondedores la proliferación fue de 96%, menores valores de proliferación dosis dependiente se observo en los reguladores con valores de 11% para Typhi 6, 5% para Pneumo 6 y una proliferación que disminuyo en un 4% para la condición de Pneumo 9 en relación a los respondedores. En los valores reportados en el paciente con IDVC para población linfocitos T CD8 reguladores la condición basal alcanzó 77,57 y para Typhi 3 se evidenció un valor de 35,92, las demás condiciones reportaron valores inferiores a 9, mientras que para linfocitos T CD8 </w:t>
      </w:r>
      <w:r w:rsidRPr="00DD428E">
        <w:rPr>
          <w:rFonts w:ascii="Arial" w:hAnsi="Arial" w:cs="Arial"/>
          <w:sz w:val="20"/>
          <w:szCs w:val="20"/>
          <w:lang w:val="es-ES"/>
        </w:rPr>
        <w:lastRenderedPageBreak/>
        <w:t>respondedores se evidencia una proliferación superior en Typhi 6 con 2,66 e inferior para la condición de Pneumo 9 con 1,26.</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La mediana de proliferación de linfocitos B naive fue menor a 6 a las 4 semanas en todas las condiciones, sin diferencias entre las concentraciones de antígeno. Para la semana 6 los mayores valores fueron para las condiciones de Typhi 3 (36,57±12,57) y  Pneumo 6 (36,47±15,65).  Una distribución parecida de valores presentan los LB de memoria, con la diferencia de que en la semana 4 la mediana está por encima del 10.  Los LB class-switch presentan a las 4 semanas una mediana de proliferación &gt; 13%, mostrando valores superiores en las condiciones de Typhi 3 (13,76±17,16) y Typhi 6 (10,02±16,34) y en la semana 6 los valores se encuentran por encima de 49, para las condiciones de Pneumo y con valores de 44,58±10,32 para Typhi 6 y 42,48±10,45 para Typhi 3.  Para ilustrar los ensayos de proliferación se presenta</w:t>
      </w:r>
      <w:r w:rsidR="0098796F" w:rsidRPr="00DD428E">
        <w:rPr>
          <w:rFonts w:ascii="Arial" w:hAnsi="Arial" w:cs="Arial"/>
          <w:sz w:val="20"/>
          <w:szCs w:val="20"/>
          <w:lang w:val="es-ES"/>
        </w:rPr>
        <w:t>s</w:t>
      </w:r>
      <w:r w:rsidRPr="00DD428E">
        <w:rPr>
          <w:rFonts w:ascii="Arial" w:hAnsi="Arial" w:cs="Arial"/>
          <w:sz w:val="20"/>
          <w:szCs w:val="20"/>
          <w:lang w:val="es-ES"/>
        </w:rPr>
        <w:t xml:space="preserve"> la</w:t>
      </w:r>
      <w:r w:rsidR="0098796F" w:rsidRPr="00DD428E">
        <w:rPr>
          <w:rFonts w:ascii="Arial" w:hAnsi="Arial" w:cs="Arial"/>
          <w:sz w:val="20"/>
          <w:szCs w:val="20"/>
          <w:lang w:val="es-ES"/>
        </w:rPr>
        <w:t>s</w:t>
      </w:r>
      <w:r w:rsidRPr="00DD428E">
        <w:rPr>
          <w:rFonts w:ascii="Arial" w:hAnsi="Arial" w:cs="Arial"/>
          <w:sz w:val="20"/>
          <w:szCs w:val="20"/>
          <w:lang w:val="es-ES"/>
        </w:rPr>
        <w:t xml:space="preserve"> Figura</w:t>
      </w:r>
      <w:r w:rsidR="0098796F" w:rsidRPr="00DD428E">
        <w:rPr>
          <w:rFonts w:ascii="Arial" w:hAnsi="Arial" w:cs="Arial"/>
          <w:sz w:val="20"/>
          <w:szCs w:val="20"/>
          <w:lang w:val="es-ES"/>
        </w:rPr>
        <w:t>s 4,5 y 6</w:t>
      </w:r>
      <w:r w:rsidRPr="00DD428E">
        <w:rPr>
          <w:rFonts w:ascii="Arial" w:hAnsi="Arial" w:cs="Arial"/>
          <w:sz w:val="20"/>
          <w:szCs w:val="20"/>
          <w:lang w:val="es-ES"/>
        </w:rPr>
        <w:t>, correspondiente</w:t>
      </w:r>
      <w:r w:rsidR="0098796F" w:rsidRPr="00DD428E">
        <w:rPr>
          <w:rFonts w:ascii="Arial" w:hAnsi="Arial" w:cs="Arial"/>
          <w:sz w:val="20"/>
          <w:szCs w:val="20"/>
          <w:lang w:val="es-ES"/>
        </w:rPr>
        <w:t>s</w:t>
      </w:r>
      <w:r w:rsidRPr="00DD428E">
        <w:rPr>
          <w:rFonts w:ascii="Arial" w:hAnsi="Arial" w:cs="Arial"/>
          <w:sz w:val="20"/>
          <w:szCs w:val="20"/>
          <w:lang w:val="es-ES"/>
        </w:rPr>
        <w:t xml:space="preserve"> a un paciente sano</w:t>
      </w:r>
      <w:r w:rsidR="0098796F" w:rsidRPr="00DD428E">
        <w:rPr>
          <w:rFonts w:ascii="Arial" w:hAnsi="Arial" w:cs="Arial"/>
          <w:sz w:val="20"/>
          <w:szCs w:val="20"/>
          <w:lang w:val="es-ES"/>
        </w:rPr>
        <w:t xml:space="preserve"> representativo</w:t>
      </w:r>
      <w:r w:rsidRPr="00DD428E">
        <w:rPr>
          <w:rFonts w:ascii="Arial" w:hAnsi="Arial" w:cs="Arial"/>
          <w:sz w:val="20"/>
          <w:szCs w:val="20"/>
          <w:lang w:val="es-ES"/>
        </w:rPr>
        <w:t xml:space="preserve">.  </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ES"/>
        </w:rPr>
      </w:pPr>
      <w:r w:rsidRPr="00DD428E">
        <w:rPr>
          <w:rFonts w:ascii="Arial" w:hAnsi="Arial" w:cs="Arial"/>
          <w:sz w:val="20"/>
          <w:szCs w:val="20"/>
          <w:lang w:val="es-ES"/>
        </w:rPr>
        <w:t>En el paciente con IDVC fue reportada la proliferación de los LB naive valores de 37,04% para Pneumo 6 y 31,14% para Typhi 6, siendo el resto de los valores menores.  En el caso de los LB class-switch las condiciones Typhi 3 y basal alcanzaron valores de 14,29 y 14,13, respectivamente, es decir, claramente inferiores a los pacientes sanos estudiados. El resto de las condiciones presentaron valores menores a 4.  Para los LB de memoria la condición basal reportó un valor de 30,43%, siendo para Typhi 6 de 16,76 y para Pneumo 9 de 15.</w:t>
      </w:r>
    </w:p>
    <w:p w:rsidR="00D52972" w:rsidRPr="00DD428E" w:rsidRDefault="00D52972" w:rsidP="00D52972">
      <w:pPr>
        <w:jc w:val="both"/>
        <w:rPr>
          <w:rFonts w:ascii="Arial" w:hAnsi="Arial" w:cs="Arial"/>
          <w:sz w:val="20"/>
          <w:szCs w:val="20"/>
          <w:lang w:val="es-ES"/>
        </w:rPr>
      </w:pPr>
    </w:p>
    <w:p w:rsidR="00D52972" w:rsidRPr="00DD428E" w:rsidRDefault="00D52972" w:rsidP="00D52972">
      <w:pPr>
        <w:jc w:val="both"/>
        <w:rPr>
          <w:rFonts w:ascii="Arial" w:hAnsi="Arial" w:cs="Arial"/>
          <w:sz w:val="20"/>
          <w:szCs w:val="20"/>
          <w:lang w:val="es-VE" w:eastAsia="es-VE"/>
        </w:rPr>
      </w:pPr>
      <w:r w:rsidRPr="00DD428E">
        <w:rPr>
          <w:rFonts w:ascii="Arial" w:hAnsi="Arial" w:cs="Arial"/>
          <w:b/>
          <w:sz w:val="20"/>
          <w:szCs w:val="20"/>
          <w:u w:val="single"/>
          <w:lang w:val="es-VE" w:eastAsia="es-VE"/>
        </w:rPr>
        <w:t xml:space="preserve">Cuantificación </w:t>
      </w:r>
      <w:r w:rsidR="002D27B9" w:rsidRPr="00DD428E">
        <w:rPr>
          <w:rFonts w:ascii="Arial" w:hAnsi="Arial" w:cs="Arial"/>
          <w:b/>
          <w:sz w:val="20"/>
          <w:szCs w:val="20"/>
          <w:u w:val="single"/>
          <w:lang w:val="es-VE" w:eastAsia="es-VE"/>
        </w:rPr>
        <w:t>de inmunoglobulinas séricas pre</w:t>
      </w:r>
      <w:r w:rsidRPr="00DD428E">
        <w:rPr>
          <w:rFonts w:ascii="Arial" w:hAnsi="Arial" w:cs="Arial"/>
          <w:b/>
          <w:sz w:val="20"/>
          <w:szCs w:val="20"/>
          <w:u w:val="single"/>
          <w:lang w:val="es-VE" w:eastAsia="es-VE"/>
        </w:rPr>
        <w:t xml:space="preserve"> y postvacunación</w:t>
      </w:r>
      <w:r w:rsidRPr="00DD428E">
        <w:rPr>
          <w:rFonts w:ascii="Arial" w:hAnsi="Arial" w:cs="Arial"/>
          <w:sz w:val="20"/>
          <w:szCs w:val="20"/>
          <w:lang w:val="es-VE" w:eastAsia="es-VE"/>
        </w:rPr>
        <w:t>:</w:t>
      </w:r>
    </w:p>
    <w:p w:rsidR="00D52972" w:rsidRPr="00DD428E" w:rsidRDefault="00D52972" w:rsidP="00D52972">
      <w:pPr>
        <w:jc w:val="both"/>
        <w:rPr>
          <w:rFonts w:ascii="Arial" w:hAnsi="Arial" w:cs="Arial"/>
          <w:sz w:val="20"/>
          <w:szCs w:val="20"/>
          <w:highlight w:val="yellow"/>
          <w:lang w:val="es-VE" w:eastAsia="es-VE"/>
        </w:rPr>
      </w:pPr>
    </w:p>
    <w:p w:rsidR="00D52972" w:rsidRPr="00DD428E" w:rsidRDefault="00D52972" w:rsidP="00D52972">
      <w:pPr>
        <w:jc w:val="both"/>
        <w:rPr>
          <w:rFonts w:ascii="Arial" w:hAnsi="Arial" w:cs="Arial"/>
          <w:sz w:val="20"/>
          <w:szCs w:val="20"/>
          <w:lang w:val="es-VE"/>
        </w:rPr>
      </w:pPr>
      <w:r w:rsidRPr="00DD428E">
        <w:rPr>
          <w:rFonts w:ascii="Arial" w:hAnsi="Arial" w:cs="Arial"/>
          <w:sz w:val="20"/>
          <w:szCs w:val="20"/>
          <w:lang w:val="es-VE" w:eastAsia="es-VE"/>
        </w:rPr>
        <w:t>En general, se observó un incremento de los niveles séricos totales de IgG e IgM en el intervalo de 4 semanas tras la vacunación. La respuesta humoral determinada a nivel de suero pre- y postvacunación evidenció valores promedio para IgG pre-vacunación de 990</w:t>
      </w:r>
      <w:r w:rsidRPr="00DD428E">
        <w:rPr>
          <w:rFonts w:ascii="Arial" w:hAnsi="Arial" w:cs="Arial"/>
          <w:sz w:val="20"/>
          <w:szCs w:val="20"/>
          <w:lang w:val="es-ES"/>
        </w:rPr>
        <w:t>±</w:t>
      </w:r>
      <w:r w:rsidRPr="00DD428E">
        <w:rPr>
          <w:rFonts w:ascii="Arial" w:hAnsi="Arial" w:cs="Arial"/>
          <w:sz w:val="20"/>
          <w:szCs w:val="20"/>
          <w:lang w:val="es-VE"/>
        </w:rPr>
        <w:t xml:space="preserve">190 mg/dL y post-vacunación de </w:t>
      </w:r>
      <w:r w:rsidRPr="00DD428E">
        <w:rPr>
          <w:rFonts w:ascii="Arial" w:hAnsi="Arial" w:cs="Arial"/>
          <w:sz w:val="20"/>
          <w:szCs w:val="20"/>
          <w:lang w:val="es-VE" w:eastAsia="es-VE"/>
        </w:rPr>
        <w:t>1.210,00</w:t>
      </w:r>
      <w:r w:rsidRPr="00DD428E">
        <w:rPr>
          <w:rFonts w:ascii="Arial" w:hAnsi="Arial" w:cs="Arial"/>
          <w:sz w:val="20"/>
          <w:szCs w:val="20"/>
          <w:lang w:val="es-ES"/>
        </w:rPr>
        <w:t>±</w:t>
      </w:r>
      <w:r w:rsidRPr="00DD428E">
        <w:rPr>
          <w:rFonts w:ascii="Arial" w:hAnsi="Arial" w:cs="Arial"/>
          <w:sz w:val="20"/>
          <w:szCs w:val="20"/>
          <w:lang w:val="es-VE"/>
        </w:rPr>
        <w:t xml:space="preserve">121,66 mg/dL, determinándose un porcentaje de aumento de 18,19%, mientras que para IgA fueron para pre-vacunación </w:t>
      </w:r>
      <w:r w:rsidRPr="00DD428E">
        <w:rPr>
          <w:rFonts w:ascii="Arial" w:hAnsi="Arial" w:cs="Arial"/>
          <w:sz w:val="20"/>
          <w:szCs w:val="20"/>
          <w:lang w:val="es-VE" w:eastAsia="es-VE"/>
        </w:rPr>
        <w:t>184,67</w:t>
      </w:r>
      <w:r w:rsidRPr="00DD428E">
        <w:rPr>
          <w:rFonts w:ascii="Arial" w:hAnsi="Arial" w:cs="Arial"/>
          <w:sz w:val="20"/>
          <w:szCs w:val="20"/>
          <w:lang w:val="es-ES"/>
        </w:rPr>
        <w:t>±</w:t>
      </w:r>
      <w:r w:rsidRPr="00DD428E">
        <w:rPr>
          <w:rFonts w:ascii="Arial" w:hAnsi="Arial" w:cs="Arial"/>
          <w:sz w:val="20"/>
          <w:szCs w:val="20"/>
          <w:lang w:val="es-VE"/>
        </w:rPr>
        <w:t xml:space="preserve">72,59 mg/dL y para post-vacunación de </w:t>
      </w:r>
      <w:r w:rsidRPr="00DD428E">
        <w:rPr>
          <w:rFonts w:ascii="Arial" w:hAnsi="Arial" w:cs="Arial"/>
          <w:sz w:val="20"/>
          <w:szCs w:val="20"/>
          <w:lang w:val="es-VE" w:eastAsia="es-VE"/>
        </w:rPr>
        <w:t>164</w:t>
      </w:r>
      <w:r w:rsidRPr="00DD428E">
        <w:rPr>
          <w:rFonts w:ascii="Arial" w:hAnsi="Arial" w:cs="Arial"/>
          <w:sz w:val="20"/>
          <w:szCs w:val="20"/>
          <w:lang w:val="es-ES"/>
        </w:rPr>
        <w:t>±</w:t>
      </w:r>
      <w:r w:rsidRPr="00DD428E">
        <w:rPr>
          <w:rFonts w:ascii="Arial" w:hAnsi="Arial" w:cs="Arial"/>
          <w:sz w:val="20"/>
          <w:szCs w:val="20"/>
          <w:lang w:val="es-VE"/>
        </w:rPr>
        <w:t xml:space="preserve">39,61 mg/dL, con un porcentaje de disminución de 11,2%, y en cuanto a la IgM valores de pre-vacunación de </w:t>
      </w:r>
      <w:r w:rsidRPr="00DD428E">
        <w:rPr>
          <w:rFonts w:ascii="Arial" w:hAnsi="Arial" w:cs="Arial"/>
          <w:sz w:val="20"/>
          <w:szCs w:val="20"/>
          <w:lang w:val="es-VE" w:eastAsia="es-VE"/>
        </w:rPr>
        <w:t>91,6</w:t>
      </w:r>
      <w:r w:rsidRPr="00DD428E">
        <w:rPr>
          <w:rFonts w:ascii="Arial" w:hAnsi="Arial" w:cs="Arial"/>
          <w:sz w:val="20"/>
          <w:szCs w:val="20"/>
          <w:lang w:val="es-ES"/>
        </w:rPr>
        <w:t>±</w:t>
      </w:r>
      <w:r w:rsidRPr="00DD428E">
        <w:rPr>
          <w:rFonts w:ascii="Arial" w:hAnsi="Arial" w:cs="Arial"/>
          <w:sz w:val="20"/>
          <w:szCs w:val="20"/>
          <w:lang w:val="es-VE"/>
        </w:rPr>
        <w:t xml:space="preserve">38,86 mg/dL y post-vacunación de </w:t>
      </w:r>
      <w:r w:rsidRPr="00DD428E">
        <w:rPr>
          <w:rFonts w:ascii="Arial" w:hAnsi="Arial" w:cs="Arial"/>
          <w:sz w:val="20"/>
          <w:szCs w:val="20"/>
          <w:lang w:val="es-VE" w:eastAsia="es-VE"/>
        </w:rPr>
        <w:t>106,1</w:t>
      </w:r>
      <w:r w:rsidRPr="00DD428E">
        <w:rPr>
          <w:rFonts w:ascii="Arial" w:hAnsi="Arial" w:cs="Arial"/>
          <w:sz w:val="20"/>
          <w:szCs w:val="20"/>
          <w:lang w:val="es-ES"/>
        </w:rPr>
        <w:t>±</w:t>
      </w:r>
      <w:r w:rsidRPr="00DD428E">
        <w:rPr>
          <w:rFonts w:ascii="Arial" w:hAnsi="Arial" w:cs="Arial"/>
          <w:sz w:val="20"/>
          <w:szCs w:val="20"/>
          <w:lang w:val="es-VE"/>
        </w:rPr>
        <w:t>37,47 mg/dL, evidenciándose un porcentaje de aumento de 14,15% (Tabla 1).</w:t>
      </w:r>
    </w:p>
    <w:p w:rsidR="00D52972" w:rsidRPr="00DD428E" w:rsidRDefault="00D52972" w:rsidP="00D52972">
      <w:pPr>
        <w:jc w:val="both"/>
        <w:rPr>
          <w:rFonts w:ascii="Arial" w:hAnsi="Arial" w:cs="Arial"/>
          <w:sz w:val="20"/>
          <w:szCs w:val="20"/>
          <w:lang w:val="es-VE"/>
        </w:rPr>
      </w:pPr>
    </w:p>
    <w:p w:rsidR="00D52972" w:rsidRPr="00DD428E" w:rsidRDefault="00D52972" w:rsidP="00D52972">
      <w:pPr>
        <w:jc w:val="both"/>
        <w:rPr>
          <w:rFonts w:ascii="Arial" w:hAnsi="Arial" w:cs="Arial"/>
          <w:b/>
          <w:sz w:val="20"/>
          <w:szCs w:val="20"/>
          <w:lang w:val="es-VE" w:eastAsia="es-VE"/>
        </w:rPr>
      </w:pPr>
      <w:r w:rsidRPr="00DD428E">
        <w:rPr>
          <w:rFonts w:ascii="Arial" w:hAnsi="Arial" w:cs="Arial"/>
          <w:b/>
          <w:sz w:val="20"/>
          <w:szCs w:val="20"/>
          <w:u w:val="single"/>
          <w:lang w:val="es-VE"/>
        </w:rPr>
        <w:t xml:space="preserve">Cuantificación de interleucinas séricas </w:t>
      </w:r>
      <w:r w:rsidRPr="00DD428E">
        <w:rPr>
          <w:rFonts w:ascii="Arial" w:hAnsi="Arial" w:cs="Arial"/>
          <w:b/>
          <w:sz w:val="20"/>
          <w:szCs w:val="20"/>
          <w:u w:val="single"/>
          <w:lang w:val="es-VE" w:eastAsia="es-VE"/>
        </w:rPr>
        <w:t>pr</w:t>
      </w:r>
      <w:r w:rsidR="00DD3D62" w:rsidRPr="00DD428E">
        <w:rPr>
          <w:rFonts w:ascii="Arial" w:hAnsi="Arial" w:cs="Arial"/>
          <w:b/>
          <w:sz w:val="20"/>
          <w:szCs w:val="20"/>
          <w:u w:val="single"/>
          <w:lang w:val="es-VE" w:eastAsia="es-VE"/>
        </w:rPr>
        <w:t>e</w:t>
      </w:r>
      <w:r w:rsidRPr="00DD428E">
        <w:rPr>
          <w:rFonts w:ascii="Arial" w:hAnsi="Arial" w:cs="Arial"/>
          <w:b/>
          <w:sz w:val="20"/>
          <w:szCs w:val="20"/>
          <w:u w:val="single"/>
          <w:lang w:val="es-VE" w:eastAsia="es-VE"/>
        </w:rPr>
        <w:t xml:space="preserve"> y postvacunación</w:t>
      </w:r>
      <w:r w:rsidRPr="00DD428E">
        <w:rPr>
          <w:rFonts w:ascii="Arial" w:hAnsi="Arial" w:cs="Arial"/>
          <w:b/>
          <w:sz w:val="20"/>
          <w:szCs w:val="20"/>
          <w:lang w:val="es-VE" w:eastAsia="es-VE"/>
        </w:rPr>
        <w:t>:</w:t>
      </w:r>
    </w:p>
    <w:p w:rsidR="00D52972" w:rsidRPr="00DD428E" w:rsidRDefault="00D52972" w:rsidP="00D52972">
      <w:pPr>
        <w:jc w:val="both"/>
        <w:rPr>
          <w:rFonts w:ascii="Arial" w:hAnsi="Arial" w:cs="Arial"/>
          <w:sz w:val="20"/>
          <w:szCs w:val="20"/>
          <w:lang w:val="es-VE"/>
        </w:rPr>
      </w:pPr>
    </w:p>
    <w:p w:rsidR="00D52972" w:rsidRPr="00DD428E" w:rsidRDefault="00D52972" w:rsidP="00D52972">
      <w:pPr>
        <w:jc w:val="both"/>
        <w:rPr>
          <w:rFonts w:ascii="Arial" w:hAnsi="Arial" w:cs="Arial"/>
          <w:sz w:val="20"/>
          <w:szCs w:val="20"/>
          <w:lang w:val="es-VE"/>
        </w:rPr>
      </w:pPr>
      <w:r w:rsidRPr="00DD428E">
        <w:rPr>
          <w:rFonts w:ascii="Arial" w:hAnsi="Arial" w:cs="Arial"/>
          <w:sz w:val="20"/>
          <w:szCs w:val="20"/>
          <w:lang w:val="es-VE"/>
        </w:rPr>
        <w:t xml:space="preserve">En relación a las interleucinas en los pacientes sanos, no se detecto IL-12, IL-17 e IL-5 en ninguno de los sobrenadantes estudiados, mientras que en el paciente con IDVC no fueron detectadas: IL-12, IL-17, IL-5, IL-2, INF-gamma ni INF-alfa.  </w:t>
      </w:r>
      <w:r w:rsidR="00AF663A" w:rsidRPr="00DD428E">
        <w:rPr>
          <w:rFonts w:ascii="Arial" w:hAnsi="Arial" w:cs="Arial"/>
          <w:sz w:val="20"/>
          <w:szCs w:val="20"/>
          <w:lang w:val="es-VE"/>
        </w:rPr>
        <w:t>Los resultados se encuentran en la figura 7</w:t>
      </w:r>
      <w:r w:rsidRPr="00DD428E">
        <w:rPr>
          <w:rFonts w:ascii="Arial" w:hAnsi="Arial" w:cs="Arial"/>
          <w:sz w:val="20"/>
          <w:szCs w:val="20"/>
          <w:lang w:val="es-VE"/>
        </w:rPr>
        <w:t>.</w:t>
      </w:r>
    </w:p>
    <w:p w:rsidR="00D52972" w:rsidRPr="00DD428E" w:rsidRDefault="00D52972" w:rsidP="00D52972">
      <w:pPr>
        <w:jc w:val="both"/>
        <w:rPr>
          <w:rFonts w:ascii="Arial" w:hAnsi="Arial" w:cs="Arial"/>
          <w:sz w:val="20"/>
          <w:szCs w:val="20"/>
          <w:lang w:val="es-VE"/>
        </w:rPr>
      </w:pPr>
      <w:r w:rsidRPr="00DD428E">
        <w:rPr>
          <w:rFonts w:ascii="Arial" w:hAnsi="Arial" w:cs="Arial"/>
          <w:sz w:val="20"/>
          <w:szCs w:val="20"/>
          <w:lang w:val="es-VE"/>
        </w:rPr>
        <w:t>Desde el punto de vista cualitativo y con las limitaciones de tratarse de un único paciente, la respuesta de incremento de interleucinas pro-inflamatorias fue superior frente al antígeno de S. Typhi que frente al S. Pneumoniae.</w:t>
      </w:r>
    </w:p>
    <w:p w:rsidR="001C79B4" w:rsidRDefault="001C79B4" w:rsidP="002332D1">
      <w:pPr>
        <w:jc w:val="both"/>
        <w:rPr>
          <w:rFonts w:ascii="Arial" w:hAnsi="Arial" w:cs="Arial"/>
          <w:lang w:val="es-VE"/>
        </w:rPr>
      </w:pPr>
    </w:p>
    <w:p w:rsidR="001C79B4" w:rsidRDefault="001C79B4" w:rsidP="002332D1">
      <w:pPr>
        <w:jc w:val="both"/>
        <w:rPr>
          <w:rFonts w:ascii="Arial" w:hAnsi="Arial" w:cs="Arial"/>
          <w:lang w:val="es-VE"/>
        </w:rPr>
      </w:pPr>
    </w:p>
    <w:p w:rsidR="0053295F" w:rsidRDefault="000C6BC3" w:rsidP="00B633A3">
      <w:pPr>
        <w:jc w:val="center"/>
      </w:pPr>
      <w:r>
        <w:rPr>
          <w:noProof/>
          <w:lang w:val="es-VE" w:eastAsia="es-VE"/>
        </w:rPr>
        <w:lastRenderedPageBreak/>
        <w:drawing>
          <wp:anchor distT="0" distB="0" distL="114300" distR="114300" simplePos="0" relativeHeight="251687936" behindDoc="0" locked="0" layoutInCell="1" allowOverlap="1">
            <wp:simplePos x="0" y="0"/>
            <wp:positionH relativeFrom="column">
              <wp:posOffset>-3810</wp:posOffset>
            </wp:positionH>
            <wp:positionV relativeFrom="paragraph">
              <wp:posOffset>-4445</wp:posOffset>
            </wp:positionV>
            <wp:extent cx="5610225" cy="3724275"/>
            <wp:effectExtent l="0" t="0" r="0" b="0"/>
            <wp:wrapThrough wrapText="bothSides">
              <wp:wrapPolygon edited="0">
                <wp:start x="14302" y="221"/>
                <wp:lineTo x="293" y="442"/>
                <wp:lineTo x="73" y="1105"/>
                <wp:lineTo x="1100" y="1989"/>
                <wp:lineTo x="1100" y="6961"/>
                <wp:lineTo x="1467" y="7292"/>
                <wp:lineTo x="2787" y="7292"/>
                <wp:lineTo x="1100" y="8728"/>
                <wp:lineTo x="1247" y="9060"/>
                <wp:lineTo x="10782" y="9060"/>
                <wp:lineTo x="440" y="10054"/>
                <wp:lineTo x="440" y="10828"/>
                <wp:lineTo x="14669" y="10828"/>
                <wp:lineTo x="880" y="11270"/>
                <wp:lineTo x="880" y="17125"/>
                <wp:lineTo x="5501" y="17899"/>
                <wp:lineTo x="293" y="18230"/>
                <wp:lineTo x="147" y="18672"/>
                <wp:lineTo x="513" y="18672"/>
                <wp:lineTo x="21197" y="18672"/>
                <wp:lineTo x="21343" y="18230"/>
                <wp:lineTo x="20096" y="18230"/>
                <wp:lineTo x="19730" y="17678"/>
                <wp:lineTo x="19950" y="16241"/>
                <wp:lineTo x="15916" y="16131"/>
                <wp:lineTo x="20316" y="15910"/>
                <wp:lineTo x="20390" y="14363"/>
                <wp:lineTo x="20537" y="11049"/>
                <wp:lineTo x="15256" y="10828"/>
                <wp:lineTo x="15402" y="10275"/>
                <wp:lineTo x="14962" y="10165"/>
                <wp:lineTo x="10782" y="9060"/>
                <wp:lineTo x="21490" y="9060"/>
                <wp:lineTo x="21417" y="7734"/>
                <wp:lineTo x="5648" y="7292"/>
                <wp:lineTo x="19510" y="7292"/>
                <wp:lineTo x="20463" y="7182"/>
                <wp:lineTo x="20463" y="3977"/>
                <wp:lineTo x="20170" y="3646"/>
                <wp:lineTo x="20390" y="2762"/>
                <wp:lineTo x="19803" y="1989"/>
                <wp:lineTo x="20463" y="1989"/>
                <wp:lineTo x="20170" y="1657"/>
                <wp:lineTo x="14669" y="221"/>
                <wp:lineTo x="14302" y="221"/>
              </wp:wrapPolygon>
            </wp:wrapThrough>
            <wp:docPr id="1" name="0 Imagen" descr="CITOCINAS 2 CORREGI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OCINAS 2 CORREGIDAS.png"/>
                    <pic:cNvPicPr/>
                  </pic:nvPicPr>
                  <pic:blipFill>
                    <a:blip r:embed="rId9" cstate="print"/>
                    <a:stretch>
                      <a:fillRect/>
                    </a:stretch>
                  </pic:blipFill>
                  <pic:spPr>
                    <a:xfrm>
                      <a:off x="0" y="0"/>
                      <a:ext cx="5610225" cy="3724275"/>
                    </a:xfrm>
                    <a:prstGeom prst="rect">
                      <a:avLst/>
                    </a:prstGeom>
                  </pic:spPr>
                </pic:pic>
              </a:graphicData>
            </a:graphic>
          </wp:anchor>
        </w:drawing>
      </w: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Default="0053295F" w:rsidP="00B633A3">
      <w:pPr>
        <w:jc w:val="center"/>
      </w:pPr>
    </w:p>
    <w:p w:rsidR="0053295F" w:rsidRPr="00E9513C" w:rsidRDefault="00E9513C" w:rsidP="00B633A3">
      <w:pPr>
        <w:jc w:val="center"/>
        <w:rPr>
          <w:b/>
        </w:rPr>
      </w:pPr>
      <w:r w:rsidRPr="00E9513C">
        <w:rPr>
          <w:b/>
        </w:rPr>
        <w:t>FIGURA 1</w:t>
      </w:r>
    </w:p>
    <w:p w:rsidR="0053295F" w:rsidRDefault="0053295F" w:rsidP="00B633A3">
      <w:pPr>
        <w:jc w:val="center"/>
      </w:pPr>
    </w:p>
    <w:p w:rsidR="0053295F" w:rsidRDefault="0053295F" w:rsidP="00B633A3">
      <w:pPr>
        <w:jc w:val="center"/>
      </w:pPr>
    </w:p>
    <w:p w:rsidR="0053295F" w:rsidRDefault="0053295F" w:rsidP="004448A9"/>
    <w:p w:rsidR="0053295F" w:rsidRDefault="0076323C" w:rsidP="00B633A3">
      <w:pPr>
        <w:jc w:val="center"/>
      </w:pPr>
      <w:r>
        <w:rPr>
          <w:noProof/>
          <w:lang w:val="es-VE" w:eastAsia="es-VE"/>
        </w:rPr>
        <w:drawing>
          <wp:anchor distT="0" distB="0" distL="114300" distR="114300" simplePos="0" relativeHeight="251685888" behindDoc="0" locked="0" layoutInCell="1" allowOverlap="1">
            <wp:simplePos x="0" y="0"/>
            <wp:positionH relativeFrom="column">
              <wp:posOffset>-3810</wp:posOffset>
            </wp:positionH>
            <wp:positionV relativeFrom="paragraph">
              <wp:posOffset>-4445</wp:posOffset>
            </wp:positionV>
            <wp:extent cx="5610225" cy="3476625"/>
            <wp:effectExtent l="0" t="0" r="0" b="0"/>
            <wp:wrapThrough wrapText="bothSides">
              <wp:wrapPolygon edited="0">
                <wp:start x="6968" y="237"/>
                <wp:lineTo x="513" y="355"/>
                <wp:lineTo x="807" y="2130"/>
                <wp:lineTo x="587" y="9705"/>
                <wp:lineTo x="147" y="11244"/>
                <wp:lineTo x="293" y="11599"/>
                <wp:lineTo x="10782" y="11599"/>
                <wp:lineTo x="1100" y="11954"/>
                <wp:lineTo x="1100" y="18937"/>
                <wp:lineTo x="3741" y="19174"/>
                <wp:lineTo x="18043" y="19174"/>
                <wp:lineTo x="367" y="19647"/>
                <wp:lineTo x="293" y="20239"/>
                <wp:lineTo x="7701" y="20239"/>
                <wp:lineTo x="13789" y="20239"/>
                <wp:lineTo x="21050" y="20239"/>
                <wp:lineTo x="21343" y="19765"/>
                <wp:lineTo x="20463" y="17398"/>
                <wp:lineTo x="20610" y="15623"/>
                <wp:lineTo x="20243" y="15386"/>
                <wp:lineTo x="17676" y="15386"/>
                <wp:lineTo x="20390" y="14676"/>
                <wp:lineTo x="20537" y="13611"/>
                <wp:lineTo x="19510" y="13493"/>
                <wp:lineTo x="20610" y="12782"/>
                <wp:lineTo x="20316" y="11599"/>
                <wp:lineTo x="14889" y="11599"/>
                <wp:lineTo x="21343" y="10415"/>
                <wp:lineTo x="21343" y="9705"/>
                <wp:lineTo x="19950" y="8285"/>
                <wp:lineTo x="19436" y="7812"/>
                <wp:lineTo x="19510" y="6036"/>
                <wp:lineTo x="19656" y="4379"/>
                <wp:lineTo x="19070" y="4024"/>
                <wp:lineTo x="16283" y="4024"/>
                <wp:lineTo x="19510" y="3551"/>
                <wp:lineTo x="19510" y="1894"/>
                <wp:lineTo x="19143" y="473"/>
                <wp:lineTo x="7334" y="237"/>
                <wp:lineTo x="6968" y="237"/>
              </wp:wrapPolygon>
            </wp:wrapThrough>
            <wp:docPr id="2" name="1 Imagen" descr="CITOCINAS CORREGI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OCINAS CORREGIDAS.png"/>
                    <pic:cNvPicPr/>
                  </pic:nvPicPr>
                  <pic:blipFill>
                    <a:blip r:embed="rId10" cstate="print"/>
                    <a:stretch>
                      <a:fillRect/>
                    </a:stretch>
                  </pic:blipFill>
                  <pic:spPr>
                    <a:xfrm>
                      <a:off x="0" y="0"/>
                      <a:ext cx="5610225" cy="3476625"/>
                    </a:xfrm>
                    <a:prstGeom prst="rect">
                      <a:avLst/>
                    </a:prstGeom>
                  </pic:spPr>
                </pic:pic>
              </a:graphicData>
            </a:graphic>
          </wp:anchor>
        </w:drawing>
      </w:r>
    </w:p>
    <w:p w:rsidR="0053295F" w:rsidRDefault="0053295F"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E9513C" w:rsidRPr="00E9513C" w:rsidRDefault="00E9513C" w:rsidP="00E9513C">
      <w:pPr>
        <w:jc w:val="center"/>
        <w:rPr>
          <w:b/>
        </w:rPr>
      </w:pPr>
      <w:r>
        <w:rPr>
          <w:b/>
        </w:rPr>
        <w:t>FIGURA 2</w:t>
      </w:r>
    </w:p>
    <w:p w:rsidR="00941A95" w:rsidRDefault="00941A95" w:rsidP="00B633A3">
      <w:pPr>
        <w:jc w:val="center"/>
      </w:pPr>
    </w:p>
    <w:p w:rsidR="00941A95" w:rsidRDefault="00941A95" w:rsidP="00B633A3">
      <w:pPr>
        <w:jc w:val="center"/>
      </w:pPr>
    </w:p>
    <w:p w:rsidR="00941A95" w:rsidRDefault="009C2038" w:rsidP="00B633A3">
      <w:pPr>
        <w:jc w:val="center"/>
      </w:pPr>
      <w:r>
        <w:rPr>
          <w:noProof/>
          <w:lang w:val="es-VE" w:eastAsia="es-VE"/>
        </w:rPr>
        <w:lastRenderedPageBreak/>
        <w:drawing>
          <wp:anchor distT="0" distB="0" distL="114300" distR="114300" simplePos="0" relativeHeight="251710464" behindDoc="0" locked="0" layoutInCell="1" allowOverlap="1">
            <wp:simplePos x="0" y="0"/>
            <wp:positionH relativeFrom="column">
              <wp:posOffset>4953</wp:posOffset>
            </wp:positionH>
            <wp:positionV relativeFrom="paragraph">
              <wp:posOffset>2413</wp:posOffset>
            </wp:positionV>
            <wp:extent cx="5608320" cy="2633472"/>
            <wp:effectExtent l="0" t="0" r="0" b="0"/>
            <wp:wrapThrough wrapText="bothSides">
              <wp:wrapPolygon edited="0">
                <wp:start x="10785" y="1563"/>
                <wp:lineTo x="440" y="1719"/>
                <wp:lineTo x="440" y="3281"/>
                <wp:lineTo x="11666" y="4063"/>
                <wp:lineTo x="734" y="4063"/>
                <wp:lineTo x="587" y="17656"/>
                <wp:lineTo x="2201" y="19063"/>
                <wp:lineTo x="2421" y="19531"/>
                <wp:lineTo x="2861" y="19844"/>
                <wp:lineTo x="9538" y="19844"/>
                <wp:lineTo x="19957" y="19844"/>
                <wp:lineTo x="19810" y="19063"/>
                <wp:lineTo x="18049" y="16563"/>
                <wp:lineTo x="20910" y="15156"/>
                <wp:lineTo x="20690" y="14219"/>
                <wp:lineTo x="11372" y="14063"/>
                <wp:lineTo x="21130" y="13438"/>
                <wp:lineTo x="21351" y="11719"/>
                <wp:lineTo x="19883" y="11563"/>
                <wp:lineTo x="21130" y="10938"/>
                <wp:lineTo x="21130" y="9063"/>
                <wp:lineTo x="20690" y="9063"/>
                <wp:lineTo x="21277" y="7813"/>
                <wp:lineTo x="21277" y="3906"/>
                <wp:lineTo x="11152" y="1563"/>
                <wp:lineTo x="10785" y="1563"/>
              </wp:wrapPolygon>
            </wp:wrapThrough>
            <wp:docPr id="5" name="4 Imagen" descr="CLA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S.png"/>
                    <pic:cNvPicPr/>
                  </pic:nvPicPr>
                  <pic:blipFill>
                    <a:blip r:embed="rId11" cstate="print"/>
                    <a:stretch>
                      <a:fillRect/>
                    </a:stretch>
                  </pic:blipFill>
                  <pic:spPr>
                    <a:xfrm>
                      <a:off x="0" y="0"/>
                      <a:ext cx="5608320" cy="2633472"/>
                    </a:xfrm>
                    <a:prstGeom prst="rect">
                      <a:avLst/>
                    </a:prstGeom>
                  </pic:spPr>
                </pic:pic>
              </a:graphicData>
            </a:graphic>
          </wp:anchor>
        </w:drawing>
      </w: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B633A3">
      <w:pPr>
        <w:jc w:val="center"/>
      </w:pPr>
    </w:p>
    <w:p w:rsidR="00941A95" w:rsidRDefault="00941A95" w:rsidP="009C2038"/>
    <w:p w:rsidR="008D6A23" w:rsidRPr="00E9513C" w:rsidRDefault="008D6A23" w:rsidP="008D6A23">
      <w:pPr>
        <w:jc w:val="center"/>
        <w:rPr>
          <w:b/>
        </w:rPr>
      </w:pPr>
      <w:r>
        <w:rPr>
          <w:b/>
        </w:rPr>
        <w:t>FIGURA 3</w:t>
      </w:r>
    </w:p>
    <w:p w:rsidR="00941A95" w:rsidRDefault="00941A95" w:rsidP="00B633A3">
      <w:pPr>
        <w:jc w:val="center"/>
      </w:pPr>
    </w:p>
    <w:p w:rsidR="002C0FF2" w:rsidRDefault="00D4241B" w:rsidP="00E9513C">
      <w:pPr>
        <w:jc w:val="center"/>
        <w:rPr>
          <w:rFonts w:ascii="Arial" w:hAnsi="Arial" w:cs="Arial"/>
          <w:lang w:val="es-ES"/>
        </w:rPr>
      </w:pPr>
      <w:r>
        <w:rPr>
          <w:rFonts w:ascii="Arial" w:hAnsi="Arial" w:cs="Arial"/>
          <w:noProof/>
          <w:lang w:val="es-VE" w:eastAsia="es-VE"/>
        </w:rPr>
        <mc:AlternateContent>
          <mc:Choice Requires="wps">
            <w:drawing>
              <wp:anchor distT="0" distB="0" distL="114300" distR="114300" simplePos="0" relativeHeight="251698176" behindDoc="0" locked="0" layoutInCell="1" allowOverlap="1">
                <wp:simplePos x="0" y="0"/>
                <wp:positionH relativeFrom="column">
                  <wp:posOffset>2976880</wp:posOffset>
                </wp:positionH>
                <wp:positionV relativeFrom="paragraph">
                  <wp:posOffset>39370</wp:posOffset>
                </wp:positionV>
                <wp:extent cx="439420" cy="370840"/>
                <wp:effectExtent l="0" t="1270" r="317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23" w:rsidRPr="008D6A23" w:rsidRDefault="008D6A23">
                            <w:pPr>
                              <w:rPr>
                                <w:b/>
                                <w:lang w:val="es-ES"/>
                              </w:rPr>
                            </w:pPr>
                            <w:r w:rsidRPr="008D6A23">
                              <w:rPr>
                                <w:b/>
                                <w:lang w:val="es-ES"/>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4pt;margin-top:3.1pt;width:34.6pt;height:2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" stroked="f">
                <v:textbox>
                  <w:txbxContent>
                    <w:p w:rsidR="008D6A23" w:rsidRPr="008D6A23" w:rsidRDefault="008D6A23">
                      <w:pPr>
                        <w:rPr>
                          <w:b/>
                          <w:lang w:val="es-ES"/>
                        </w:rPr>
                      </w:pPr>
                      <w:r w:rsidRPr="008D6A23">
                        <w:rPr>
                          <w:b/>
                          <w:lang w:val="es-ES"/>
                        </w:rPr>
                        <w:t>A.</w:t>
                      </w:r>
                    </w:p>
                  </w:txbxContent>
                </v:textbox>
              </v:shape>
            </w:pict>
          </mc:Fallback>
        </mc:AlternateContent>
      </w:r>
      <w:r w:rsidR="00E9513C">
        <w:rPr>
          <w:rFonts w:ascii="Arial" w:hAnsi="Arial" w:cs="Arial"/>
          <w:noProof/>
          <w:lang w:val="es-VE" w:eastAsia="es-VE"/>
        </w:rPr>
        <w:drawing>
          <wp:anchor distT="0" distB="0" distL="114300" distR="114300" simplePos="0" relativeHeight="251692032" behindDoc="0" locked="0" layoutInCell="1" allowOverlap="1">
            <wp:simplePos x="0" y="0"/>
            <wp:positionH relativeFrom="column">
              <wp:posOffset>556260</wp:posOffset>
            </wp:positionH>
            <wp:positionV relativeFrom="paragraph">
              <wp:posOffset>93345</wp:posOffset>
            </wp:positionV>
            <wp:extent cx="4446905" cy="5046345"/>
            <wp:effectExtent l="19050" t="0" r="0" b="0"/>
            <wp:wrapThrough wrapText="bothSides">
              <wp:wrapPolygon edited="0">
                <wp:start x="12307" y="0"/>
                <wp:lineTo x="12307" y="1305"/>
                <wp:lineTo x="-93" y="1549"/>
                <wp:lineTo x="-93" y="10682"/>
                <wp:lineTo x="8791" y="11742"/>
                <wp:lineTo x="10456" y="11742"/>
                <wp:lineTo x="10456" y="17123"/>
                <wp:lineTo x="12122" y="18265"/>
                <wp:lineTo x="12307" y="21527"/>
                <wp:lineTo x="21560" y="21527"/>
                <wp:lineTo x="21560" y="14677"/>
                <wp:lineTo x="21097" y="14351"/>
                <wp:lineTo x="21097" y="0"/>
                <wp:lineTo x="12307" y="0"/>
              </wp:wrapPolygon>
            </wp:wrapThrough>
            <wp:docPr id="7" name="6 Imagen" descr="cfs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se1.png"/>
                    <pic:cNvPicPr/>
                  </pic:nvPicPr>
                  <pic:blipFill>
                    <a:blip r:embed="rId12" cstate="print"/>
                    <a:stretch>
                      <a:fillRect/>
                    </a:stretch>
                  </pic:blipFill>
                  <pic:spPr>
                    <a:xfrm>
                      <a:off x="0" y="0"/>
                      <a:ext cx="4446905" cy="5046345"/>
                    </a:xfrm>
                    <a:prstGeom prst="rect">
                      <a:avLst/>
                    </a:prstGeom>
                  </pic:spPr>
                </pic:pic>
              </a:graphicData>
            </a:graphic>
          </wp:anchor>
        </w:drawing>
      </w:r>
    </w:p>
    <w:p w:rsidR="002C0FF2" w:rsidRPr="0046237B" w:rsidRDefault="002C0FF2" w:rsidP="002C0FF2">
      <w:pPr>
        <w:jc w:val="both"/>
        <w:rPr>
          <w:rFonts w:ascii="Arial" w:hAnsi="Arial" w:cs="Arial"/>
        </w:rPr>
      </w:pPr>
    </w:p>
    <w:p w:rsidR="002C0FF2" w:rsidRDefault="002C0FF2" w:rsidP="002C0FF2">
      <w:pPr>
        <w:jc w:val="both"/>
        <w:rPr>
          <w:rFonts w:ascii="Arial" w:hAnsi="Arial" w:cs="Arial"/>
          <w:lang w:val="es-ES"/>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D4241B" w:rsidP="00440AAB">
      <w:pPr>
        <w:jc w:val="both"/>
        <w:rPr>
          <w:rFonts w:ascii="Arial" w:hAnsi="Arial" w:cs="Arial"/>
          <w:noProof/>
          <w:lang w:val="es-VE" w:eastAsia="es-VE"/>
        </w:rPr>
      </w:pPr>
      <w:r>
        <w:rPr>
          <w:rFonts w:ascii="Arial" w:hAnsi="Arial" w:cs="Arial"/>
          <w:noProof/>
          <w:lang w:val="es-VE" w:eastAsia="es-VE"/>
        </w:rPr>
        <mc:AlternateContent>
          <mc:Choice Requires="wps">
            <w:drawing>
              <wp:anchor distT="0" distB="0" distL="114300" distR="114300" simplePos="0" relativeHeight="251700224" behindDoc="0" locked="0" layoutInCell="1" allowOverlap="1">
                <wp:simplePos x="0" y="0"/>
                <wp:positionH relativeFrom="column">
                  <wp:posOffset>2976880</wp:posOffset>
                </wp:positionH>
                <wp:positionV relativeFrom="paragraph">
                  <wp:posOffset>134620</wp:posOffset>
                </wp:positionV>
                <wp:extent cx="417195" cy="266700"/>
                <wp:effectExtent l="0" t="127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23" w:rsidRPr="008D6A23" w:rsidRDefault="008D6A23">
                            <w:pPr>
                              <w:rPr>
                                <w:b/>
                                <w:lang w:val="es-ES"/>
                              </w:rPr>
                            </w:pPr>
                            <w:r w:rsidRPr="008D6A23">
                              <w:rPr>
                                <w:b/>
                                <w:lang w:val="es-ES"/>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234.4pt;margin-top:10.6pt;width:32.85pt;height:21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" stroked="f">
                <v:textbox style="mso-fit-shape-to-text:t">
                  <w:txbxContent>
                    <w:p w:rsidR="008D6A23" w:rsidRPr="008D6A23" w:rsidRDefault="008D6A23">
                      <w:pPr>
                        <w:rPr>
                          <w:b/>
                          <w:lang w:val="es-ES"/>
                        </w:rPr>
                      </w:pPr>
                      <w:r w:rsidRPr="008D6A23">
                        <w:rPr>
                          <w:b/>
                          <w:lang w:val="es-ES"/>
                        </w:rPr>
                        <w:t>B.</w:t>
                      </w:r>
                    </w:p>
                  </w:txbxContent>
                </v:textbox>
              </v:shape>
            </w:pict>
          </mc:Fallback>
        </mc:AlternateContent>
      </w: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E9513C" w:rsidRDefault="00E9513C" w:rsidP="00440AAB">
      <w:pPr>
        <w:jc w:val="both"/>
        <w:rPr>
          <w:rFonts w:ascii="Arial" w:hAnsi="Arial" w:cs="Arial"/>
          <w:noProof/>
          <w:lang w:val="es-VE" w:eastAsia="es-VE"/>
        </w:rPr>
      </w:pPr>
    </w:p>
    <w:p w:rsidR="008D6A23" w:rsidRPr="00E9513C" w:rsidRDefault="008D6A23" w:rsidP="008D6A23">
      <w:pPr>
        <w:rPr>
          <w:b/>
        </w:rPr>
      </w:pPr>
      <w:r>
        <w:rPr>
          <w:b/>
        </w:rPr>
        <w:t>FIGURA 4</w:t>
      </w:r>
    </w:p>
    <w:p w:rsidR="00F96C07" w:rsidRDefault="008D6A23" w:rsidP="00440AAB">
      <w:pPr>
        <w:jc w:val="both"/>
        <w:rPr>
          <w:rFonts w:ascii="Arial" w:hAnsi="Arial" w:cs="Arial"/>
          <w:lang w:val="es-ES"/>
        </w:rPr>
      </w:pPr>
      <w:r>
        <w:rPr>
          <w:rFonts w:ascii="Arial" w:hAnsi="Arial" w:cs="Arial"/>
          <w:lang w:val="es-ES"/>
        </w:rPr>
        <w:t>Ensayos de proliferación en</w:t>
      </w:r>
    </w:p>
    <w:p w:rsidR="008D6A23" w:rsidRDefault="008D6A23" w:rsidP="00440AAB">
      <w:pPr>
        <w:jc w:val="both"/>
        <w:rPr>
          <w:rFonts w:ascii="Arial" w:hAnsi="Arial" w:cs="Arial"/>
          <w:lang w:val="es-ES"/>
        </w:rPr>
      </w:pPr>
      <w:r>
        <w:rPr>
          <w:rFonts w:ascii="Arial" w:hAnsi="Arial" w:cs="Arial"/>
          <w:lang w:val="es-ES"/>
        </w:rPr>
        <w:t>LT CD4+ respondedores</w:t>
      </w:r>
      <w:r w:rsidR="00ED207A">
        <w:rPr>
          <w:rFonts w:ascii="Arial" w:hAnsi="Arial" w:cs="Arial"/>
          <w:lang w:val="es-ES"/>
        </w:rPr>
        <w:t xml:space="preserve"> en</w:t>
      </w:r>
    </w:p>
    <w:p w:rsidR="00ED207A" w:rsidRDefault="00453BA1" w:rsidP="00440AAB">
      <w:pPr>
        <w:jc w:val="both"/>
        <w:rPr>
          <w:rFonts w:ascii="Arial" w:hAnsi="Arial" w:cs="Arial"/>
          <w:lang w:val="es-ES"/>
        </w:rPr>
      </w:pPr>
      <w:r>
        <w:rPr>
          <w:rFonts w:ascii="Arial" w:hAnsi="Arial" w:cs="Arial"/>
          <w:lang w:val="es-ES"/>
        </w:rPr>
        <w:t>c</w:t>
      </w:r>
      <w:r w:rsidR="00ED207A">
        <w:rPr>
          <w:rFonts w:ascii="Arial" w:hAnsi="Arial" w:cs="Arial"/>
          <w:lang w:val="es-ES"/>
        </w:rPr>
        <w:t>ontrol sano representativo.</w:t>
      </w:r>
    </w:p>
    <w:p w:rsidR="00D23051" w:rsidRDefault="00ED207A" w:rsidP="00ED207A">
      <w:pPr>
        <w:pStyle w:val="Prrafodelista"/>
        <w:numPr>
          <w:ilvl w:val="0"/>
          <w:numId w:val="12"/>
        </w:numPr>
        <w:jc w:val="both"/>
        <w:rPr>
          <w:rFonts w:ascii="Arial" w:hAnsi="Arial" w:cs="Arial"/>
          <w:lang w:val="es-ES"/>
        </w:rPr>
      </w:pPr>
      <w:r>
        <w:rPr>
          <w:rFonts w:ascii="Arial" w:hAnsi="Arial" w:cs="Arial"/>
          <w:lang w:val="es-ES"/>
        </w:rPr>
        <w:t>Sin estímulo.</w:t>
      </w:r>
    </w:p>
    <w:p w:rsidR="00ED207A" w:rsidRPr="00ED207A" w:rsidRDefault="00ED207A" w:rsidP="00ED207A">
      <w:pPr>
        <w:pStyle w:val="Prrafodelista"/>
        <w:numPr>
          <w:ilvl w:val="0"/>
          <w:numId w:val="12"/>
        </w:numPr>
        <w:jc w:val="both"/>
        <w:rPr>
          <w:rFonts w:ascii="Arial" w:hAnsi="Arial" w:cs="Arial"/>
          <w:lang w:val="es-ES"/>
        </w:rPr>
      </w:pPr>
      <w:r>
        <w:rPr>
          <w:rFonts w:ascii="Arial" w:hAnsi="Arial" w:cs="Arial"/>
          <w:lang w:val="es-ES"/>
        </w:rPr>
        <w:t>Frente a Pneumo 6</w:t>
      </w:r>
    </w:p>
    <w:p w:rsidR="00D23051" w:rsidRPr="00ED207A" w:rsidRDefault="00D4241B" w:rsidP="00ED207A">
      <w:pPr>
        <w:pStyle w:val="Prrafodelista"/>
        <w:numPr>
          <w:ilvl w:val="0"/>
          <w:numId w:val="12"/>
        </w:numPr>
        <w:jc w:val="both"/>
        <w:rPr>
          <w:rFonts w:ascii="Arial" w:hAnsi="Arial" w:cs="Arial"/>
          <w:lang w:val="es-ES"/>
        </w:rPr>
      </w:pPr>
      <w:r>
        <w:rPr>
          <w:noProof/>
          <w:lang w:val="es-VE" w:eastAsia="es-VE"/>
        </w:rPr>
        <mc:AlternateContent>
          <mc:Choice Requires="wps">
            <w:drawing>
              <wp:anchor distT="0" distB="0" distL="114300" distR="114300" simplePos="0" relativeHeight="251701248" behindDoc="0" locked="0" layoutInCell="1" allowOverlap="1">
                <wp:simplePos x="0" y="0"/>
                <wp:positionH relativeFrom="column">
                  <wp:posOffset>2999105</wp:posOffset>
                </wp:positionH>
                <wp:positionV relativeFrom="paragraph">
                  <wp:posOffset>52705</wp:posOffset>
                </wp:positionV>
                <wp:extent cx="390525" cy="266700"/>
                <wp:effectExtent l="0" t="0" r="1270" b="444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23" w:rsidRPr="008D6A23" w:rsidRDefault="008D6A23" w:rsidP="008D6A23">
                            <w:pPr>
                              <w:rPr>
                                <w:b/>
                                <w:lang w:val="es-ES"/>
                              </w:rPr>
                            </w:pPr>
                            <w:r w:rsidRPr="008D6A23">
                              <w:rPr>
                                <w:b/>
                                <w:lang w:val="es-ES"/>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left:0;text-align:left;margin-left:236.15pt;margin-top:4.15pt;width:30.75pt;height:21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5RhhAIAABY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" stroked="f">
                <v:textbox style="mso-fit-shape-to-text:t">
                  <w:txbxContent>
                    <w:p w:rsidR="008D6A23" w:rsidRPr="008D6A23" w:rsidRDefault="008D6A23" w:rsidP="008D6A23">
                      <w:pPr>
                        <w:rPr>
                          <w:b/>
                          <w:lang w:val="es-ES"/>
                        </w:rPr>
                      </w:pPr>
                      <w:r w:rsidRPr="008D6A23">
                        <w:rPr>
                          <w:b/>
                          <w:lang w:val="es-ES"/>
                        </w:rPr>
                        <w:t>C.</w:t>
                      </w:r>
                    </w:p>
                  </w:txbxContent>
                </v:textbox>
              </v:shape>
            </w:pict>
          </mc:Fallback>
        </mc:AlternateContent>
      </w:r>
      <w:r w:rsidR="00ED207A">
        <w:rPr>
          <w:rFonts w:ascii="Arial" w:hAnsi="Arial" w:cs="Arial"/>
          <w:lang w:val="es-ES"/>
        </w:rPr>
        <w:t>Frente a Typhi 6.</w:t>
      </w:r>
    </w:p>
    <w:p w:rsidR="00D23051" w:rsidRDefault="00D23051" w:rsidP="00440AAB">
      <w:pPr>
        <w:jc w:val="both"/>
        <w:rPr>
          <w:rFonts w:ascii="Arial" w:hAnsi="Arial" w:cs="Arial"/>
          <w:lang w:val="es-ES"/>
        </w:rPr>
      </w:pPr>
    </w:p>
    <w:p w:rsidR="00D23051" w:rsidRDefault="00D23051" w:rsidP="00440AAB">
      <w:pPr>
        <w:jc w:val="both"/>
        <w:rPr>
          <w:rFonts w:ascii="Arial" w:hAnsi="Arial" w:cs="Arial"/>
          <w:lang w:val="es-ES"/>
        </w:rPr>
      </w:pPr>
    </w:p>
    <w:p w:rsidR="00D23051" w:rsidRDefault="00D23051" w:rsidP="00440AAB">
      <w:pPr>
        <w:jc w:val="both"/>
        <w:rPr>
          <w:rFonts w:ascii="Arial" w:hAnsi="Arial" w:cs="Arial"/>
          <w:lang w:val="es-ES"/>
        </w:rPr>
      </w:pPr>
    </w:p>
    <w:p w:rsidR="00D23051" w:rsidRDefault="00D23051" w:rsidP="00440AAB">
      <w:pPr>
        <w:jc w:val="both"/>
        <w:rPr>
          <w:rFonts w:ascii="Arial" w:hAnsi="Arial" w:cs="Arial"/>
          <w:lang w:val="es-ES"/>
        </w:rPr>
      </w:pPr>
    </w:p>
    <w:p w:rsidR="00D23051" w:rsidRDefault="00D23051" w:rsidP="00440AAB">
      <w:pPr>
        <w:jc w:val="both"/>
        <w:rPr>
          <w:rFonts w:ascii="Arial" w:hAnsi="Arial" w:cs="Arial"/>
          <w:lang w:val="es-ES"/>
        </w:rPr>
      </w:pPr>
    </w:p>
    <w:p w:rsidR="00D23051" w:rsidRDefault="00D23051" w:rsidP="00440AAB">
      <w:pPr>
        <w:jc w:val="both"/>
        <w:rPr>
          <w:rFonts w:ascii="Arial" w:hAnsi="Arial" w:cs="Arial"/>
          <w:lang w:val="es-ES"/>
        </w:rPr>
      </w:pPr>
    </w:p>
    <w:p w:rsidR="00D23051" w:rsidRDefault="00D23051" w:rsidP="00440AAB">
      <w:pPr>
        <w:jc w:val="both"/>
        <w:rPr>
          <w:rFonts w:ascii="Arial" w:hAnsi="Arial" w:cs="Arial"/>
          <w:lang w:val="es-ES"/>
        </w:rPr>
      </w:pPr>
    </w:p>
    <w:p w:rsidR="008D6A23" w:rsidRDefault="008D6A23" w:rsidP="00ED207A">
      <w:pPr>
        <w:rPr>
          <w:b/>
        </w:rPr>
      </w:pPr>
    </w:p>
    <w:p w:rsidR="008D6A23" w:rsidRDefault="00D4241B" w:rsidP="00E9513C">
      <w:pPr>
        <w:jc w:val="center"/>
        <w:rPr>
          <w:b/>
        </w:rPr>
      </w:pPr>
      <w:r>
        <w:rPr>
          <w:rFonts w:ascii="Arial" w:hAnsi="Arial" w:cs="Arial"/>
          <w:noProof/>
          <w:lang w:val="es-VE" w:eastAsia="es-VE"/>
        </w:rPr>
        <mc:AlternateContent>
          <mc:Choice Requires="wps">
            <w:drawing>
              <wp:anchor distT="0" distB="0" distL="114300" distR="114300" simplePos="0" relativeHeight="251709440" behindDoc="0" locked="0" layoutInCell="1" allowOverlap="1">
                <wp:simplePos x="0" y="0"/>
                <wp:positionH relativeFrom="column">
                  <wp:posOffset>4161155</wp:posOffset>
                </wp:positionH>
                <wp:positionV relativeFrom="paragraph">
                  <wp:posOffset>-424815</wp:posOffset>
                </wp:positionV>
                <wp:extent cx="390525" cy="266700"/>
                <wp:effectExtent l="0" t="3810" r="127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A1" w:rsidRPr="008D6A23" w:rsidRDefault="00453BA1" w:rsidP="00453BA1">
                            <w:pPr>
                              <w:rPr>
                                <w:b/>
                                <w:lang w:val="es-ES"/>
                              </w:rPr>
                            </w:pPr>
                            <w:r>
                              <w:rPr>
                                <w:b/>
                                <w:lang w:val="es-ES"/>
                              </w:rPr>
                              <w:t>A</w:t>
                            </w:r>
                            <w:r w:rsidRPr="008D6A23">
                              <w:rPr>
                                <w:b/>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9" type="#_x0000_t202" style="position:absolute;left:0;text-align:left;margin-left:327.65pt;margin-top:-33.45pt;width:30.75pt;height:21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" stroked="f">
                <v:textbox style="mso-fit-shape-to-text:t">
                  <w:txbxContent>
                    <w:p w:rsidR="00453BA1" w:rsidRPr="008D6A23" w:rsidRDefault="00453BA1" w:rsidP="00453BA1">
                      <w:pPr>
                        <w:rPr>
                          <w:b/>
                          <w:lang w:val="es-ES"/>
                        </w:rPr>
                      </w:pPr>
                      <w:r>
                        <w:rPr>
                          <w:b/>
                          <w:lang w:val="es-ES"/>
                        </w:rPr>
                        <w:t>A</w:t>
                      </w:r>
                      <w:r w:rsidRPr="008D6A23">
                        <w:rPr>
                          <w:b/>
                          <w:lang w:val="es-ES"/>
                        </w:rPr>
                        <w:t>.</w:t>
                      </w:r>
                    </w:p>
                  </w:txbxContent>
                </v:textbox>
              </v:shape>
            </w:pict>
          </mc:Fallback>
        </mc:AlternateContent>
      </w:r>
      <w:r w:rsidR="00ED207A">
        <w:rPr>
          <w:b/>
          <w:noProof/>
          <w:lang w:val="es-VE" w:eastAsia="es-VE"/>
        </w:rPr>
        <w:drawing>
          <wp:anchor distT="0" distB="0" distL="114300" distR="114300" simplePos="0" relativeHeight="251693056" behindDoc="0" locked="0" layoutInCell="1" allowOverlap="1">
            <wp:simplePos x="0" y="0"/>
            <wp:positionH relativeFrom="column">
              <wp:posOffset>2156460</wp:posOffset>
            </wp:positionH>
            <wp:positionV relativeFrom="paragraph">
              <wp:posOffset>-267335</wp:posOffset>
            </wp:positionV>
            <wp:extent cx="3796665" cy="5925820"/>
            <wp:effectExtent l="19050" t="0" r="0" b="0"/>
            <wp:wrapThrough wrapText="bothSides">
              <wp:wrapPolygon edited="0">
                <wp:start x="12247" y="0"/>
                <wp:lineTo x="12247" y="1111"/>
                <wp:lineTo x="-108" y="1875"/>
                <wp:lineTo x="-108" y="9721"/>
                <wp:lineTo x="2926" y="9999"/>
                <wp:lineTo x="10838" y="9999"/>
                <wp:lineTo x="10838" y="18887"/>
                <wp:lineTo x="12138" y="19998"/>
                <wp:lineTo x="12247" y="21526"/>
                <wp:lineTo x="21567" y="21526"/>
                <wp:lineTo x="21567" y="15832"/>
                <wp:lineTo x="11597" y="15554"/>
                <wp:lineTo x="11597" y="13332"/>
                <wp:lineTo x="18424" y="13332"/>
                <wp:lineTo x="21567" y="12985"/>
                <wp:lineTo x="21567" y="7569"/>
                <wp:lineTo x="11705" y="6666"/>
                <wp:lineTo x="11705" y="5555"/>
                <wp:lineTo x="16040" y="5555"/>
                <wp:lineTo x="20700" y="5000"/>
                <wp:lineTo x="20592" y="1111"/>
                <wp:lineTo x="20484" y="69"/>
                <wp:lineTo x="20484" y="0"/>
                <wp:lineTo x="12247" y="0"/>
              </wp:wrapPolygon>
            </wp:wrapThrough>
            <wp:docPr id="3" name="9 Imagen" descr="cfs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se 2.png"/>
                    <pic:cNvPicPr/>
                  </pic:nvPicPr>
                  <pic:blipFill>
                    <a:blip r:embed="rId13" cstate="print"/>
                    <a:stretch>
                      <a:fillRect/>
                    </a:stretch>
                  </pic:blipFill>
                  <pic:spPr>
                    <a:xfrm>
                      <a:off x="0" y="0"/>
                      <a:ext cx="3796665" cy="5925820"/>
                    </a:xfrm>
                    <a:prstGeom prst="rect">
                      <a:avLst/>
                    </a:prstGeom>
                  </pic:spPr>
                </pic:pic>
              </a:graphicData>
            </a:graphic>
          </wp:anchor>
        </w:drawing>
      </w:r>
    </w:p>
    <w:p w:rsidR="008D6A23" w:rsidRDefault="008D6A23" w:rsidP="00E9513C">
      <w:pPr>
        <w:jc w:val="center"/>
        <w:rPr>
          <w:b/>
        </w:rPr>
      </w:pPr>
    </w:p>
    <w:p w:rsidR="008D6A23" w:rsidRDefault="008D6A23" w:rsidP="00E9513C">
      <w:pPr>
        <w:jc w:val="center"/>
        <w:rPr>
          <w:b/>
        </w:rPr>
      </w:pPr>
    </w:p>
    <w:p w:rsidR="00ED207A" w:rsidRDefault="00ED207A" w:rsidP="00ED207A">
      <w:pPr>
        <w:jc w:val="both"/>
        <w:rPr>
          <w:rFonts w:ascii="Arial" w:hAnsi="Arial" w:cs="Arial"/>
          <w:noProof/>
          <w:lang w:val="es-VE" w:eastAsia="es-VE"/>
        </w:rPr>
      </w:pPr>
    </w:p>
    <w:p w:rsidR="00ED207A" w:rsidRPr="00E9513C" w:rsidRDefault="00ED207A" w:rsidP="00ED207A">
      <w:pPr>
        <w:rPr>
          <w:b/>
        </w:rPr>
      </w:pPr>
      <w:r>
        <w:rPr>
          <w:b/>
        </w:rPr>
        <w:t>FIGURA 5</w:t>
      </w:r>
    </w:p>
    <w:p w:rsidR="00ED207A" w:rsidRDefault="00ED207A" w:rsidP="00ED207A">
      <w:pPr>
        <w:jc w:val="both"/>
        <w:rPr>
          <w:rFonts w:ascii="Arial" w:hAnsi="Arial" w:cs="Arial"/>
          <w:lang w:val="es-ES"/>
        </w:rPr>
      </w:pPr>
      <w:r>
        <w:rPr>
          <w:rFonts w:ascii="Arial" w:hAnsi="Arial" w:cs="Arial"/>
          <w:lang w:val="es-ES"/>
        </w:rPr>
        <w:t>Ensayos de proliferación en</w:t>
      </w:r>
    </w:p>
    <w:p w:rsidR="00ED207A" w:rsidRDefault="00ED207A" w:rsidP="00ED207A">
      <w:pPr>
        <w:jc w:val="both"/>
        <w:rPr>
          <w:rFonts w:ascii="Arial" w:hAnsi="Arial" w:cs="Arial"/>
          <w:lang w:val="es-ES"/>
        </w:rPr>
      </w:pPr>
      <w:r>
        <w:rPr>
          <w:rFonts w:ascii="Arial" w:hAnsi="Arial" w:cs="Arial"/>
          <w:lang w:val="es-ES"/>
        </w:rPr>
        <w:t>LT CD8+ respondedores en</w:t>
      </w:r>
    </w:p>
    <w:p w:rsidR="00ED207A" w:rsidRDefault="00453BA1" w:rsidP="00ED207A">
      <w:pPr>
        <w:jc w:val="both"/>
        <w:rPr>
          <w:rFonts w:ascii="Arial" w:hAnsi="Arial" w:cs="Arial"/>
          <w:lang w:val="es-ES"/>
        </w:rPr>
      </w:pPr>
      <w:r>
        <w:rPr>
          <w:rFonts w:ascii="Arial" w:hAnsi="Arial" w:cs="Arial"/>
          <w:lang w:val="es-ES"/>
        </w:rPr>
        <w:t>c</w:t>
      </w:r>
      <w:r w:rsidR="00ED207A">
        <w:rPr>
          <w:rFonts w:ascii="Arial" w:hAnsi="Arial" w:cs="Arial"/>
          <w:lang w:val="es-ES"/>
        </w:rPr>
        <w:t>ontrol sano representativo.</w:t>
      </w:r>
    </w:p>
    <w:p w:rsidR="00ED207A" w:rsidRDefault="00ED207A" w:rsidP="00ED207A">
      <w:pPr>
        <w:pStyle w:val="Prrafodelista"/>
        <w:numPr>
          <w:ilvl w:val="0"/>
          <w:numId w:val="13"/>
        </w:numPr>
        <w:jc w:val="both"/>
        <w:rPr>
          <w:rFonts w:ascii="Arial" w:hAnsi="Arial" w:cs="Arial"/>
          <w:lang w:val="es-ES"/>
        </w:rPr>
      </w:pPr>
      <w:r>
        <w:rPr>
          <w:rFonts w:ascii="Arial" w:hAnsi="Arial" w:cs="Arial"/>
          <w:lang w:val="es-ES"/>
        </w:rPr>
        <w:t>Sin estímulo.</w:t>
      </w:r>
    </w:p>
    <w:p w:rsidR="00ED207A" w:rsidRPr="00ED207A" w:rsidRDefault="00D4241B" w:rsidP="00ED207A">
      <w:pPr>
        <w:pStyle w:val="Prrafodelista"/>
        <w:numPr>
          <w:ilvl w:val="0"/>
          <w:numId w:val="13"/>
        </w:numPr>
        <w:jc w:val="both"/>
        <w:rPr>
          <w:rFonts w:ascii="Arial" w:hAnsi="Arial" w:cs="Arial"/>
          <w:lang w:val="es-ES"/>
        </w:rPr>
      </w:pPr>
      <w:r>
        <w:rPr>
          <w:b/>
          <w:noProof/>
          <w:lang w:val="es-VE" w:eastAsia="es-VE"/>
        </w:rPr>
        <mc:AlternateContent>
          <mc:Choice Requires="wps">
            <w:drawing>
              <wp:anchor distT="0" distB="0" distL="114300" distR="114300" simplePos="0" relativeHeight="251708416" behindDoc="0" locked="0" layoutInCell="1" allowOverlap="1">
                <wp:simplePos x="0" y="0"/>
                <wp:positionH relativeFrom="column">
                  <wp:posOffset>4259580</wp:posOffset>
                </wp:positionH>
                <wp:positionV relativeFrom="paragraph">
                  <wp:posOffset>84455</wp:posOffset>
                </wp:positionV>
                <wp:extent cx="390525" cy="266700"/>
                <wp:effectExtent l="1905" t="0" r="0" b="12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A1" w:rsidRPr="008D6A23" w:rsidRDefault="00453BA1" w:rsidP="00453BA1">
                            <w:pPr>
                              <w:rPr>
                                <w:b/>
                                <w:lang w:val="es-ES"/>
                              </w:rPr>
                            </w:pPr>
                            <w:r>
                              <w:rPr>
                                <w:b/>
                                <w:lang w:val="es-ES"/>
                              </w:rPr>
                              <w:t>B</w:t>
                            </w:r>
                            <w:r w:rsidRPr="008D6A23">
                              <w:rPr>
                                <w:b/>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0" type="#_x0000_t202" style="position:absolute;left:0;text-align:left;margin-left:335.4pt;margin-top:6.65pt;width:30.75pt;height:21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" stroked="f">
                <v:textbox style="mso-fit-shape-to-text:t">
                  <w:txbxContent>
                    <w:p w:rsidR="00453BA1" w:rsidRPr="008D6A23" w:rsidRDefault="00453BA1" w:rsidP="00453BA1">
                      <w:pPr>
                        <w:rPr>
                          <w:b/>
                          <w:lang w:val="es-ES"/>
                        </w:rPr>
                      </w:pPr>
                      <w:r>
                        <w:rPr>
                          <w:b/>
                          <w:lang w:val="es-ES"/>
                        </w:rPr>
                        <w:t>B</w:t>
                      </w:r>
                      <w:r w:rsidRPr="008D6A23">
                        <w:rPr>
                          <w:b/>
                          <w:lang w:val="es-ES"/>
                        </w:rPr>
                        <w:t>.</w:t>
                      </w:r>
                    </w:p>
                  </w:txbxContent>
                </v:textbox>
              </v:shape>
            </w:pict>
          </mc:Fallback>
        </mc:AlternateContent>
      </w:r>
      <w:r w:rsidR="00ED207A">
        <w:rPr>
          <w:rFonts w:ascii="Arial" w:hAnsi="Arial" w:cs="Arial"/>
          <w:lang w:val="es-ES"/>
        </w:rPr>
        <w:t>Frente a Typhi 6</w:t>
      </w:r>
    </w:p>
    <w:p w:rsidR="00ED207A" w:rsidRPr="00ED207A" w:rsidRDefault="00ED207A" w:rsidP="00ED207A">
      <w:pPr>
        <w:pStyle w:val="Prrafodelista"/>
        <w:numPr>
          <w:ilvl w:val="0"/>
          <w:numId w:val="13"/>
        </w:numPr>
        <w:jc w:val="both"/>
        <w:rPr>
          <w:rFonts w:ascii="Arial" w:hAnsi="Arial" w:cs="Arial"/>
          <w:lang w:val="es-ES"/>
        </w:rPr>
      </w:pPr>
      <w:r>
        <w:rPr>
          <w:rFonts w:ascii="Arial" w:hAnsi="Arial" w:cs="Arial"/>
          <w:lang w:val="es-ES"/>
        </w:rPr>
        <w:t>Frente a Pneumo 9.</w:t>
      </w:r>
    </w:p>
    <w:p w:rsidR="00E9513C" w:rsidRDefault="00E9513C"/>
    <w:p w:rsidR="00D23051" w:rsidRDefault="00D23051" w:rsidP="00440AAB">
      <w:pPr>
        <w:jc w:val="both"/>
        <w:rPr>
          <w:rFonts w:ascii="Arial" w:hAnsi="Arial" w:cs="Arial"/>
          <w:lang w:val="es-ES"/>
        </w:rPr>
      </w:pPr>
    </w:p>
    <w:p w:rsidR="00377B0C" w:rsidRDefault="00377B0C" w:rsidP="00440AAB">
      <w:pPr>
        <w:jc w:val="both"/>
        <w:rPr>
          <w:rFonts w:ascii="Arial" w:hAnsi="Arial" w:cs="Arial"/>
          <w:lang w:val="es-ES"/>
        </w:rPr>
      </w:pPr>
    </w:p>
    <w:p w:rsidR="00377B0C" w:rsidRDefault="00453BA1" w:rsidP="00440AAB">
      <w:pPr>
        <w:jc w:val="both"/>
        <w:rPr>
          <w:rFonts w:ascii="Arial" w:hAnsi="Arial" w:cs="Arial"/>
          <w:lang w:val="es-ES"/>
        </w:rPr>
      </w:pPr>
      <w:r>
        <w:rPr>
          <w:rFonts w:ascii="Arial" w:hAnsi="Arial" w:cs="Arial"/>
          <w:noProof/>
          <w:lang w:val="es-VE" w:eastAsia="es-VE"/>
        </w:rPr>
        <w:drawing>
          <wp:anchor distT="0" distB="0" distL="114300" distR="114300" simplePos="0" relativeHeight="251694080" behindDoc="0" locked="0" layoutInCell="1" allowOverlap="1">
            <wp:simplePos x="0" y="0"/>
            <wp:positionH relativeFrom="column">
              <wp:posOffset>466725</wp:posOffset>
            </wp:positionH>
            <wp:positionV relativeFrom="paragraph">
              <wp:posOffset>92710</wp:posOffset>
            </wp:positionV>
            <wp:extent cx="3530600" cy="6603365"/>
            <wp:effectExtent l="19050" t="0" r="0" b="0"/>
            <wp:wrapThrough wrapText="bothSides">
              <wp:wrapPolygon edited="0">
                <wp:start x="-117" y="0"/>
                <wp:lineTo x="-117" y="8599"/>
                <wp:lineTo x="3846" y="8973"/>
                <wp:lineTo x="9906" y="8973"/>
                <wp:lineTo x="9906" y="16949"/>
                <wp:lineTo x="10256" y="17946"/>
                <wp:lineTo x="10955" y="17946"/>
                <wp:lineTo x="10955" y="21561"/>
                <wp:lineTo x="21561" y="21561"/>
                <wp:lineTo x="21561" y="810"/>
                <wp:lineTo x="10839" y="0"/>
                <wp:lineTo x="-117" y="0"/>
              </wp:wrapPolygon>
            </wp:wrapThrough>
            <wp:docPr id="11" name="10 Imagen" descr="cfs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se3.png"/>
                    <pic:cNvPicPr/>
                  </pic:nvPicPr>
                  <pic:blipFill>
                    <a:blip r:embed="rId14" cstate="print"/>
                    <a:stretch>
                      <a:fillRect/>
                    </a:stretch>
                  </pic:blipFill>
                  <pic:spPr>
                    <a:xfrm>
                      <a:off x="0" y="0"/>
                      <a:ext cx="3530600" cy="6603365"/>
                    </a:xfrm>
                    <a:prstGeom prst="rect">
                      <a:avLst/>
                    </a:prstGeom>
                  </pic:spPr>
                </pic:pic>
              </a:graphicData>
            </a:graphic>
          </wp:anchor>
        </w:drawing>
      </w:r>
    </w:p>
    <w:p w:rsidR="00377B0C" w:rsidRDefault="00D4241B" w:rsidP="00440AAB">
      <w:pPr>
        <w:jc w:val="both"/>
        <w:rPr>
          <w:rFonts w:ascii="Arial" w:hAnsi="Arial" w:cs="Arial"/>
          <w:lang w:val="es-ES"/>
        </w:rPr>
      </w:pPr>
      <w:r>
        <w:rPr>
          <w:noProof/>
          <w:lang w:val="es-VE" w:eastAsia="es-VE"/>
        </w:rPr>
        <mc:AlternateContent>
          <mc:Choice Requires="wps">
            <w:drawing>
              <wp:anchor distT="0" distB="0" distL="114300" distR="114300" simplePos="0" relativeHeight="251705344" behindDoc="0" locked="0" layoutInCell="1" allowOverlap="1">
                <wp:simplePos x="0" y="0"/>
                <wp:positionH relativeFrom="column">
                  <wp:posOffset>2292350</wp:posOffset>
                </wp:positionH>
                <wp:positionV relativeFrom="paragraph">
                  <wp:posOffset>93980</wp:posOffset>
                </wp:positionV>
                <wp:extent cx="390525" cy="266700"/>
                <wp:effectExtent l="0" t="0" r="3175" b="12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07A" w:rsidRPr="008D6A23" w:rsidRDefault="00453BA1" w:rsidP="00ED207A">
                            <w:pPr>
                              <w:rPr>
                                <w:b/>
                                <w:lang w:val="es-ES"/>
                              </w:rPr>
                            </w:pPr>
                            <w:r>
                              <w:rPr>
                                <w:b/>
                                <w:lang w:val="es-ES"/>
                              </w:rPr>
                              <w:t>A</w:t>
                            </w:r>
                            <w:r w:rsidR="00ED207A" w:rsidRPr="008D6A23">
                              <w:rPr>
                                <w:b/>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position:absolute;left:0;text-align:left;margin-left:180.5pt;margin-top:7.4pt;width:30.75pt;height:21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SCgwIAABU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" stroked="f">
                <v:textbox style="mso-fit-shape-to-text:t">
                  <w:txbxContent>
                    <w:p w:rsidR="00ED207A" w:rsidRPr="008D6A23" w:rsidRDefault="00453BA1" w:rsidP="00ED207A">
                      <w:pPr>
                        <w:rPr>
                          <w:b/>
                          <w:lang w:val="es-ES"/>
                        </w:rPr>
                      </w:pPr>
                      <w:r>
                        <w:rPr>
                          <w:b/>
                          <w:lang w:val="es-ES"/>
                        </w:rPr>
                        <w:t>A</w:t>
                      </w:r>
                      <w:r w:rsidR="00ED207A" w:rsidRPr="008D6A23">
                        <w:rPr>
                          <w:b/>
                          <w:lang w:val="es-ES"/>
                        </w:rPr>
                        <w:t>.</w:t>
                      </w:r>
                    </w:p>
                  </w:txbxContent>
                </v:textbox>
              </v:shape>
            </w:pict>
          </mc:Fallback>
        </mc:AlternateContent>
      </w:r>
    </w:p>
    <w:p w:rsidR="00377B0C" w:rsidRDefault="00377B0C" w:rsidP="00440AAB">
      <w:pPr>
        <w:jc w:val="both"/>
        <w:rPr>
          <w:rFonts w:ascii="Arial" w:hAnsi="Arial" w:cs="Arial"/>
          <w:lang w:val="es-ES"/>
        </w:rPr>
      </w:pPr>
    </w:p>
    <w:p w:rsidR="00377B0C" w:rsidRDefault="00377B0C" w:rsidP="00440AAB">
      <w:pPr>
        <w:jc w:val="both"/>
        <w:rPr>
          <w:rFonts w:ascii="Arial" w:hAnsi="Arial" w:cs="Arial"/>
          <w:lang w:val="es-ES"/>
        </w:rPr>
      </w:pPr>
    </w:p>
    <w:p w:rsidR="00ED207A" w:rsidRDefault="00ED207A" w:rsidP="00ED207A">
      <w:pPr>
        <w:jc w:val="both"/>
        <w:rPr>
          <w:b/>
        </w:rPr>
      </w:pPr>
    </w:p>
    <w:p w:rsidR="00ED207A" w:rsidRDefault="00ED207A" w:rsidP="00ED207A">
      <w:pPr>
        <w:jc w:val="both"/>
        <w:rPr>
          <w:b/>
        </w:rPr>
      </w:pPr>
    </w:p>
    <w:p w:rsidR="00ED207A" w:rsidRDefault="00ED207A" w:rsidP="00ED207A">
      <w:pPr>
        <w:jc w:val="both"/>
        <w:rPr>
          <w:b/>
        </w:rPr>
      </w:pPr>
    </w:p>
    <w:p w:rsidR="00ED207A" w:rsidRDefault="00D4241B" w:rsidP="00ED207A">
      <w:pPr>
        <w:jc w:val="both"/>
        <w:rPr>
          <w:b/>
        </w:rPr>
      </w:pPr>
      <w:r>
        <w:rPr>
          <w:noProof/>
          <w:lang w:val="es-VE" w:eastAsia="es-VE"/>
        </w:rPr>
        <mc:AlternateContent>
          <mc:Choice Requires="wps">
            <w:drawing>
              <wp:anchor distT="0" distB="0" distL="114300" distR="114300" simplePos="0" relativeHeight="251703296" behindDoc="0" locked="0" layoutInCell="1" allowOverlap="1">
                <wp:simplePos x="0" y="0"/>
                <wp:positionH relativeFrom="column">
                  <wp:posOffset>4349750</wp:posOffset>
                </wp:positionH>
                <wp:positionV relativeFrom="paragraph">
                  <wp:posOffset>255270</wp:posOffset>
                </wp:positionV>
                <wp:extent cx="390525" cy="266700"/>
                <wp:effectExtent l="0" t="0" r="3175" b="190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07A" w:rsidRPr="008D6A23" w:rsidRDefault="00ED207A" w:rsidP="00ED207A">
                            <w:pPr>
                              <w:rPr>
                                <w:b/>
                                <w:lang w:val="es-ES"/>
                              </w:rPr>
                            </w:pPr>
                            <w:r w:rsidRPr="008D6A23">
                              <w:rPr>
                                <w:b/>
                                <w:lang w:val="es-ES"/>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2" type="#_x0000_t202" style="position:absolute;left:0;text-align:left;margin-left:342.5pt;margin-top:20.1pt;width:30.75pt;height:21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" stroked="f">
                <v:textbox style="mso-fit-shape-to-text:t">
                  <w:txbxContent>
                    <w:p w:rsidR="00ED207A" w:rsidRPr="008D6A23" w:rsidRDefault="00ED207A" w:rsidP="00ED207A">
                      <w:pPr>
                        <w:rPr>
                          <w:b/>
                          <w:lang w:val="es-ES"/>
                        </w:rPr>
                      </w:pPr>
                      <w:r w:rsidRPr="008D6A23">
                        <w:rPr>
                          <w:b/>
                          <w:lang w:val="es-ES"/>
                        </w:rPr>
                        <w:t>C.</w:t>
                      </w:r>
                    </w:p>
                  </w:txbxContent>
                </v:textbox>
              </v:shape>
            </w:pict>
          </mc:Fallback>
        </mc:AlternateContent>
      </w:r>
    </w:p>
    <w:p w:rsidR="00ED207A" w:rsidRPr="00ED207A" w:rsidRDefault="00D4241B" w:rsidP="00ED207A">
      <w:pPr>
        <w:jc w:val="both"/>
        <w:rPr>
          <w:rFonts w:ascii="Arial" w:hAnsi="Arial" w:cs="Arial"/>
          <w:lang w:val="es-ES"/>
        </w:rPr>
      </w:pPr>
      <w:r>
        <w:rPr>
          <w:rFonts w:ascii="Arial" w:hAnsi="Arial" w:cs="Arial"/>
          <w:noProof/>
          <w:lang w:val="es-VE" w:eastAsia="es-VE"/>
        </w:rPr>
        <mc:AlternateContent>
          <mc:Choice Requires="wps">
            <w:drawing>
              <wp:anchor distT="0" distB="0" distL="114300" distR="114300" simplePos="0" relativeHeight="251707392" behindDoc="0" locked="0" layoutInCell="1" allowOverlap="1">
                <wp:simplePos x="0" y="0"/>
                <wp:positionH relativeFrom="column">
                  <wp:posOffset>2292350</wp:posOffset>
                </wp:positionH>
                <wp:positionV relativeFrom="paragraph">
                  <wp:posOffset>872490</wp:posOffset>
                </wp:positionV>
                <wp:extent cx="390525" cy="266700"/>
                <wp:effectExtent l="0" t="0" r="3175"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A1" w:rsidRPr="008D6A23" w:rsidRDefault="00453BA1" w:rsidP="00453BA1">
                            <w:pPr>
                              <w:rPr>
                                <w:b/>
                                <w:lang w:val="es-ES"/>
                              </w:rPr>
                            </w:pPr>
                            <w:r>
                              <w:rPr>
                                <w:b/>
                                <w:lang w:val="es-ES"/>
                              </w:rPr>
                              <w:t>B</w:t>
                            </w:r>
                            <w:r w:rsidRPr="008D6A23">
                              <w:rPr>
                                <w:b/>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33" type="#_x0000_t202" style="position:absolute;left:0;text-align:left;margin-left:180.5pt;margin-top:68.7pt;width:30.75pt;height:21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uhAIAABU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" stroked="f">
                <v:textbox style="mso-fit-shape-to-text:t">
                  <w:txbxContent>
                    <w:p w:rsidR="00453BA1" w:rsidRPr="008D6A23" w:rsidRDefault="00453BA1" w:rsidP="00453BA1">
                      <w:pPr>
                        <w:rPr>
                          <w:b/>
                          <w:lang w:val="es-ES"/>
                        </w:rPr>
                      </w:pPr>
                      <w:r>
                        <w:rPr>
                          <w:b/>
                          <w:lang w:val="es-ES"/>
                        </w:rPr>
                        <w:t>B</w:t>
                      </w:r>
                      <w:r w:rsidRPr="008D6A23">
                        <w:rPr>
                          <w:b/>
                          <w:lang w:val="es-ES"/>
                        </w:rPr>
                        <w:t>.</w:t>
                      </w:r>
                    </w:p>
                  </w:txbxContent>
                </v:textbox>
              </v:shape>
            </w:pict>
          </mc:Fallback>
        </mc:AlternateContent>
      </w:r>
      <w:r w:rsidR="00ED207A">
        <w:rPr>
          <w:b/>
        </w:rPr>
        <w:t xml:space="preserve">FIGURA </w:t>
      </w:r>
      <w:r w:rsidR="00453BA1">
        <w:rPr>
          <w:b/>
        </w:rPr>
        <w:t>6</w:t>
      </w:r>
    </w:p>
    <w:p w:rsidR="00ED207A" w:rsidRDefault="00ED207A" w:rsidP="00ED207A">
      <w:pPr>
        <w:jc w:val="both"/>
        <w:rPr>
          <w:rFonts w:ascii="Arial" w:hAnsi="Arial" w:cs="Arial"/>
          <w:lang w:val="es-ES"/>
        </w:rPr>
      </w:pPr>
      <w:r>
        <w:rPr>
          <w:rFonts w:ascii="Arial" w:hAnsi="Arial" w:cs="Arial"/>
          <w:lang w:val="es-ES"/>
        </w:rPr>
        <w:t>Ensayos de proliferación en</w:t>
      </w:r>
    </w:p>
    <w:p w:rsidR="00ED207A" w:rsidRDefault="00453BA1" w:rsidP="00ED207A">
      <w:pPr>
        <w:jc w:val="both"/>
        <w:rPr>
          <w:rFonts w:ascii="Arial" w:hAnsi="Arial" w:cs="Arial"/>
          <w:lang w:val="es-ES"/>
        </w:rPr>
      </w:pPr>
      <w:r>
        <w:rPr>
          <w:rFonts w:ascii="Arial" w:hAnsi="Arial" w:cs="Arial"/>
          <w:lang w:val="es-ES"/>
        </w:rPr>
        <w:t xml:space="preserve">LB CD19 </w:t>
      </w:r>
      <w:r w:rsidR="00ED207A">
        <w:rPr>
          <w:rFonts w:ascii="Arial" w:hAnsi="Arial" w:cs="Arial"/>
          <w:lang w:val="es-ES"/>
        </w:rPr>
        <w:t>+ en</w:t>
      </w:r>
      <w:r>
        <w:rPr>
          <w:rFonts w:ascii="Arial" w:hAnsi="Arial" w:cs="Arial"/>
          <w:lang w:val="es-ES"/>
        </w:rPr>
        <w:t xml:space="preserve"> C</w:t>
      </w:r>
      <w:r w:rsidR="00ED207A">
        <w:rPr>
          <w:rFonts w:ascii="Arial" w:hAnsi="Arial" w:cs="Arial"/>
          <w:lang w:val="es-ES"/>
        </w:rPr>
        <w:t>ontrol sano representativo.</w:t>
      </w:r>
    </w:p>
    <w:p w:rsidR="00ED207A" w:rsidRDefault="00ED207A" w:rsidP="00ED207A">
      <w:pPr>
        <w:pStyle w:val="Prrafodelista"/>
        <w:numPr>
          <w:ilvl w:val="0"/>
          <w:numId w:val="14"/>
        </w:numPr>
        <w:jc w:val="both"/>
        <w:rPr>
          <w:rFonts w:ascii="Arial" w:hAnsi="Arial" w:cs="Arial"/>
          <w:lang w:val="es-ES"/>
        </w:rPr>
      </w:pPr>
      <w:r>
        <w:rPr>
          <w:rFonts w:ascii="Arial" w:hAnsi="Arial" w:cs="Arial"/>
          <w:lang w:val="es-ES"/>
        </w:rPr>
        <w:t>Sin estímulo.</w:t>
      </w:r>
    </w:p>
    <w:p w:rsidR="00ED207A" w:rsidRPr="00ED207A" w:rsidRDefault="00ED207A" w:rsidP="00ED207A">
      <w:pPr>
        <w:pStyle w:val="Prrafodelista"/>
        <w:numPr>
          <w:ilvl w:val="0"/>
          <w:numId w:val="14"/>
        </w:numPr>
        <w:jc w:val="both"/>
        <w:rPr>
          <w:rFonts w:ascii="Arial" w:hAnsi="Arial" w:cs="Arial"/>
          <w:lang w:val="es-ES"/>
        </w:rPr>
      </w:pPr>
      <w:r>
        <w:rPr>
          <w:rFonts w:ascii="Arial" w:hAnsi="Arial" w:cs="Arial"/>
          <w:lang w:val="es-ES"/>
        </w:rPr>
        <w:t>Frente a Pneumo 6</w:t>
      </w:r>
    </w:p>
    <w:p w:rsidR="00ED207A" w:rsidRPr="00ED207A" w:rsidRDefault="00453BA1" w:rsidP="00ED207A">
      <w:pPr>
        <w:pStyle w:val="Prrafodelista"/>
        <w:numPr>
          <w:ilvl w:val="0"/>
          <w:numId w:val="14"/>
        </w:numPr>
        <w:jc w:val="both"/>
        <w:rPr>
          <w:rFonts w:ascii="Arial" w:hAnsi="Arial" w:cs="Arial"/>
          <w:lang w:val="es-ES"/>
        </w:rPr>
      </w:pPr>
      <w:r>
        <w:rPr>
          <w:rFonts w:ascii="Arial" w:hAnsi="Arial" w:cs="Arial"/>
          <w:lang w:val="es-ES"/>
        </w:rPr>
        <w:t>Frente a Typhi 3</w:t>
      </w:r>
      <w:r w:rsidR="00ED207A">
        <w:rPr>
          <w:rFonts w:ascii="Arial" w:hAnsi="Arial" w:cs="Arial"/>
          <w:lang w:val="es-ES"/>
        </w:rPr>
        <w:t>.</w:t>
      </w:r>
    </w:p>
    <w:p w:rsidR="00377B0C" w:rsidRDefault="00377B0C" w:rsidP="00440AAB">
      <w:pPr>
        <w:jc w:val="both"/>
        <w:rPr>
          <w:rFonts w:ascii="Arial" w:hAnsi="Arial" w:cs="Arial"/>
          <w:lang w:val="es-ES"/>
        </w:rPr>
      </w:pPr>
    </w:p>
    <w:p w:rsidR="00377B0C" w:rsidRDefault="00377B0C" w:rsidP="00440AAB">
      <w:pPr>
        <w:jc w:val="both"/>
        <w:rPr>
          <w:rFonts w:ascii="Arial" w:hAnsi="Arial" w:cs="Arial"/>
          <w:lang w:val="es-ES"/>
        </w:rPr>
      </w:pPr>
    </w:p>
    <w:p w:rsidR="00377B0C" w:rsidRDefault="00D4241B" w:rsidP="00440AAB">
      <w:pPr>
        <w:jc w:val="both"/>
        <w:rPr>
          <w:rFonts w:ascii="Arial" w:hAnsi="Arial" w:cs="Arial"/>
          <w:lang w:val="es-ES"/>
        </w:rPr>
      </w:pPr>
      <w:r>
        <w:rPr>
          <w:b/>
          <w:noProof/>
          <w:lang w:val="es-VE" w:eastAsia="es-VE"/>
        </w:rPr>
        <mc:AlternateContent>
          <mc:Choice Requires="wps">
            <w:drawing>
              <wp:anchor distT="0" distB="0" distL="114300" distR="114300" simplePos="0" relativeHeight="251706368" behindDoc="0" locked="0" layoutInCell="1" allowOverlap="1">
                <wp:simplePos x="0" y="0"/>
                <wp:positionH relativeFrom="column">
                  <wp:posOffset>2292350</wp:posOffset>
                </wp:positionH>
                <wp:positionV relativeFrom="paragraph">
                  <wp:posOffset>140970</wp:posOffset>
                </wp:positionV>
                <wp:extent cx="390525" cy="266700"/>
                <wp:effectExtent l="0" t="0" r="317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A1" w:rsidRPr="008D6A23" w:rsidRDefault="00453BA1" w:rsidP="00453BA1">
                            <w:pPr>
                              <w:rPr>
                                <w:b/>
                                <w:lang w:val="es-ES"/>
                              </w:rPr>
                            </w:pPr>
                            <w:r w:rsidRPr="008D6A23">
                              <w:rPr>
                                <w:b/>
                                <w:lang w:val="es-ES"/>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4" type="#_x0000_t202" style="position:absolute;left:0;text-align:left;margin-left:180.5pt;margin-top:11.1pt;width:30.75pt;height:21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pAhAIAABU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" stroked="f">
                <v:textbox style="mso-fit-shape-to-text:t">
                  <w:txbxContent>
                    <w:p w:rsidR="00453BA1" w:rsidRPr="008D6A23" w:rsidRDefault="00453BA1" w:rsidP="00453BA1">
                      <w:pPr>
                        <w:rPr>
                          <w:b/>
                          <w:lang w:val="es-ES"/>
                        </w:rPr>
                      </w:pPr>
                      <w:r w:rsidRPr="008D6A23">
                        <w:rPr>
                          <w:b/>
                          <w:lang w:val="es-ES"/>
                        </w:rPr>
                        <w:t>C.</w:t>
                      </w:r>
                    </w:p>
                  </w:txbxContent>
                </v:textbox>
              </v:shape>
            </w:pict>
          </mc:Fallback>
        </mc:AlternateContent>
      </w:r>
    </w:p>
    <w:p w:rsidR="00377B0C" w:rsidRDefault="00377B0C" w:rsidP="00440AAB">
      <w:pPr>
        <w:jc w:val="both"/>
        <w:rPr>
          <w:rFonts w:ascii="Arial" w:hAnsi="Arial" w:cs="Arial"/>
          <w:lang w:val="es-ES"/>
        </w:rPr>
      </w:pPr>
    </w:p>
    <w:p w:rsidR="00E9513C" w:rsidRPr="00E9513C" w:rsidRDefault="00E9513C" w:rsidP="00E9513C">
      <w:pPr>
        <w:jc w:val="center"/>
        <w:rPr>
          <w:b/>
        </w:rPr>
      </w:pPr>
    </w:p>
    <w:p w:rsidR="00377B0C" w:rsidRDefault="00E9513C" w:rsidP="00440AAB">
      <w:pPr>
        <w:jc w:val="both"/>
        <w:rPr>
          <w:rFonts w:ascii="Arial" w:hAnsi="Arial" w:cs="Arial"/>
          <w:lang w:val="es-ES"/>
        </w:rPr>
      </w:pPr>
      <w:r>
        <w:rPr>
          <w:rFonts w:ascii="Arial" w:hAnsi="Arial" w:cs="Arial"/>
          <w:lang w:val="es-ES"/>
        </w:rPr>
        <w:t>i</w:t>
      </w:r>
    </w:p>
    <w:p w:rsidR="00377B0C" w:rsidRDefault="00377B0C" w:rsidP="00440AAB">
      <w:pPr>
        <w:jc w:val="both"/>
        <w:rPr>
          <w:rFonts w:ascii="Arial" w:hAnsi="Arial" w:cs="Arial"/>
          <w:lang w:val="es-ES"/>
        </w:rPr>
      </w:pPr>
    </w:p>
    <w:p w:rsidR="00F96C07" w:rsidRDefault="00F96C07" w:rsidP="00440AAB">
      <w:pPr>
        <w:jc w:val="both"/>
        <w:rPr>
          <w:rFonts w:ascii="Arial" w:hAnsi="Arial" w:cs="Arial"/>
          <w:lang w:val="es-ES"/>
        </w:rPr>
      </w:pPr>
    </w:p>
    <w:p w:rsidR="00F96C07" w:rsidRDefault="00F96C07" w:rsidP="00440AAB">
      <w:pPr>
        <w:jc w:val="both"/>
        <w:rPr>
          <w:rFonts w:ascii="Arial" w:hAnsi="Arial" w:cs="Arial"/>
          <w:lang w:val="es-ES"/>
        </w:rPr>
      </w:pPr>
    </w:p>
    <w:p w:rsidR="00E9513C" w:rsidRDefault="00E9513C" w:rsidP="0011062F">
      <w:pPr>
        <w:jc w:val="both"/>
        <w:rPr>
          <w:rFonts w:ascii="Arial" w:hAnsi="Arial" w:cs="Arial"/>
          <w:b/>
          <w:lang w:val="es-ES"/>
        </w:rPr>
      </w:pPr>
    </w:p>
    <w:p w:rsidR="00E9513C" w:rsidRDefault="00E9513C" w:rsidP="0011062F">
      <w:pPr>
        <w:jc w:val="both"/>
        <w:rPr>
          <w:rFonts w:ascii="Arial" w:hAnsi="Arial" w:cs="Arial"/>
          <w:b/>
          <w:lang w:val="es-ES"/>
        </w:rPr>
      </w:pPr>
    </w:p>
    <w:p w:rsidR="00CB0CF2" w:rsidRDefault="00CB0CF2" w:rsidP="0011062F">
      <w:pPr>
        <w:jc w:val="both"/>
        <w:rPr>
          <w:rFonts w:ascii="Arial" w:hAnsi="Arial" w:cs="Arial"/>
          <w:b/>
          <w:lang w:val="es-ES"/>
        </w:rPr>
      </w:pPr>
    </w:p>
    <w:tbl>
      <w:tblPr>
        <w:tblpPr w:leftFromText="141" w:rightFromText="141" w:vertAnchor="text" w:horzAnchor="margin" w:tblpXSpec="center" w:tblpY="-53"/>
        <w:tblW w:w="0" w:type="auto"/>
        <w:tblBorders>
          <w:top w:val="single" w:sz="8" w:space="0" w:color="000000"/>
          <w:bottom w:val="single" w:sz="8" w:space="0" w:color="000000"/>
        </w:tblBorders>
        <w:tblLook w:val="04A0" w:firstRow="1" w:lastRow="0" w:firstColumn="1" w:lastColumn="0" w:noHBand="0" w:noVBand="1"/>
      </w:tblPr>
      <w:tblGrid>
        <w:gridCol w:w="848"/>
        <w:gridCol w:w="885"/>
        <w:gridCol w:w="1132"/>
        <w:gridCol w:w="1172"/>
        <w:gridCol w:w="970"/>
        <w:gridCol w:w="1010"/>
        <w:gridCol w:w="1127"/>
      </w:tblGrid>
      <w:tr w:rsidR="00E9513C" w:rsidRPr="00381595">
        <w:trPr>
          <w:trHeight w:val="715"/>
        </w:trPr>
        <w:tc>
          <w:tcPr>
            <w:tcW w:w="0" w:type="auto"/>
            <w:tcBorders>
              <w:top w:val="nil"/>
              <w:bottom w:val="single" w:sz="8" w:space="0" w:color="000000"/>
            </w:tcBorders>
            <w:noWrap/>
          </w:tcPr>
          <w:p w:rsidR="00E9513C" w:rsidRPr="008F0A5A" w:rsidRDefault="00E9513C" w:rsidP="00E9513C">
            <w:pPr>
              <w:rPr>
                <w:rFonts w:ascii="Calibri" w:hAnsi="Calibri"/>
                <w:b/>
                <w:bCs/>
                <w:lang w:val="es-VE" w:eastAsia="es-VE"/>
              </w:rPr>
            </w:pPr>
          </w:p>
        </w:tc>
        <w:tc>
          <w:tcPr>
            <w:tcW w:w="0" w:type="auto"/>
            <w:gridSpan w:val="2"/>
            <w:tcBorders>
              <w:top w:val="nil"/>
              <w:bottom w:val="single" w:sz="8" w:space="0" w:color="000000"/>
            </w:tcBorders>
            <w:noWrap/>
          </w:tcPr>
          <w:p w:rsidR="00E9513C" w:rsidRPr="008F0A5A" w:rsidRDefault="00E9513C" w:rsidP="00E9513C">
            <w:pPr>
              <w:jc w:val="center"/>
              <w:rPr>
                <w:rFonts w:ascii="Calibri" w:hAnsi="Calibri"/>
                <w:b/>
                <w:bCs/>
                <w:lang w:val="es-VE" w:eastAsia="es-VE"/>
              </w:rPr>
            </w:pPr>
            <w:r w:rsidRPr="008F0A5A">
              <w:rPr>
                <w:rFonts w:ascii="Calibri" w:hAnsi="Calibri"/>
                <w:b/>
                <w:bCs/>
                <w:sz w:val="22"/>
                <w:szCs w:val="22"/>
                <w:lang w:val="es-VE" w:eastAsia="es-VE"/>
              </w:rPr>
              <w:t>IgG</w:t>
            </w:r>
          </w:p>
          <w:p w:rsidR="00E9513C" w:rsidRPr="008F0A5A" w:rsidRDefault="00E9513C" w:rsidP="00E9513C">
            <w:pPr>
              <w:jc w:val="center"/>
              <w:rPr>
                <w:rFonts w:ascii="Calibri" w:hAnsi="Calibri"/>
                <w:b/>
                <w:bCs/>
                <w:lang w:val="es-VE" w:eastAsia="es-VE"/>
              </w:rPr>
            </w:pPr>
            <w:r w:rsidRPr="008F0A5A">
              <w:rPr>
                <w:rFonts w:ascii="Calibri" w:hAnsi="Calibri"/>
                <w:b/>
                <w:bCs/>
                <w:sz w:val="22"/>
                <w:szCs w:val="22"/>
                <w:lang w:val="es-VE" w:eastAsia="es-VE"/>
              </w:rPr>
              <w:t xml:space="preserve"> (mgrs/dl)</w:t>
            </w:r>
          </w:p>
          <w:p w:rsidR="00E9513C" w:rsidRPr="008F0A5A" w:rsidRDefault="00E9513C" w:rsidP="00E9513C">
            <w:pPr>
              <w:jc w:val="center"/>
              <w:rPr>
                <w:rFonts w:ascii="Calibri" w:hAnsi="Calibri"/>
                <w:b/>
                <w:bCs/>
                <w:lang w:val="es-VE" w:eastAsia="es-VE"/>
              </w:rPr>
            </w:pPr>
          </w:p>
        </w:tc>
        <w:tc>
          <w:tcPr>
            <w:tcW w:w="0" w:type="auto"/>
            <w:gridSpan w:val="2"/>
            <w:tcBorders>
              <w:top w:val="nil"/>
              <w:bottom w:val="single" w:sz="8" w:space="0" w:color="000000"/>
            </w:tcBorders>
            <w:noWrap/>
          </w:tcPr>
          <w:p w:rsidR="00E9513C" w:rsidRPr="008F0A5A" w:rsidRDefault="00E9513C" w:rsidP="00E9513C">
            <w:pPr>
              <w:jc w:val="center"/>
              <w:rPr>
                <w:rFonts w:ascii="Calibri" w:hAnsi="Calibri"/>
                <w:b/>
                <w:bCs/>
                <w:lang w:val="es-VE" w:eastAsia="es-VE"/>
              </w:rPr>
            </w:pPr>
            <w:r w:rsidRPr="008F0A5A">
              <w:rPr>
                <w:rFonts w:ascii="Calibri" w:hAnsi="Calibri"/>
                <w:b/>
                <w:bCs/>
                <w:sz w:val="22"/>
                <w:szCs w:val="22"/>
                <w:lang w:val="es-VE" w:eastAsia="es-VE"/>
              </w:rPr>
              <w:t>IgA</w:t>
            </w:r>
          </w:p>
          <w:p w:rsidR="00E9513C" w:rsidRPr="008F0A5A" w:rsidRDefault="00E9513C" w:rsidP="00E9513C">
            <w:pPr>
              <w:jc w:val="center"/>
              <w:rPr>
                <w:rFonts w:ascii="Calibri" w:hAnsi="Calibri"/>
                <w:b/>
                <w:bCs/>
                <w:lang w:val="es-VE" w:eastAsia="es-VE"/>
              </w:rPr>
            </w:pPr>
            <w:r w:rsidRPr="008F0A5A">
              <w:rPr>
                <w:rFonts w:ascii="Calibri" w:hAnsi="Calibri"/>
                <w:b/>
                <w:bCs/>
                <w:sz w:val="22"/>
                <w:szCs w:val="22"/>
                <w:lang w:val="es-VE" w:eastAsia="es-VE"/>
              </w:rPr>
              <w:t xml:space="preserve"> (mgrs/dl)</w:t>
            </w:r>
          </w:p>
          <w:p w:rsidR="00E9513C" w:rsidRPr="008F0A5A" w:rsidRDefault="00E9513C" w:rsidP="00E9513C">
            <w:pPr>
              <w:jc w:val="center"/>
              <w:rPr>
                <w:rFonts w:ascii="Calibri" w:hAnsi="Calibri"/>
                <w:b/>
                <w:bCs/>
                <w:lang w:val="es-VE" w:eastAsia="es-VE"/>
              </w:rPr>
            </w:pPr>
          </w:p>
        </w:tc>
        <w:tc>
          <w:tcPr>
            <w:tcW w:w="0" w:type="auto"/>
            <w:gridSpan w:val="2"/>
            <w:tcBorders>
              <w:top w:val="nil"/>
              <w:bottom w:val="single" w:sz="8" w:space="0" w:color="000000"/>
            </w:tcBorders>
            <w:noWrap/>
          </w:tcPr>
          <w:p w:rsidR="00E9513C" w:rsidRPr="008F0A5A" w:rsidRDefault="00E9513C" w:rsidP="00E9513C">
            <w:pPr>
              <w:jc w:val="center"/>
              <w:rPr>
                <w:rFonts w:ascii="Calibri" w:hAnsi="Calibri"/>
                <w:b/>
                <w:bCs/>
                <w:lang w:val="es-VE" w:eastAsia="es-VE"/>
              </w:rPr>
            </w:pPr>
            <w:r w:rsidRPr="008F0A5A">
              <w:rPr>
                <w:rFonts w:ascii="Calibri" w:hAnsi="Calibri"/>
                <w:b/>
                <w:bCs/>
                <w:sz w:val="22"/>
                <w:szCs w:val="22"/>
                <w:lang w:val="es-VE" w:eastAsia="es-VE"/>
              </w:rPr>
              <w:t xml:space="preserve">IgM </w:t>
            </w:r>
          </w:p>
          <w:p w:rsidR="00E9513C" w:rsidRPr="008F0A5A" w:rsidRDefault="00E9513C" w:rsidP="00E9513C">
            <w:pPr>
              <w:jc w:val="center"/>
              <w:rPr>
                <w:rFonts w:ascii="Calibri" w:hAnsi="Calibri"/>
                <w:b/>
                <w:bCs/>
                <w:lang w:val="es-VE" w:eastAsia="es-VE"/>
              </w:rPr>
            </w:pPr>
            <w:r w:rsidRPr="008F0A5A">
              <w:rPr>
                <w:rFonts w:ascii="Calibri" w:hAnsi="Calibri"/>
                <w:b/>
                <w:bCs/>
                <w:sz w:val="22"/>
                <w:szCs w:val="22"/>
                <w:lang w:val="es-VE" w:eastAsia="es-VE"/>
              </w:rPr>
              <w:t>(mgrs/dl</w:t>
            </w:r>
            <w:r>
              <w:rPr>
                <w:rFonts w:ascii="Calibri" w:hAnsi="Calibri"/>
                <w:b/>
                <w:bCs/>
                <w:sz w:val="22"/>
                <w:szCs w:val="22"/>
                <w:lang w:val="es-VE" w:eastAsia="es-VE"/>
              </w:rPr>
              <w:t>)</w:t>
            </w:r>
          </w:p>
        </w:tc>
      </w:tr>
      <w:tr w:rsidR="00E9513C" w:rsidRPr="00381595">
        <w:trPr>
          <w:trHeight w:val="330"/>
        </w:trPr>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b/>
                <w:bCs/>
                <w:lang w:val="es-VE" w:eastAsia="es-VE"/>
              </w:rPr>
            </w:pP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PRE</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POST</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PRE</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POST</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PRE</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POST</w:t>
            </w:r>
          </w:p>
        </w:tc>
      </w:tr>
      <w:tr w:rsidR="00E9513C" w:rsidRPr="00381595">
        <w:trPr>
          <w:trHeight w:val="330"/>
        </w:trPr>
        <w:tc>
          <w:tcPr>
            <w:tcW w:w="0" w:type="auto"/>
            <w:noWrap/>
          </w:tcPr>
          <w:p w:rsidR="00E9513C" w:rsidRPr="008F0A5A" w:rsidRDefault="00E9513C" w:rsidP="00E9513C">
            <w:pPr>
              <w:spacing w:before="100" w:beforeAutospacing="1" w:after="100" w:afterAutospacing="1" w:line="240" w:lineRule="atLeast"/>
              <w:jc w:val="center"/>
              <w:rPr>
                <w:rFonts w:ascii="Calibri" w:hAnsi="Calibri"/>
                <w:b/>
                <w:bCs/>
                <w:lang w:val="es-VE" w:eastAsia="es-VE"/>
              </w:rPr>
            </w:pPr>
            <w:r>
              <w:rPr>
                <w:rFonts w:ascii="Calibri" w:hAnsi="Calibri"/>
                <w:bCs/>
                <w:sz w:val="22"/>
                <w:szCs w:val="22"/>
                <w:lang w:val="es-VE" w:eastAsia="es-VE"/>
              </w:rPr>
              <w:t>PAC</w:t>
            </w:r>
            <w:r w:rsidRPr="008F0A5A">
              <w:rPr>
                <w:rFonts w:ascii="Calibri" w:hAnsi="Calibri"/>
                <w:bCs/>
                <w:sz w:val="22"/>
                <w:szCs w:val="22"/>
                <w:lang w:val="es-VE" w:eastAsia="es-VE"/>
              </w:rPr>
              <w:t xml:space="preserve"> 1</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780</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w:t>
            </w:r>
            <w:r>
              <w:rPr>
                <w:rFonts w:ascii="Calibri" w:hAnsi="Calibri"/>
                <w:sz w:val="22"/>
                <w:szCs w:val="22"/>
                <w:lang w:val="es-VE" w:eastAsia="es-VE"/>
              </w:rPr>
              <w:t>.</w:t>
            </w:r>
            <w:r w:rsidRPr="008F0A5A">
              <w:rPr>
                <w:rFonts w:ascii="Calibri" w:hAnsi="Calibri"/>
                <w:sz w:val="22"/>
                <w:szCs w:val="22"/>
                <w:lang w:val="es-VE" w:eastAsia="es-VE"/>
              </w:rPr>
              <w:t>270</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262</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156</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88,3</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122</w:t>
            </w:r>
            <w:r>
              <w:rPr>
                <w:rFonts w:ascii="Calibri" w:hAnsi="Calibri"/>
                <w:sz w:val="22"/>
                <w:szCs w:val="22"/>
                <w:lang w:val="es-VE" w:eastAsia="es-VE"/>
              </w:rPr>
              <w:t>,0</w:t>
            </w:r>
          </w:p>
        </w:tc>
      </w:tr>
      <w:tr w:rsidR="00E9513C" w:rsidRPr="00381595">
        <w:trPr>
          <w:trHeight w:val="330"/>
        </w:trPr>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b/>
                <w:bCs/>
                <w:lang w:val="es-VE" w:eastAsia="es-VE"/>
              </w:rPr>
            </w:pPr>
            <w:r>
              <w:rPr>
                <w:rFonts w:ascii="Calibri" w:hAnsi="Calibri"/>
                <w:bCs/>
                <w:sz w:val="22"/>
                <w:szCs w:val="22"/>
                <w:lang w:val="es-VE" w:eastAsia="es-VE"/>
              </w:rPr>
              <w:t>PAC</w:t>
            </w:r>
            <w:r w:rsidRPr="008F0A5A">
              <w:rPr>
                <w:rFonts w:ascii="Calibri" w:hAnsi="Calibri"/>
                <w:bCs/>
                <w:sz w:val="22"/>
                <w:szCs w:val="22"/>
                <w:lang w:val="es-VE" w:eastAsia="es-VE"/>
              </w:rPr>
              <w:t xml:space="preserve"> 2</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w:t>
            </w:r>
            <w:r>
              <w:rPr>
                <w:rFonts w:ascii="Calibri" w:hAnsi="Calibri"/>
                <w:sz w:val="22"/>
                <w:szCs w:val="22"/>
                <w:lang w:val="es-VE" w:eastAsia="es-VE"/>
              </w:rPr>
              <w:t>.</w:t>
            </w:r>
            <w:r w:rsidRPr="008F0A5A">
              <w:rPr>
                <w:rFonts w:ascii="Calibri" w:hAnsi="Calibri"/>
                <w:sz w:val="22"/>
                <w:szCs w:val="22"/>
                <w:lang w:val="es-VE" w:eastAsia="es-VE"/>
              </w:rPr>
              <w:t>040</w:t>
            </w:r>
            <w:r>
              <w:rPr>
                <w:rFonts w:ascii="Calibri" w:hAnsi="Calibri"/>
                <w:sz w:val="22"/>
                <w:szCs w:val="22"/>
                <w:lang w:val="es-VE" w:eastAsia="es-VE"/>
              </w:rPr>
              <w:t>,0</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w:t>
            </w:r>
            <w:r>
              <w:rPr>
                <w:rFonts w:ascii="Calibri" w:hAnsi="Calibri"/>
                <w:sz w:val="22"/>
                <w:szCs w:val="22"/>
                <w:lang w:val="es-VE" w:eastAsia="es-VE"/>
              </w:rPr>
              <w:t>.</w:t>
            </w:r>
            <w:r w:rsidRPr="008F0A5A">
              <w:rPr>
                <w:rFonts w:ascii="Calibri" w:hAnsi="Calibri"/>
                <w:sz w:val="22"/>
                <w:szCs w:val="22"/>
                <w:lang w:val="es-VE" w:eastAsia="es-VE"/>
              </w:rPr>
              <w:t>070</w:t>
            </w:r>
            <w:r>
              <w:rPr>
                <w:rFonts w:ascii="Calibri" w:hAnsi="Calibri"/>
                <w:sz w:val="22"/>
                <w:szCs w:val="22"/>
                <w:lang w:val="es-VE" w:eastAsia="es-VE"/>
              </w:rPr>
              <w:t>,0</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118</w:t>
            </w:r>
            <w:r>
              <w:rPr>
                <w:rFonts w:ascii="Calibri" w:hAnsi="Calibri"/>
                <w:sz w:val="22"/>
                <w:szCs w:val="22"/>
                <w:lang w:val="es-VE" w:eastAsia="es-VE"/>
              </w:rPr>
              <w:t>,0</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129</w:t>
            </w:r>
            <w:r>
              <w:rPr>
                <w:rFonts w:ascii="Calibri" w:hAnsi="Calibri"/>
                <w:sz w:val="22"/>
                <w:szCs w:val="22"/>
                <w:lang w:val="es-VE" w:eastAsia="es-VE"/>
              </w:rPr>
              <w:t>,0</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132</w:t>
            </w:r>
            <w:r>
              <w:rPr>
                <w:rFonts w:ascii="Calibri" w:hAnsi="Calibri"/>
                <w:sz w:val="22"/>
                <w:szCs w:val="22"/>
                <w:lang w:val="es-VE" w:eastAsia="es-VE"/>
              </w:rPr>
              <w:t>,0</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133</w:t>
            </w:r>
            <w:r>
              <w:rPr>
                <w:rFonts w:ascii="Calibri" w:hAnsi="Calibri"/>
                <w:sz w:val="22"/>
                <w:szCs w:val="22"/>
                <w:lang w:val="es-VE" w:eastAsia="es-VE"/>
              </w:rPr>
              <w:t>,0</w:t>
            </w:r>
          </w:p>
        </w:tc>
      </w:tr>
      <w:tr w:rsidR="00E9513C" w:rsidRPr="00381595">
        <w:trPr>
          <w:trHeight w:val="330"/>
        </w:trPr>
        <w:tc>
          <w:tcPr>
            <w:tcW w:w="0" w:type="auto"/>
            <w:noWrap/>
          </w:tcPr>
          <w:p w:rsidR="00E9513C" w:rsidRPr="008F0A5A" w:rsidRDefault="00E9513C" w:rsidP="00E9513C">
            <w:pPr>
              <w:spacing w:before="100" w:beforeAutospacing="1" w:after="100" w:afterAutospacing="1" w:line="240" w:lineRule="atLeast"/>
              <w:jc w:val="center"/>
              <w:rPr>
                <w:rFonts w:ascii="Calibri" w:hAnsi="Calibri"/>
                <w:b/>
                <w:bCs/>
                <w:lang w:val="es-VE" w:eastAsia="es-VE"/>
              </w:rPr>
            </w:pPr>
            <w:r>
              <w:rPr>
                <w:rFonts w:ascii="Calibri" w:hAnsi="Calibri"/>
                <w:bCs/>
                <w:sz w:val="22"/>
                <w:szCs w:val="22"/>
                <w:lang w:val="es-VE" w:eastAsia="es-VE"/>
              </w:rPr>
              <w:t>PAC</w:t>
            </w:r>
            <w:r w:rsidRPr="008F0A5A">
              <w:rPr>
                <w:rFonts w:ascii="Calibri" w:hAnsi="Calibri"/>
                <w:bCs/>
                <w:sz w:val="22"/>
                <w:szCs w:val="22"/>
                <w:lang w:val="es-VE" w:eastAsia="es-VE"/>
              </w:rPr>
              <w:t xml:space="preserve"> 3</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w:t>
            </w:r>
            <w:r>
              <w:rPr>
                <w:rFonts w:ascii="Calibri" w:hAnsi="Calibri"/>
                <w:sz w:val="22"/>
                <w:szCs w:val="22"/>
                <w:lang w:val="es-VE" w:eastAsia="es-VE"/>
              </w:rPr>
              <w:t>.</w:t>
            </w:r>
            <w:r w:rsidRPr="008F0A5A">
              <w:rPr>
                <w:rFonts w:ascii="Calibri" w:hAnsi="Calibri"/>
                <w:sz w:val="22"/>
                <w:szCs w:val="22"/>
                <w:lang w:val="es-VE" w:eastAsia="es-VE"/>
              </w:rPr>
              <w:t>150</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w:t>
            </w:r>
            <w:r>
              <w:rPr>
                <w:rFonts w:ascii="Calibri" w:hAnsi="Calibri"/>
                <w:sz w:val="22"/>
                <w:szCs w:val="22"/>
                <w:lang w:val="es-VE" w:eastAsia="es-VE"/>
              </w:rPr>
              <w:t>.</w:t>
            </w:r>
            <w:r w:rsidRPr="008F0A5A">
              <w:rPr>
                <w:rFonts w:ascii="Calibri" w:hAnsi="Calibri"/>
                <w:sz w:val="22"/>
                <w:szCs w:val="22"/>
                <w:lang w:val="es-VE" w:eastAsia="es-VE"/>
              </w:rPr>
              <w:t>290</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174</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207</w:t>
            </w:r>
            <w:r>
              <w:rPr>
                <w:rFonts w:ascii="Calibri" w:hAnsi="Calibri"/>
                <w:sz w:val="22"/>
                <w:szCs w:val="22"/>
                <w:lang w:val="es-VE" w:eastAsia="es-VE"/>
              </w:rPr>
              <w:t>,0</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54,5</w:t>
            </w:r>
          </w:p>
        </w:tc>
        <w:tc>
          <w:tcPr>
            <w:tcW w:w="0" w:type="auto"/>
            <w:noWrap/>
          </w:tcPr>
          <w:p w:rsidR="00E9513C" w:rsidRPr="008F0A5A" w:rsidRDefault="00E9513C" w:rsidP="00E9513C">
            <w:pPr>
              <w:spacing w:before="100" w:beforeAutospacing="1" w:after="100" w:afterAutospacing="1" w:line="240" w:lineRule="atLeast"/>
              <w:jc w:val="center"/>
              <w:rPr>
                <w:rFonts w:ascii="Calibri" w:hAnsi="Calibri"/>
                <w:lang w:val="es-VE" w:eastAsia="es-VE"/>
              </w:rPr>
            </w:pPr>
            <w:r w:rsidRPr="008F0A5A">
              <w:rPr>
                <w:rFonts w:ascii="Calibri" w:hAnsi="Calibri"/>
                <w:sz w:val="22"/>
                <w:szCs w:val="22"/>
                <w:lang w:val="es-VE" w:eastAsia="es-VE"/>
              </w:rPr>
              <w:t>63,3</w:t>
            </w:r>
          </w:p>
        </w:tc>
      </w:tr>
      <w:tr w:rsidR="00E9513C" w:rsidRPr="00381595">
        <w:trPr>
          <w:trHeight w:val="330"/>
        </w:trPr>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b/>
                <w:bCs/>
                <w:lang w:val="es-VE" w:eastAsia="es-VE"/>
              </w:rPr>
            </w:pPr>
            <w:r>
              <w:rPr>
                <w:rFonts w:ascii="Calibri" w:hAnsi="Calibri"/>
                <w:bCs/>
                <w:sz w:val="22"/>
                <w:szCs w:val="22"/>
                <w:lang w:val="es-VE" w:eastAsia="es-VE"/>
              </w:rPr>
              <w:t>P</w:t>
            </w:r>
            <w:r w:rsidRPr="008F0A5A">
              <w:rPr>
                <w:rFonts w:ascii="Calibri" w:hAnsi="Calibri"/>
                <w:bCs/>
                <w:sz w:val="22"/>
                <w:szCs w:val="22"/>
                <w:lang w:val="es-VE" w:eastAsia="es-VE"/>
              </w:rPr>
              <w:t xml:space="preserve"> </w:t>
            </w:r>
            <w:r w:rsidRPr="008F0A5A">
              <w:rPr>
                <w:rFonts w:ascii="Calibri" w:hAnsi="Calibri"/>
                <w:sz w:val="16"/>
                <w:szCs w:val="16"/>
                <w:lang w:val="es-VE" w:eastAsia="es-VE"/>
              </w:rPr>
              <w:t xml:space="preserve"> </w:t>
            </w:r>
            <w:r>
              <w:rPr>
                <w:rFonts w:ascii="Century Gothic" w:hAnsi="Century Gothic" w:cs="Arial"/>
                <w:color w:val="000000"/>
                <w:sz w:val="16"/>
                <w:szCs w:val="16"/>
                <w:lang w:val="es-ES"/>
              </w:rPr>
              <w:t>±</w:t>
            </w:r>
            <w:r w:rsidRPr="008F0A5A">
              <w:rPr>
                <w:rFonts w:ascii="Calibri" w:hAnsi="Calibri" w:cs="Arial"/>
                <w:color w:val="000000"/>
                <w:sz w:val="16"/>
                <w:szCs w:val="16"/>
                <w:lang w:val="es-ES"/>
              </w:rPr>
              <w:t xml:space="preserve"> </w:t>
            </w:r>
            <w:r w:rsidRPr="008F0A5A">
              <w:rPr>
                <w:rFonts w:ascii="Calibri" w:hAnsi="Calibri" w:cs="Arial"/>
                <w:bCs/>
                <w:color w:val="000000"/>
                <w:sz w:val="22"/>
                <w:szCs w:val="22"/>
                <w:lang w:val="es-ES"/>
              </w:rPr>
              <w:t xml:space="preserve"> DS</w:t>
            </w:r>
            <w:r w:rsidRPr="008F0A5A">
              <w:rPr>
                <w:rFonts w:ascii="Calibri" w:hAnsi="Calibri"/>
                <w:bCs/>
                <w:sz w:val="22"/>
                <w:szCs w:val="22"/>
                <w:lang w:val="es-VE" w:eastAsia="es-VE"/>
              </w:rPr>
              <w:t xml:space="preserve"> </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sz w:val="16"/>
                <w:szCs w:val="16"/>
                <w:lang w:val="es-VE" w:eastAsia="es-VE"/>
              </w:rPr>
            </w:pPr>
            <w:r w:rsidRPr="008F0A5A">
              <w:rPr>
                <w:rFonts w:ascii="Calibri" w:hAnsi="Calibri"/>
                <w:sz w:val="16"/>
                <w:szCs w:val="16"/>
                <w:lang w:val="es-VE" w:eastAsia="es-VE"/>
              </w:rPr>
              <w:t xml:space="preserve">990 </w:t>
            </w:r>
            <w:r>
              <w:rPr>
                <w:rFonts w:ascii="Century Gothic" w:hAnsi="Century Gothic" w:cs="Arial"/>
                <w:color w:val="000000"/>
                <w:sz w:val="16"/>
                <w:szCs w:val="16"/>
                <w:lang w:val="es-ES"/>
              </w:rPr>
              <w:t>±</w:t>
            </w:r>
            <w:r w:rsidRPr="008F0A5A">
              <w:rPr>
                <w:rFonts w:ascii="Calibri" w:hAnsi="Calibri" w:cs="Arial"/>
                <w:color w:val="000000"/>
                <w:sz w:val="16"/>
                <w:szCs w:val="16"/>
                <w:lang w:val="es-ES"/>
              </w:rPr>
              <w:t xml:space="preserve"> 190</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sz w:val="16"/>
                <w:szCs w:val="16"/>
                <w:lang w:val="es-VE" w:eastAsia="es-VE"/>
              </w:rPr>
            </w:pPr>
            <w:r w:rsidRPr="008F0A5A">
              <w:rPr>
                <w:rFonts w:ascii="Calibri" w:hAnsi="Calibri"/>
                <w:sz w:val="16"/>
                <w:szCs w:val="16"/>
                <w:lang w:val="es-VE" w:eastAsia="es-VE"/>
              </w:rPr>
              <w:t>1210</w:t>
            </w:r>
            <w:r>
              <w:rPr>
                <w:rFonts w:ascii="Century Gothic" w:hAnsi="Century Gothic" w:cs="Arial"/>
                <w:color w:val="000000"/>
                <w:sz w:val="16"/>
                <w:szCs w:val="16"/>
                <w:lang w:val="es-ES"/>
              </w:rPr>
              <w:t>±</w:t>
            </w:r>
            <w:r w:rsidRPr="008F0A5A">
              <w:rPr>
                <w:rFonts w:ascii="Calibri" w:hAnsi="Calibri" w:cs="Arial"/>
                <w:color w:val="000000"/>
                <w:sz w:val="16"/>
                <w:szCs w:val="16"/>
                <w:lang w:val="es-ES"/>
              </w:rPr>
              <w:t xml:space="preserve"> 121,66</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sz w:val="16"/>
                <w:szCs w:val="16"/>
                <w:lang w:val="es-VE" w:eastAsia="es-VE"/>
              </w:rPr>
            </w:pPr>
            <w:r w:rsidRPr="008F0A5A">
              <w:rPr>
                <w:rFonts w:ascii="Calibri" w:hAnsi="Calibri"/>
                <w:sz w:val="16"/>
                <w:szCs w:val="16"/>
                <w:lang w:val="es-VE" w:eastAsia="es-VE"/>
              </w:rPr>
              <w:t>184,67</w:t>
            </w:r>
            <w:r>
              <w:rPr>
                <w:rFonts w:ascii="Century Gothic" w:hAnsi="Century Gothic" w:cs="Arial"/>
                <w:color w:val="000000"/>
                <w:sz w:val="16"/>
                <w:szCs w:val="16"/>
                <w:lang w:val="es-ES"/>
              </w:rPr>
              <w:t>±</w:t>
            </w:r>
            <w:r w:rsidRPr="008F0A5A">
              <w:rPr>
                <w:rFonts w:ascii="Calibri" w:hAnsi="Calibri" w:cs="Arial"/>
                <w:color w:val="000000"/>
                <w:sz w:val="16"/>
                <w:szCs w:val="16"/>
                <w:lang w:val="es-ES"/>
              </w:rPr>
              <w:t xml:space="preserve"> 72,59</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sz w:val="16"/>
                <w:szCs w:val="16"/>
                <w:lang w:val="es-VE" w:eastAsia="es-VE"/>
              </w:rPr>
            </w:pPr>
            <w:r w:rsidRPr="008F0A5A">
              <w:rPr>
                <w:rFonts w:ascii="Calibri" w:hAnsi="Calibri"/>
                <w:sz w:val="16"/>
                <w:szCs w:val="16"/>
                <w:lang w:val="es-VE" w:eastAsia="es-VE"/>
              </w:rPr>
              <w:t>164</w:t>
            </w:r>
            <w:r>
              <w:rPr>
                <w:rFonts w:ascii="Century Gothic" w:hAnsi="Century Gothic" w:cs="Arial"/>
                <w:color w:val="000000"/>
                <w:sz w:val="16"/>
                <w:szCs w:val="16"/>
                <w:lang w:val="es-ES"/>
              </w:rPr>
              <w:t>±</w:t>
            </w:r>
            <w:r w:rsidRPr="008F0A5A">
              <w:rPr>
                <w:rFonts w:ascii="Calibri" w:hAnsi="Calibri" w:cs="Arial"/>
                <w:color w:val="000000"/>
                <w:sz w:val="16"/>
                <w:szCs w:val="16"/>
                <w:lang w:val="es-ES"/>
              </w:rPr>
              <w:t xml:space="preserve"> 39,61</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sz w:val="16"/>
                <w:szCs w:val="16"/>
                <w:lang w:val="es-VE" w:eastAsia="es-VE"/>
              </w:rPr>
            </w:pPr>
            <w:r w:rsidRPr="008F0A5A">
              <w:rPr>
                <w:rFonts w:ascii="Calibri" w:hAnsi="Calibri"/>
                <w:sz w:val="16"/>
                <w:szCs w:val="16"/>
                <w:lang w:val="es-VE" w:eastAsia="es-VE"/>
              </w:rPr>
              <w:t>91,6</w:t>
            </w:r>
            <w:r>
              <w:rPr>
                <w:rFonts w:ascii="Century Gothic" w:hAnsi="Century Gothic" w:cs="Arial"/>
                <w:color w:val="000000"/>
                <w:sz w:val="16"/>
                <w:szCs w:val="16"/>
                <w:lang w:val="es-ES"/>
              </w:rPr>
              <w:t>±</w:t>
            </w:r>
            <w:r w:rsidRPr="008F0A5A">
              <w:rPr>
                <w:rFonts w:ascii="Calibri" w:hAnsi="Calibri" w:cs="Arial"/>
                <w:color w:val="000000"/>
                <w:sz w:val="16"/>
                <w:szCs w:val="16"/>
                <w:lang w:val="es-ES"/>
              </w:rPr>
              <w:t xml:space="preserve"> 38,86</w:t>
            </w:r>
          </w:p>
        </w:tc>
        <w:tc>
          <w:tcPr>
            <w:tcW w:w="0" w:type="auto"/>
            <w:shd w:val="clear" w:color="auto" w:fill="C0C0C0"/>
            <w:noWrap/>
          </w:tcPr>
          <w:p w:rsidR="00E9513C" w:rsidRPr="008F0A5A" w:rsidRDefault="00E9513C" w:rsidP="00E9513C">
            <w:pPr>
              <w:spacing w:before="100" w:beforeAutospacing="1" w:after="100" w:afterAutospacing="1" w:line="240" w:lineRule="atLeast"/>
              <w:jc w:val="center"/>
              <w:rPr>
                <w:rFonts w:ascii="Calibri" w:hAnsi="Calibri"/>
                <w:sz w:val="16"/>
                <w:szCs w:val="16"/>
                <w:lang w:val="es-VE" w:eastAsia="es-VE"/>
              </w:rPr>
            </w:pPr>
            <w:r w:rsidRPr="008F0A5A">
              <w:rPr>
                <w:rFonts w:ascii="Calibri" w:hAnsi="Calibri"/>
                <w:sz w:val="16"/>
                <w:szCs w:val="16"/>
                <w:lang w:val="es-VE" w:eastAsia="es-VE"/>
              </w:rPr>
              <w:t>106,1</w:t>
            </w:r>
            <w:r>
              <w:rPr>
                <w:rFonts w:ascii="Century Gothic" w:hAnsi="Century Gothic" w:cs="Arial"/>
                <w:color w:val="000000"/>
                <w:sz w:val="16"/>
                <w:szCs w:val="16"/>
                <w:lang w:val="es-ES"/>
              </w:rPr>
              <w:t>±</w:t>
            </w:r>
            <w:r w:rsidRPr="008F0A5A">
              <w:rPr>
                <w:rFonts w:ascii="Calibri" w:hAnsi="Calibri" w:cs="Arial"/>
                <w:color w:val="000000"/>
                <w:sz w:val="16"/>
                <w:szCs w:val="16"/>
                <w:lang w:val="es-ES"/>
              </w:rPr>
              <w:t xml:space="preserve">  37,47</w:t>
            </w:r>
          </w:p>
        </w:tc>
      </w:tr>
    </w:tbl>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Pr="00E9513C" w:rsidRDefault="00CB0CF2" w:rsidP="0011062F">
      <w:pPr>
        <w:jc w:val="both"/>
        <w:rPr>
          <w:rFonts w:ascii="Arial" w:hAnsi="Arial" w:cs="Arial"/>
          <w:b/>
        </w:rPr>
      </w:pPr>
    </w:p>
    <w:p w:rsidR="00162894" w:rsidRDefault="00162894" w:rsidP="00E9513C">
      <w:pPr>
        <w:jc w:val="center"/>
        <w:rPr>
          <w:b/>
        </w:rPr>
      </w:pPr>
    </w:p>
    <w:p w:rsidR="00CB0CF2" w:rsidRPr="00E9513C" w:rsidRDefault="00E9513C" w:rsidP="00E9513C">
      <w:pPr>
        <w:jc w:val="center"/>
        <w:rPr>
          <w:rFonts w:ascii="Arial" w:hAnsi="Arial" w:cs="Arial"/>
          <w:b/>
        </w:rPr>
      </w:pPr>
      <w:r w:rsidRPr="00E9513C">
        <w:rPr>
          <w:b/>
        </w:rPr>
        <w:t>Tabla1  Distribución de pacientes según valores de Inmunoglobulinas en suero</w:t>
      </w: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CB0CF2" w:rsidRDefault="00CB0CF2" w:rsidP="0011062F">
      <w:pPr>
        <w:jc w:val="both"/>
        <w:rPr>
          <w:rFonts w:ascii="Arial" w:hAnsi="Arial" w:cs="Arial"/>
          <w:b/>
          <w:lang w:val="es-ES"/>
        </w:rPr>
      </w:pPr>
    </w:p>
    <w:p w:rsidR="00E9513C" w:rsidRDefault="00E9513C" w:rsidP="0011062F">
      <w:pPr>
        <w:jc w:val="both"/>
        <w:rPr>
          <w:rFonts w:ascii="Arial" w:hAnsi="Arial" w:cs="Arial"/>
          <w:b/>
          <w:noProof/>
          <w:lang w:val="es-VE" w:eastAsia="es-VE"/>
        </w:rPr>
      </w:pPr>
      <w:r>
        <w:rPr>
          <w:rFonts w:ascii="Arial" w:hAnsi="Arial" w:cs="Arial"/>
          <w:b/>
          <w:noProof/>
          <w:lang w:val="es-VE" w:eastAsia="es-VE"/>
        </w:rPr>
        <w:drawing>
          <wp:anchor distT="0" distB="0" distL="114300" distR="114300" simplePos="0" relativeHeight="251696128" behindDoc="0" locked="0" layoutInCell="1" allowOverlap="1">
            <wp:simplePos x="0" y="0"/>
            <wp:positionH relativeFrom="column">
              <wp:posOffset>-183515</wp:posOffset>
            </wp:positionH>
            <wp:positionV relativeFrom="paragraph">
              <wp:posOffset>75565</wp:posOffset>
            </wp:positionV>
            <wp:extent cx="5363210" cy="3587115"/>
            <wp:effectExtent l="0" t="0" r="0" b="0"/>
            <wp:wrapThrough wrapText="bothSides">
              <wp:wrapPolygon edited="0">
                <wp:start x="1688" y="803"/>
                <wp:lineTo x="1765" y="8030"/>
                <wp:lineTo x="2302" y="8144"/>
                <wp:lineTo x="10818" y="8144"/>
                <wp:lineTo x="2839" y="8947"/>
                <wp:lineTo x="2839" y="9521"/>
                <wp:lineTo x="10818" y="9980"/>
                <wp:lineTo x="1458" y="10324"/>
                <wp:lineTo x="1304" y="11012"/>
                <wp:lineTo x="2225" y="11815"/>
                <wp:lineTo x="2225" y="17551"/>
                <wp:lineTo x="5294" y="19157"/>
                <wp:lineTo x="5677" y="19157"/>
                <wp:lineTo x="3146" y="19960"/>
                <wp:lineTo x="1688" y="20533"/>
                <wp:lineTo x="1688" y="20877"/>
                <wp:lineTo x="10281" y="20877"/>
                <wp:lineTo x="18874" y="20418"/>
                <wp:lineTo x="18797" y="19730"/>
                <wp:lineTo x="8056" y="19157"/>
                <wp:lineTo x="18567" y="18927"/>
                <wp:lineTo x="18874" y="18468"/>
                <wp:lineTo x="16419" y="17321"/>
                <wp:lineTo x="20945" y="17207"/>
                <wp:lineTo x="20869" y="15830"/>
                <wp:lineTo x="14424" y="15486"/>
                <wp:lineTo x="20869" y="15486"/>
                <wp:lineTo x="20869" y="13651"/>
                <wp:lineTo x="14424" y="13651"/>
                <wp:lineTo x="21022" y="13192"/>
                <wp:lineTo x="20792" y="12045"/>
                <wp:lineTo x="2839" y="11815"/>
                <wp:lineTo x="12659" y="11586"/>
                <wp:lineTo x="12889" y="11012"/>
                <wp:lineTo x="10818" y="9980"/>
                <wp:lineTo x="20101" y="9406"/>
                <wp:lineTo x="20101" y="8718"/>
                <wp:lineTo x="10818" y="8144"/>
                <wp:lineTo x="17416" y="8144"/>
                <wp:lineTo x="20715" y="7571"/>
                <wp:lineTo x="20638" y="6309"/>
                <wp:lineTo x="20945" y="6309"/>
                <wp:lineTo x="21329" y="5162"/>
                <wp:lineTo x="21406" y="2982"/>
                <wp:lineTo x="20792" y="2868"/>
                <wp:lineTo x="14884" y="2638"/>
                <wp:lineTo x="21252" y="2638"/>
                <wp:lineTo x="20869" y="1032"/>
                <wp:lineTo x="2148" y="803"/>
                <wp:lineTo x="1688" y="803"/>
              </wp:wrapPolygon>
            </wp:wrapThrough>
            <wp:docPr id="12" name="2 Imagen" descr="CITOCINAS CORREGI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OCINAS CORREGIDAS.png"/>
                    <pic:cNvPicPr/>
                  </pic:nvPicPr>
                  <pic:blipFill>
                    <a:blip r:embed="rId15" cstate="print"/>
                    <a:srcRect l="17240" t="17665"/>
                    <a:stretch>
                      <a:fillRect/>
                    </a:stretch>
                  </pic:blipFill>
                  <pic:spPr>
                    <a:xfrm>
                      <a:off x="0" y="0"/>
                      <a:ext cx="5363210" cy="3587115"/>
                    </a:xfrm>
                    <a:prstGeom prst="rect">
                      <a:avLst/>
                    </a:prstGeom>
                  </pic:spPr>
                </pic:pic>
              </a:graphicData>
            </a:graphic>
          </wp:anchor>
        </w:drawing>
      </w:r>
    </w:p>
    <w:p w:rsidR="00E9513C" w:rsidRDefault="00E9513C" w:rsidP="0011062F">
      <w:pPr>
        <w:jc w:val="both"/>
        <w:rPr>
          <w:rFonts w:ascii="Arial" w:hAnsi="Arial" w:cs="Arial"/>
          <w:b/>
          <w:noProof/>
          <w:lang w:val="es-VE" w:eastAsia="es-VE"/>
        </w:rPr>
      </w:pPr>
    </w:p>
    <w:p w:rsidR="00CB0CF2" w:rsidRDefault="00CB0CF2"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11062F">
      <w:pPr>
        <w:jc w:val="both"/>
        <w:rPr>
          <w:rFonts w:ascii="Arial" w:hAnsi="Arial" w:cs="Arial"/>
          <w:b/>
          <w:noProof/>
          <w:lang w:val="es-VE" w:eastAsia="es-VE"/>
        </w:rPr>
      </w:pPr>
    </w:p>
    <w:p w:rsidR="00E9513C" w:rsidRDefault="00E9513C" w:rsidP="00CB271E">
      <w:pPr>
        <w:jc w:val="center"/>
        <w:rPr>
          <w:rFonts w:ascii="Arial" w:hAnsi="Arial" w:cs="Arial"/>
          <w:b/>
          <w:noProof/>
          <w:lang w:val="es-VE" w:eastAsia="es-VE"/>
        </w:rPr>
      </w:pPr>
    </w:p>
    <w:p w:rsidR="00E9513C" w:rsidRDefault="00E9513C" w:rsidP="00CB271E">
      <w:pPr>
        <w:jc w:val="center"/>
        <w:rPr>
          <w:b/>
        </w:rPr>
      </w:pPr>
      <w:r>
        <w:rPr>
          <w:b/>
        </w:rPr>
        <w:t>FIGURA 7</w:t>
      </w:r>
    </w:p>
    <w:p w:rsidR="00CB271E" w:rsidRPr="00863DFD" w:rsidRDefault="00CB271E" w:rsidP="00CB271E">
      <w:pPr>
        <w:pStyle w:val="Prrafodelista"/>
        <w:ind w:left="0"/>
        <w:jc w:val="both"/>
        <w:rPr>
          <w:rFonts w:ascii="Arial" w:hAnsi="Arial" w:cs="Arial"/>
        </w:rPr>
      </w:pPr>
      <w:r w:rsidRPr="00863DFD">
        <w:rPr>
          <w:rFonts w:ascii="Arial" w:hAnsi="Arial" w:cs="Arial"/>
          <w:b/>
        </w:rPr>
        <w:t xml:space="preserve">Gráficos A. y B.  </w:t>
      </w:r>
      <w:r w:rsidRPr="00863DFD">
        <w:rPr>
          <w:rFonts w:ascii="Arial" w:hAnsi="Arial" w:cs="Arial"/>
        </w:rPr>
        <w:t>A igual dosis, el antígeno polisacárido de la Typhim Vi® parece inducir una mayor producción de citoquinas con respecto al polisacárido de Pneumovax®.</w:t>
      </w:r>
    </w:p>
    <w:p w:rsidR="00CB271E" w:rsidRPr="00863DFD" w:rsidRDefault="00CB271E" w:rsidP="00CB271E">
      <w:pPr>
        <w:pStyle w:val="Prrafodelista"/>
        <w:ind w:left="0"/>
        <w:jc w:val="both"/>
        <w:rPr>
          <w:rFonts w:ascii="Arial" w:hAnsi="Arial" w:cs="Arial"/>
        </w:rPr>
      </w:pPr>
      <w:r w:rsidRPr="00863DFD">
        <w:rPr>
          <w:rFonts w:ascii="Arial" w:hAnsi="Arial" w:cs="Arial"/>
          <w:b/>
        </w:rPr>
        <w:t xml:space="preserve">Gráfico C.  </w:t>
      </w:r>
      <w:r w:rsidRPr="00863DFD">
        <w:rPr>
          <w:rFonts w:ascii="Arial" w:hAnsi="Arial" w:cs="Arial"/>
        </w:rPr>
        <w:t>Con la limitación de ser unos datos obtenidos de un solo paciente, la respuesta de incremento de citoquinas pro-inflamatorias fue superior para Typhim Vi®.</w:t>
      </w:r>
    </w:p>
    <w:p w:rsidR="00E9513C" w:rsidRPr="00863DFD" w:rsidRDefault="00A218CC" w:rsidP="000D7DDD">
      <w:pPr>
        <w:pStyle w:val="Prrafodelista"/>
        <w:ind w:left="0"/>
        <w:jc w:val="both"/>
        <w:rPr>
          <w:rFonts w:ascii="Arial" w:hAnsi="Arial" w:cs="Arial"/>
        </w:rPr>
      </w:pPr>
      <w:r w:rsidRPr="00863DFD">
        <w:rPr>
          <w:rFonts w:ascii="Arial" w:hAnsi="Arial" w:cs="Arial"/>
          <w:b/>
        </w:rPr>
        <w:t xml:space="preserve">Gráfico D.  </w:t>
      </w:r>
      <w:r w:rsidR="000D7DDD" w:rsidRPr="00863DFD">
        <w:rPr>
          <w:rFonts w:ascii="Arial" w:hAnsi="Arial" w:cs="Arial"/>
        </w:rPr>
        <w:t xml:space="preserve"> En el caso específico de la IL-2, importante para la linfoproliferación</w:t>
      </w:r>
      <w:r w:rsidR="004A1243" w:rsidRPr="00863DFD">
        <w:rPr>
          <w:rFonts w:ascii="Arial" w:hAnsi="Arial" w:cs="Arial"/>
        </w:rPr>
        <w:t>, no fue detectada en el paciente con IDVC.</w:t>
      </w:r>
    </w:p>
    <w:p w:rsidR="0011062F" w:rsidRPr="00DD428E" w:rsidRDefault="009227E6" w:rsidP="0011062F">
      <w:pPr>
        <w:jc w:val="both"/>
        <w:rPr>
          <w:rFonts w:ascii="Arial" w:hAnsi="Arial" w:cs="Arial"/>
          <w:b/>
          <w:sz w:val="20"/>
          <w:szCs w:val="20"/>
          <w:lang w:val="es-ES"/>
        </w:rPr>
      </w:pPr>
      <w:r>
        <w:rPr>
          <w:rFonts w:ascii="Arial" w:hAnsi="Arial" w:cs="Arial"/>
          <w:b/>
          <w:sz w:val="20"/>
          <w:szCs w:val="20"/>
          <w:lang w:val="es-ES"/>
        </w:rPr>
        <w:lastRenderedPageBreak/>
        <w:t>5</w:t>
      </w:r>
      <w:r w:rsidR="00BC13BA" w:rsidRPr="00DD428E">
        <w:rPr>
          <w:rFonts w:ascii="Arial" w:hAnsi="Arial" w:cs="Arial"/>
          <w:b/>
          <w:sz w:val="20"/>
          <w:szCs w:val="20"/>
          <w:lang w:val="es-ES"/>
        </w:rPr>
        <w:t xml:space="preserve">. </w:t>
      </w:r>
      <w:r w:rsidR="0011062F" w:rsidRPr="00DD428E">
        <w:rPr>
          <w:rFonts w:ascii="Arial" w:hAnsi="Arial" w:cs="Arial"/>
          <w:b/>
          <w:sz w:val="20"/>
          <w:szCs w:val="20"/>
          <w:lang w:val="es-ES"/>
        </w:rPr>
        <w:t>DISCUSION</w:t>
      </w:r>
    </w:p>
    <w:p w:rsidR="0011062F" w:rsidRPr="00DD428E" w:rsidRDefault="0011062F" w:rsidP="0011062F">
      <w:pPr>
        <w:jc w:val="both"/>
        <w:rPr>
          <w:rFonts w:ascii="Arial" w:hAnsi="Arial" w:cs="Arial"/>
          <w:b/>
          <w:sz w:val="20"/>
          <w:szCs w:val="20"/>
          <w:lang w:val="es-ES"/>
        </w:rPr>
      </w:pPr>
    </w:p>
    <w:p w:rsidR="0011062F" w:rsidRPr="00DD428E" w:rsidRDefault="0011062F" w:rsidP="0011062F">
      <w:pPr>
        <w:jc w:val="both"/>
        <w:rPr>
          <w:rFonts w:ascii="Arial" w:hAnsi="Arial" w:cs="Arial"/>
          <w:sz w:val="20"/>
          <w:szCs w:val="20"/>
          <w:lang w:val="es-ES"/>
        </w:rPr>
      </w:pPr>
      <w:r w:rsidRPr="00DD428E">
        <w:rPr>
          <w:rFonts w:ascii="Arial" w:hAnsi="Arial" w:cs="Arial"/>
          <w:sz w:val="20"/>
          <w:szCs w:val="20"/>
          <w:lang w:val="es-ES"/>
        </w:rPr>
        <w:t xml:space="preserve">Se presenta en esta memoria un estudio para evaluar las respuestas linfoproliferativas T y B específicas frente a antígeno glicoproteico puro, comparando la respuesta frente a </w:t>
      </w:r>
      <w:r w:rsidRPr="00DD428E">
        <w:rPr>
          <w:rFonts w:ascii="Arial" w:hAnsi="Arial" w:cs="Arial"/>
          <w:i/>
          <w:sz w:val="20"/>
          <w:szCs w:val="20"/>
          <w:lang w:val="es-ES"/>
        </w:rPr>
        <w:t>Salmonella Typhi</w:t>
      </w:r>
      <w:r w:rsidRPr="00DD428E">
        <w:rPr>
          <w:rFonts w:ascii="Arial" w:hAnsi="Arial" w:cs="Arial"/>
          <w:sz w:val="20"/>
          <w:szCs w:val="20"/>
          <w:lang w:val="es-ES"/>
        </w:rPr>
        <w:t xml:space="preserve"> con respecto a </w:t>
      </w:r>
      <w:r w:rsidRPr="00DD428E">
        <w:rPr>
          <w:rFonts w:ascii="Arial" w:hAnsi="Arial" w:cs="Arial"/>
          <w:i/>
          <w:sz w:val="20"/>
          <w:szCs w:val="20"/>
          <w:lang w:val="es-ES"/>
        </w:rPr>
        <w:t>Streptoccus pneumoniae</w:t>
      </w:r>
      <w:r w:rsidR="00AF03AD" w:rsidRPr="00DD428E">
        <w:rPr>
          <w:rFonts w:ascii="Arial" w:hAnsi="Arial" w:cs="Arial"/>
          <w:sz w:val="20"/>
          <w:szCs w:val="20"/>
          <w:lang w:val="es-ES"/>
        </w:rPr>
        <w:t xml:space="preserve">. Entre </w:t>
      </w:r>
      <w:r w:rsidRPr="00DD428E">
        <w:rPr>
          <w:rFonts w:ascii="Arial" w:hAnsi="Arial" w:cs="Arial"/>
          <w:sz w:val="20"/>
          <w:szCs w:val="20"/>
          <w:lang w:val="es-ES"/>
        </w:rPr>
        <w:t>los factores que determinan la diferenciación y la función de los linfocitos T se han descrito la influencia de la dosis y afinidad por el antígeno, además de la concentración y gradiente de interleuquinas inducidas tempranamente dura</w:t>
      </w:r>
      <w:r w:rsidR="00020D9C" w:rsidRPr="00DD428E">
        <w:rPr>
          <w:rFonts w:ascii="Arial" w:hAnsi="Arial" w:cs="Arial"/>
          <w:sz w:val="20"/>
          <w:szCs w:val="20"/>
          <w:lang w:val="es-ES"/>
        </w:rPr>
        <w:t>nte la respuesta inmunológica (11</w:t>
      </w:r>
      <w:r w:rsidRPr="00DD428E">
        <w:rPr>
          <w:rFonts w:ascii="Arial" w:hAnsi="Arial" w:cs="Arial"/>
          <w:sz w:val="20"/>
          <w:szCs w:val="20"/>
          <w:lang w:val="es-ES"/>
        </w:rPr>
        <w:t xml:space="preserve">), destacando la importancia de considerar estos factores para comprender la respuesta del huésped ante la infección o los efectos a la vacunación para promover la protección frente a determinado a microorganismo.  En el caso concreto de la </w:t>
      </w:r>
      <w:r w:rsidRPr="00DD428E">
        <w:rPr>
          <w:rFonts w:ascii="Arial" w:hAnsi="Arial" w:cs="Arial"/>
          <w:i/>
          <w:sz w:val="20"/>
          <w:szCs w:val="20"/>
          <w:lang w:val="es-ES"/>
        </w:rPr>
        <w:t>S. typhi</w:t>
      </w:r>
      <w:r w:rsidRPr="00DD428E">
        <w:rPr>
          <w:rFonts w:ascii="Arial" w:hAnsi="Arial" w:cs="Arial"/>
          <w:sz w:val="20"/>
          <w:szCs w:val="20"/>
          <w:lang w:val="es-ES"/>
        </w:rPr>
        <w:t xml:space="preserve"> se presentan limitaciones al modelo experimental, pues el único reservorio descrito es el hombre. El modelo experimental se ha desarrollado en ratones con </w:t>
      </w:r>
      <w:r w:rsidRPr="00DD428E">
        <w:rPr>
          <w:rFonts w:ascii="Arial" w:hAnsi="Arial" w:cs="Arial"/>
          <w:i/>
          <w:sz w:val="20"/>
          <w:szCs w:val="20"/>
          <w:lang w:val="es-ES"/>
        </w:rPr>
        <w:t xml:space="preserve">S. typhimurium en lugar de S typhi, </w:t>
      </w:r>
      <w:r w:rsidRPr="00DD428E">
        <w:rPr>
          <w:rFonts w:ascii="Arial" w:hAnsi="Arial" w:cs="Arial"/>
          <w:sz w:val="20"/>
          <w:szCs w:val="20"/>
          <w:lang w:val="es-ES"/>
        </w:rPr>
        <w:t>pues en el modelo murino esta variedad bacteriana produce una patología similar a la fiebre tifoidea, mientras que en el hombre sólo produce una infección li</w:t>
      </w:r>
      <w:r w:rsidR="001845DA" w:rsidRPr="00DD428E">
        <w:rPr>
          <w:rFonts w:ascii="Arial" w:hAnsi="Arial" w:cs="Arial"/>
          <w:sz w:val="20"/>
          <w:szCs w:val="20"/>
          <w:lang w:val="es-ES"/>
        </w:rPr>
        <w:t>mitada a la mucosa intestinal (5</w:t>
      </w:r>
      <w:r w:rsidRPr="00DD428E">
        <w:rPr>
          <w:rFonts w:ascii="Arial" w:hAnsi="Arial" w:cs="Arial"/>
          <w:sz w:val="20"/>
          <w:szCs w:val="20"/>
          <w:lang w:val="es-ES"/>
        </w:rPr>
        <w:t>).</w:t>
      </w:r>
    </w:p>
    <w:p w:rsidR="0011062F" w:rsidRPr="00DD428E" w:rsidRDefault="0011062F" w:rsidP="0011062F">
      <w:pPr>
        <w:jc w:val="both"/>
        <w:rPr>
          <w:rFonts w:ascii="Arial" w:hAnsi="Arial" w:cs="Arial"/>
          <w:sz w:val="20"/>
          <w:szCs w:val="20"/>
          <w:lang w:val="es-ES"/>
        </w:rPr>
      </w:pPr>
    </w:p>
    <w:p w:rsidR="0011062F" w:rsidRPr="00DD428E" w:rsidRDefault="0011062F" w:rsidP="0011062F">
      <w:pPr>
        <w:jc w:val="both"/>
        <w:rPr>
          <w:rFonts w:ascii="Arial" w:eastAsiaTheme="minorHAnsi" w:hAnsi="Arial" w:cs="Arial"/>
          <w:sz w:val="20"/>
          <w:szCs w:val="20"/>
          <w:lang w:val="es-VE" w:eastAsia="en-US"/>
        </w:rPr>
      </w:pPr>
      <w:r w:rsidRPr="00DD428E">
        <w:rPr>
          <w:rFonts w:ascii="Arial" w:hAnsi="Arial" w:cs="Arial"/>
          <w:sz w:val="20"/>
          <w:szCs w:val="20"/>
          <w:lang w:val="es-ES"/>
        </w:rPr>
        <w:t xml:space="preserve">La </w:t>
      </w:r>
      <w:r w:rsidRPr="00DD428E">
        <w:rPr>
          <w:rFonts w:ascii="Arial" w:hAnsi="Arial" w:cs="Arial"/>
          <w:i/>
          <w:sz w:val="20"/>
          <w:szCs w:val="20"/>
          <w:lang w:val="es-ES"/>
        </w:rPr>
        <w:t>S. typhi</w:t>
      </w:r>
      <w:r w:rsidRPr="00DD428E">
        <w:rPr>
          <w:rFonts w:ascii="Arial" w:hAnsi="Arial" w:cs="Arial"/>
          <w:sz w:val="20"/>
          <w:szCs w:val="20"/>
          <w:lang w:val="es-ES"/>
        </w:rPr>
        <w:t xml:space="preserve"> es un patógeno intracelular, por lo que la respuesta celular predominante está mediada por linfocitos T CD8+ citotóxicos, con un predominio de interleuquinas de tipo Th1 (IL-2, IFN-gamma, TNF-alfa)</w:t>
      </w:r>
      <w:r w:rsidR="00020D9C" w:rsidRPr="00DD428E">
        <w:rPr>
          <w:rFonts w:ascii="Arial" w:hAnsi="Arial" w:cs="Arial"/>
          <w:sz w:val="20"/>
          <w:szCs w:val="20"/>
          <w:lang w:val="es-ES"/>
        </w:rPr>
        <w:t xml:space="preserve"> (12</w:t>
      </w:r>
      <w:r w:rsidR="005F08B7" w:rsidRPr="00DD428E">
        <w:rPr>
          <w:rFonts w:ascii="Arial" w:hAnsi="Arial" w:cs="Arial"/>
          <w:sz w:val="20"/>
          <w:szCs w:val="20"/>
          <w:lang w:val="es-ES"/>
        </w:rPr>
        <w:t>)</w:t>
      </w:r>
      <w:r w:rsidRPr="00DD428E">
        <w:rPr>
          <w:rFonts w:ascii="Arial" w:hAnsi="Arial" w:cs="Arial"/>
          <w:sz w:val="20"/>
          <w:szCs w:val="20"/>
          <w:lang w:val="es-ES"/>
        </w:rPr>
        <w:t xml:space="preserve">, siendo evidente en todos nuestros controles sanos y en el paciente con IDVC la expansión de esta subpoblación celular, al presentar un incremento de la misma en todas las condiciones en semana 6. En paralelo, se observó un incremento en la proliferación de la subpoblación de linfocitos T CD4+ que fue  máximo en semana 4. </w:t>
      </w:r>
      <w:r w:rsidRPr="00DD428E">
        <w:rPr>
          <w:rFonts w:ascii="Arial" w:eastAsiaTheme="minorHAnsi" w:hAnsi="Arial" w:cs="Arial"/>
          <w:sz w:val="20"/>
          <w:szCs w:val="20"/>
          <w:lang w:val="es-VE" w:eastAsia="en-US"/>
        </w:rPr>
        <w:t>Es interesante recordar que la proliferación intracelular es un prerrequisito para una presentación antigénica apropiada, cuando la activación de las células T se da en el caso de los patógenos intracelulares y para la inmunogenic</w:t>
      </w:r>
      <w:r w:rsidR="005F08B7" w:rsidRPr="00DD428E">
        <w:rPr>
          <w:rFonts w:ascii="Arial" w:eastAsiaTheme="minorHAnsi" w:hAnsi="Arial" w:cs="Arial"/>
          <w:sz w:val="20"/>
          <w:szCs w:val="20"/>
          <w:lang w:val="es-VE" w:eastAsia="en-US"/>
        </w:rPr>
        <w:t>i</w:t>
      </w:r>
      <w:r w:rsidR="00020D9C" w:rsidRPr="00DD428E">
        <w:rPr>
          <w:rFonts w:ascii="Arial" w:eastAsiaTheme="minorHAnsi" w:hAnsi="Arial" w:cs="Arial"/>
          <w:sz w:val="20"/>
          <w:szCs w:val="20"/>
          <w:lang w:val="es-VE" w:eastAsia="en-US"/>
        </w:rPr>
        <w:t>dad secundaria a las vacunas (13</w:t>
      </w:r>
      <w:r w:rsidRPr="00DD428E">
        <w:rPr>
          <w:rFonts w:ascii="Arial" w:eastAsiaTheme="minorHAnsi" w:hAnsi="Arial" w:cs="Arial"/>
          <w:sz w:val="20"/>
          <w:szCs w:val="20"/>
          <w:lang w:val="es-VE" w:eastAsia="en-US"/>
        </w:rPr>
        <w:t xml:space="preserve">), en el caso de la </w:t>
      </w:r>
      <w:r w:rsidRPr="00DD428E">
        <w:rPr>
          <w:rFonts w:ascii="Arial" w:eastAsiaTheme="minorHAnsi" w:hAnsi="Arial" w:cs="Arial"/>
          <w:i/>
          <w:sz w:val="20"/>
          <w:szCs w:val="20"/>
          <w:lang w:val="es-VE" w:eastAsia="en-US"/>
        </w:rPr>
        <w:t>S. Typhi</w:t>
      </w:r>
      <w:r w:rsidRPr="00DD428E">
        <w:rPr>
          <w:rFonts w:ascii="Arial" w:eastAsiaTheme="minorHAnsi" w:hAnsi="Arial" w:cs="Arial"/>
          <w:sz w:val="20"/>
          <w:szCs w:val="20"/>
          <w:lang w:val="es-VE" w:eastAsia="en-US"/>
        </w:rPr>
        <w:t xml:space="preserve"> se postula que uno de los mecanismos para evadir al sistema inmunológico es disminuir la replicación celular intracelular logrando de esta manera evadir la respuesta inmune innata y conseguir diseminarse de forma sistémica</w:t>
      </w:r>
      <w:r w:rsidR="00863DFD" w:rsidRPr="00DD428E">
        <w:rPr>
          <w:rFonts w:ascii="Arial" w:eastAsiaTheme="minorHAnsi" w:hAnsi="Arial" w:cs="Arial"/>
          <w:sz w:val="20"/>
          <w:szCs w:val="20"/>
          <w:lang w:val="es-VE" w:eastAsia="en-US"/>
        </w:rPr>
        <w:t xml:space="preserve"> (13)</w:t>
      </w:r>
      <w:r w:rsidRPr="00DD428E">
        <w:rPr>
          <w:rFonts w:ascii="Arial" w:eastAsiaTheme="minorHAnsi" w:hAnsi="Arial" w:cs="Arial"/>
          <w:sz w:val="20"/>
          <w:szCs w:val="20"/>
          <w:lang w:val="es-VE" w:eastAsia="en-US"/>
        </w:rPr>
        <w:t>.</w:t>
      </w:r>
    </w:p>
    <w:p w:rsidR="0011062F" w:rsidRPr="00DD428E" w:rsidRDefault="0011062F" w:rsidP="0011062F">
      <w:pPr>
        <w:jc w:val="both"/>
        <w:rPr>
          <w:rFonts w:ascii="Arial" w:eastAsiaTheme="minorHAnsi" w:hAnsi="Arial" w:cs="Arial"/>
          <w:sz w:val="20"/>
          <w:szCs w:val="20"/>
          <w:lang w:val="es-VE" w:eastAsia="en-US"/>
        </w:rPr>
      </w:pPr>
    </w:p>
    <w:p w:rsidR="0011062F" w:rsidRPr="00DD428E" w:rsidRDefault="0011062F" w:rsidP="0011062F">
      <w:pPr>
        <w:jc w:val="both"/>
        <w:rPr>
          <w:rFonts w:ascii="Arial" w:eastAsiaTheme="minorHAnsi" w:hAnsi="Arial" w:cs="Arial"/>
          <w:sz w:val="20"/>
          <w:szCs w:val="20"/>
          <w:lang w:val="es-VE" w:eastAsia="en-US"/>
        </w:rPr>
      </w:pPr>
      <w:r w:rsidRPr="00DD428E">
        <w:rPr>
          <w:rFonts w:ascii="Arial" w:eastAsiaTheme="minorHAnsi" w:hAnsi="Arial" w:cs="Arial"/>
          <w:sz w:val="20"/>
          <w:szCs w:val="20"/>
          <w:lang w:val="es-VE" w:eastAsia="en-US"/>
        </w:rPr>
        <w:t xml:space="preserve">Al observar la respuesta proliferativa de los linfocitos T CD4+ reguladores se verifica un mayor índice de proliferación con las dosis más altas de antígeno a las 4 semanas del estudio, mientras que para los linfocitos T CD4+ respondedores hay una mayor actividad a la semana 6 con la dosis más baja de </w:t>
      </w:r>
      <w:r w:rsidRPr="00DD428E">
        <w:rPr>
          <w:rFonts w:ascii="Arial" w:eastAsiaTheme="minorHAnsi" w:hAnsi="Arial" w:cs="Arial"/>
          <w:i/>
          <w:sz w:val="20"/>
          <w:szCs w:val="20"/>
          <w:lang w:val="es-VE" w:eastAsia="en-US"/>
        </w:rPr>
        <w:t>S. Typhi</w:t>
      </w:r>
      <w:r w:rsidRPr="00DD428E">
        <w:rPr>
          <w:rFonts w:ascii="Arial" w:eastAsiaTheme="minorHAnsi" w:hAnsi="Arial" w:cs="Arial"/>
          <w:sz w:val="20"/>
          <w:szCs w:val="20"/>
          <w:lang w:val="es-VE" w:eastAsia="en-US"/>
        </w:rPr>
        <w:t>.  Esto guarda relación con lo descrito por O´Garra y cols</w:t>
      </w:r>
      <w:r w:rsidR="00313D14" w:rsidRPr="00DD428E">
        <w:rPr>
          <w:rFonts w:ascii="Arial" w:eastAsiaTheme="minorHAnsi" w:hAnsi="Arial" w:cs="Arial"/>
          <w:sz w:val="20"/>
          <w:szCs w:val="20"/>
          <w:lang w:val="es-VE" w:eastAsia="en-US"/>
        </w:rPr>
        <w:t>.</w:t>
      </w:r>
      <w:r w:rsidR="005F08B7" w:rsidRPr="00DD428E">
        <w:rPr>
          <w:rFonts w:ascii="Arial" w:eastAsiaTheme="minorHAnsi" w:hAnsi="Arial" w:cs="Arial"/>
          <w:sz w:val="20"/>
          <w:szCs w:val="20"/>
          <w:lang w:val="es-VE" w:eastAsia="en-US"/>
        </w:rPr>
        <w:t xml:space="preserve"> (12</w:t>
      </w:r>
      <w:r w:rsidRPr="00DD428E">
        <w:rPr>
          <w:rFonts w:ascii="Arial" w:eastAsiaTheme="minorHAnsi" w:hAnsi="Arial" w:cs="Arial"/>
          <w:sz w:val="20"/>
          <w:szCs w:val="20"/>
          <w:lang w:val="es-VE" w:eastAsia="en-US"/>
        </w:rPr>
        <w:t>) quienes señalan que una dosis de antígeno alta promueve una respuesta mayor de linfocitos T respondedores en relación con un perfil de interleucinas Th1, mientras que dosis menores de antígeno podrían promover una proliferación más acentuada de los linfocitos T reguladores  con un  perfil Th2 en cuanto a producción de interleuquinas.  Esto se presentó de manera inversa en los linfocitos CD8+ de este estudio lo cual podría analizarse como un mecanismo de promover en el huésped evasión del sistema innato, en el caso de infección, mientras que en el caso de la vacunación podría permitir una presentación antigénica más prolongada para permitir el establecimiento de la memoria inmunológica en relación a este patógeno.</w:t>
      </w:r>
    </w:p>
    <w:p w:rsidR="0011062F" w:rsidRPr="00DD428E" w:rsidRDefault="0011062F" w:rsidP="0011062F">
      <w:pPr>
        <w:jc w:val="both"/>
        <w:rPr>
          <w:rFonts w:ascii="Arial" w:eastAsiaTheme="minorHAnsi" w:hAnsi="Arial" w:cs="Arial"/>
          <w:sz w:val="20"/>
          <w:szCs w:val="20"/>
          <w:lang w:val="es-VE" w:eastAsia="en-US"/>
        </w:rPr>
      </w:pPr>
    </w:p>
    <w:p w:rsidR="0011062F" w:rsidRPr="00DD428E" w:rsidRDefault="0011062F" w:rsidP="0011062F">
      <w:pPr>
        <w:jc w:val="both"/>
        <w:rPr>
          <w:rFonts w:ascii="Arial" w:eastAsiaTheme="minorHAnsi" w:hAnsi="Arial" w:cs="Arial"/>
          <w:sz w:val="20"/>
          <w:szCs w:val="20"/>
          <w:lang w:val="es-VE" w:eastAsia="en-US"/>
        </w:rPr>
      </w:pPr>
      <w:r w:rsidRPr="00DD428E">
        <w:rPr>
          <w:rFonts w:ascii="Arial" w:eastAsiaTheme="minorHAnsi" w:hAnsi="Arial" w:cs="Arial"/>
          <w:sz w:val="20"/>
          <w:szCs w:val="20"/>
          <w:lang w:val="es-VE" w:eastAsia="en-US"/>
        </w:rPr>
        <w:t xml:space="preserve">En relación a la IDVC, han sido descritas respuestas defectuosas frente a antígenos específicos, tanto en los linfocitos B como en los T (10), habiéndose descrito un bloqueo en la diferenciación terminal de las células B, ocasionando una hipogammaglobulinemia y una disminución en la producción de anticuerpos (11), por lo que en el protocolo diagnóstico se determinan las inmunoglobulinas y se utiliza la vacunación para estudiar la respuesta antígeno especifica.  Aunque solo se tienen datos de un solo paciente, en éste se verifica que la respuesta  en cuanto a número de linfocitos es discretamente inferior, sin embargo al verificar la repuesta por subtipos celulares se observó que la respuesta en relación a los linfocitos T CD4+ es mayor ante las dosis máximas de antígeno, con una presencia de células reguladoras mayor a la reportada en los individuos normales de este estudio.  En relación a la respuesta de los linfocitos T CD8+ la respuesta reportada fue mucho menor en todas las condiciones estudiadas, en relación a con lo descrito por Horn y cols. en una serie mayor de pacientes con IDVC un aumento de linfocitos T con fenotipo regulador. Estos autores también describen defecto en el funcionamiento de los linfocitos B de estos pacientes, donde destacan la pérdida de un 75% de las células con cambio de isotipo, lo que se verifica en el paciente estudiado, donde la proliferación de los linfocitos B memoria fueron </w:t>
      </w:r>
      <w:r w:rsidRPr="00DD428E">
        <w:rPr>
          <w:rFonts w:ascii="Arial" w:eastAsiaTheme="minorHAnsi" w:hAnsi="Arial" w:cs="Arial"/>
          <w:sz w:val="20"/>
          <w:szCs w:val="20"/>
          <w:lang w:val="es-VE" w:eastAsia="en-US"/>
        </w:rPr>
        <w:lastRenderedPageBreak/>
        <w:t xml:space="preserve">siempre inferiores a los controles sanos, especialmente en los linfocitos B con cambio de isotipo (12). En relación a la respuesta humoral, se observó un aumento en los niveles séricos de IgG e IgM, sin aumento de la IgA.  </w:t>
      </w:r>
    </w:p>
    <w:p w:rsidR="002A5A79" w:rsidRPr="00DD428E" w:rsidRDefault="002A5A79" w:rsidP="0011062F">
      <w:pPr>
        <w:jc w:val="both"/>
        <w:rPr>
          <w:rFonts w:ascii="Arial" w:eastAsiaTheme="minorHAnsi" w:hAnsi="Arial" w:cs="Arial"/>
          <w:sz w:val="20"/>
          <w:szCs w:val="20"/>
          <w:lang w:val="es-VE" w:eastAsia="en-US"/>
        </w:rPr>
      </w:pPr>
    </w:p>
    <w:p w:rsidR="0011062F" w:rsidRPr="00DD428E" w:rsidRDefault="0011062F" w:rsidP="0011062F">
      <w:pPr>
        <w:jc w:val="both"/>
        <w:rPr>
          <w:rFonts w:ascii="Arial" w:eastAsiaTheme="minorHAnsi" w:hAnsi="Arial" w:cs="Arial"/>
          <w:sz w:val="20"/>
          <w:szCs w:val="20"/>
          <w:lang w:val="es-VE" w:eastAsia="en-US"/>
        </w:rPr>
      </w:pPr>
      <w:r w:rsidRPr="00DD428E">
        <w:rPr>
          <w:rFonts w:ascii="Arial" w:eastAsiaTheme="minorHAnsi" w:hAnsi="Arial" w:cs="Arial"/>
          <w:sz w:val="20"/>
          <w:szCs w:val="20"/>
          <w:lang w:val="es-VE" w:eastAsia="en-US"/>
        </w:rPr>
        <w:t>Con respecto a la determinación  de interleuquinas medidas en los sobrenadantes de cultivo, se observó un aumento de IL-1, TNF-alfa y RANTES tras 4 semanas de la vacunación, lo que indica una respuesta inflamatoria, que fue mayor frente a Typhi 6.  El INF-</w:t>
      </w:r>
      <w:r w:rsidRPr="00DD428E">
        <w:rPr>
          <w:rFonts w:ascii="Arial" w:eastAsiaTheme="minorHAnsi" w:hAnsi="Arial" w:cs="Arial"/>
          <w:sz w:val="20"/>
          <w:szCs w:val="20"/>
          <w:lang w:val="es-VE" w:eastAsia="en-US"/>
        </w:rPr>
        <w:sym w:font="Symbol" w:char="0061"/>
      </w:r>
      <w:r w:rsidRPr="00DD428E">
        <w:rPr>
          <w:rFonts w:ascii="Arial" w:eastAsiaTheme="minorHAnsi" w:hAnsi="Arial" w:cs="Arial"/>
          <w:sz w:val="20"/>
          <w:szCs w:val="20"/>
          <w:lang w:val="es-VE" w:eastAsia="en-US"/>
        </w:rPr>
        <w:t xml:space="preserve"> presentó bajas proporciones, con IL-12 indetectable, compatible con lo descrito por Bowman y Bost</w:t>
      </w:r>
      <w:r w:rsidR="00E40EBA" w:rsidRPr="00DD428E">
        <w:rPr>
          <w:rFonts w:ascii="Arial" w:eastAsiaTheme="minorHAnsi" w:hAnsi="Arial" w:cs="Arial"/>
          <w:sz w:val="20"/>
          <w:szCs w:val="20"/>
          <w:lang w:val="es-VE" w:eastAsia="en-US"/>
        </w:rPr>
        <w:t xml:space="preserve"> (13)</w:t>
      </w:r>
      <w:r w:rsidRPr="00DD428E">
        <w:rPr>
          <w:rFonts w:ascii="Arial" w:eastAsiaTheme="minorHAnsi" w:hAnsi="Arial" w:cs="Arial"/>
          <w:sz w:val="20"/>
          <w:szCs w:val="20"/>
          <w:lang w:val="es-VE" w:eastAsia="en-US"/>
        </w:rPr>
        <w:t xml:space="preserve">, que destacan que estas interleuquinas son importantes para la respuesta de </w:t>
      </w:r>
      <w:r w:rsidRPr="00DD428E">
        <w:rPr>
          <w:rFonts w:ascii="Arial" w:eastAsiaTheme="minorHAnsi" w:hAnsi="Arial" w:cs="Arial"/>
          <w:i/>
          <w:sz w:val="20"/>
          <w:szCs w:val="20"/>
          <w:lang w:val="es-VE" w:eastAsia="en-US"/>
        </w:rPr>
        <w:t>S. typhi</w:t>
      </w:r>
      <w:r w:rsidRPr="00DD428E">
        <w:rPr>
          <w:rFonts w:ascii="Arial" w:eastAsiaTheme="minorHAnsi" w:hAnsi="Arial" w:cs="Arial"/>
          <w:sz w:val="20"/>
          <w:szCs w:val="20"/>
          <w:lang w:val="es-VE" w:eastAsia="en-US"/>
        </w:rPr>
        <w:t>, postulando que en el ser vivo la respuesta inmunogénica no parece ser lo suficientemente intensa para prevenir la infección o limitar la patogénesis, aumentando la actividad de enzimas como la COX-2, lo cual promueve un aumento en la PGE2 que a su vez disminuye la iniciación de la producción de INF-</w:t>
      </w:r>
      <w:r w:rsidRPr="00DD428E">
        <w:rPr>
          <w:rFonts w:ascii="Arial" w:eastAsiaTheme="minorHAnsi" w:hAnsi="Arial" w:cs="Arial"/>
          <w:sz w:val="20"/>
          <w:szCs w:val="20"/>
          <w:lang w:val="es-VE" w:eastAsia="en-US"/>
        </w:rPr>
        <w:sym w:font="Symbol" w:char="0061"/>
      </w:r>
      <w:r w:rsidRPr="00DD428E">
        <w:rPr>
          <w:rFonts w:ascii="Arial" w:eastAsiaTheme="minorHAnsi" w:hAnsi="Arial" w:cs="Arial"/>
          <w:sz w:val="20"/>
          <w:szCs w:val="20"/>
          <w:lang w:val="es-VE" w:eastAsia="en-US"/>
        </w:rPr>
        <w:t xml:space="preserve"> y el desarrollo de la respuesta Th1, promoviendo un estado de latencia que podría contribuir a lo descrito antes sobre la disminución de la replicación intracelular como un mecanismo de evasión del sistema inmunológico innato.  Evidencias en humanos constituyen la existencia de defectos genéticos en el eje IL-12/IFN-</w:t>
      </w:r>
      <w:r w:rsidRPr="00DD428E">
        <w:rPr>
          <w:rFonts w:ascii="Arial" w:eastAsiaTheme="minorHAnsi" w:hAnsi="Arial" w:cs="Arial"/>
          <w:sz w:val="20"/>
          <w:szCs w:val="20"/>
          <w:lang w:val="es-VE" w:eastAsia="en-US"/>
        </w:rPr>
        <w:sym w:font="Symbol" w:char="0067"/>
      </w:r>
      <w:r w:rsidRPr="00DD428E">
        <w:rPr>
          <w:rFonts w:ascii="Arial" w:eastAsiaTheme="minorHAnsi" w:hAnsi="Arial" w:cs="Arial"/>
          <w:sz w:val="20"/>
          <w:szCs w:val="20"/>
          <w:lang w:val="es-VE" w:eastAsia="en-US"/>
        </w:rPr>
        <w:t xml:space="preserve"> en pacientes con infecciones recurrentes por </w:t>
      </w:r>
      <w:r w:rsidRPr="00DD428E">
        <w:rPr>
          <w:rFonts w:ascii="Arial" w:eastAsiaTheme="minorHAnsi" w:hAnsi="Arial" w:cs="Arial"/>
          <w:i/>
          <w:sz w:val="20"/>
          <w:szCs w:val="20"/>
          <w:lang w:val="es-VE" w:eastAsia="en-US"/>
        </w:rPr>
        <w:t>S. Typhi</w:t>
      </w:r>
      <w:r w:rsidRPr="00DD428E">
        <w:rPr>
          <w:rFonts w:ascii="Arial" w:eastAsiaTheme="minorHAnsi" w:hAnsi="Arial" w:cs="Arial"/>
          <w:sz w:val="20"/>
          <w:szCs w:val="20"/>
          <w:lang w:val="es-VE" w:eastAsia="en-US"/>
        </w:rPr>
        <w:t xml:space="preserve">. Estudios con un número mayor de individuos sanos y con defecto de respuesta antígeno </w:t>
      </w:r>
      <w:r w:rsidR="00EC2819" w:rsidRPr="00DD428E">
        <w:rPr>
          <w:rFonts w:ascii="Arial" w:eastAsiaTheme="minorHAnsi" w:hAnsi="Arial" w:cs="Arial"/>
          <w:sz w:val="20"/>
          <w:szCs w:val="20"/>
          <w:lang w:val="es-VE" w:eastAsia="en-US"/>
        </w:rPr>
        <w:t>específica</w:t>
      </w:r>
      <w:r w:rsidRPr="00DD428E">
        <w:rPr>
          <w:rFonts w:ascii="Arial" w:eastAsiaTheme="minorHAnsi" w:hAnsi="Arial" w:cs="Arial"/>
          <w:sz w:val="20"/>
          <w:szCs w:val="20"/>
          <w:lang w:val="es-VE" w:eastAsia="en-US"/>
        </w:rPr>
        <w:t xml:space="preserve"> son necesarios para confirmar la relevancia de estudios de respuesta celular frente a antígenos polisacáridos en el diagnóstico de pacientes con inmunodeficiencias.</w:t>
      </w:r>
    </w:p>
    <w:p w:rsidR="0011062F" w:rsidRPr="0011062F" w:rsidRDefault="0011062F" w:rsidP="0011062F">
      <w:pPr>
        <w:jc w:val="both"/>
        <w:rPr>
          <w:rFonts w:ascii="Arial" w:hAnsi="Arial" w:cs="Arial"/>
          <w:lang w:val="es-VE"/>
        </w:rPr>
      </w:pPr>
    </w:p>
    <w:p w:rsidR="0011062F" w:rsidRPr="0011062F" w:rsidRDefault="0011062F" w:rsidP="0011062F">
      <w:pPr>
        <w:jc w:val="both"/>
        <w:rPr>
          <w:rFonts w:ascii="Arial" w:hAnsi="Arial" w:cs="Arial"/>
          <w:lang w:val="es-VE"/>
        </w:rPr>
      </w:pPr>
    </w:p>
    <w:p w:rsidR="00CB0CF2" w:rsidRDefault="00DD428E" w:rsidP="00DD428E">
      <w:pPr>
        <w:tabs>
          <w:tab w:val="left" w:pos="902"/>
        </w:tabs>
        <w:jc w:val="both"/>
        <w:rPr>
          <w:rFonts w:ascii="Arial" w:hAnsi="Arial" w:cs="Arial"/>
          <w:b/>
          <w:lang w:val="es-ES"/>
        </w:rPr>
      </w:pPr>
      <w:r>
        <w:rPr>
          <w:rFonts w:ascii="Arial" w:hAnsi="Arial" w:cs="Arial"/>
          <w:b/>
          <w:lang w:val="es-ES"/>
        </w:rPr>
        <w:tab/>
      </w:r>
    </w:p>
    <w:p w:rsidR="00DD428E" w:rsidRDefault="00DD428E" w:rsidP="0011062F">
      <w:pPr>
        <w:jc w:val="both"/>
        <w:rPr>
          <w:rFonts w:ascii="Arial" w:hAnsi="Arial" w:cs="Arial"/>
          <w:b/>
          <w:lang w:val="es-ES"/>
        </w:rPr>
      </w:pPr>
    </w:p>
    <w:p w:rsidR="0011062F" w:rsidRPr="00DD428E" w:rsidRDefault="009227E6" w:rsidP="0011062F">
      <w:pPr>
        <w:jc w:val="both"/>
        <w:rPr>
          <w:rFonts w:ascii="Arial" w:hAnsi="Arial" w:cs="Arial"/>
          <w:sz w:val="20"/>
          <w:szCs w:val="20"/>
          <w:lang w:val="es-ES"/>
        </w:rPr>
      </w:pPr>
      <w:r>
        <w:rPr>
          <w:rFonts w:ascii="Arial" w:hAnsi="Arial" w:cs="Arial"/>
          <w:b/>
          <w:sz w:val="20"/>
          <w:szCs w:val="20"/>
          <w:lang w:val="es-ES"/>
        </w:rPr>
        <w:t>6</w:t>
      </w:r>
      <w:r w:rsidR="00057B05" w:rsidRPr="00DD428E">
        <w:rPr>
          <w:rFonts w:ascii="Arial" w:hAnsi="Arial" w:cs="Arial"/>
          <w:b/>
          <w:sz w:val="20"/>
          <w:szCs w:val="20"/>
          <w:lang w:val="es-ES"/>
        </w:rPr>
        <w:t xml:space="preserve">. </w:t>
      </w:r>
      <w:r w:rsidR="0011062F" w:rsidRPr="00DD428E">
        <w:rPr>
          <w:rFonts w:ascii="Arial" w:hAnsi="Arial" w:cs="Arial"/>
          <w:b/>
          <w:sz w:val="20"/>
          <w:szCs w:val="20"/>
          <w:lang w:val="es-ES"/>
        </w:rPr>
        <w:t>CONCLUSIONES</w:t>
      </w:r>
    </w:p>
    <w:p w:rsidR="0011062F" w:rsidRPr="00DD428E" w:rsidRDefault="0011062F" w:rsidP="0011062F">
      <w:pPr>
        <w:jc w:val="both"/>
        <w:rPr>
          <w:rFonts w:ascii="Arial" w:hAnsi="Arial" w:cs="Arial"/>
          <w:sz w:val="20"/>
          <w:szCs w:val="20"/>
          <w:lang w:val="es-ES"/>
        </w:rPr>
      </w:pPr>
    </w:p>
    <w:p w:rsidR="0011062F" w:rsidRPr="009227E6" w:rsidRDefault="0011062F" w:rsidP="009227E6">
      <w:pPr>
        <w:pStyle w:val="Prrafodelista"/>
        <w:numPr>
          <w:ilvl w:val="0"/>
          <w:numId w:val="21"/>
        </w:numPr>
        <w:jc w:val="both"/>
        <w:rPr>
          <w:rFonts w:ascii="Arial" w:hAnsi="Arial" w:cs="Arial"/>
          <w:sz w:val="20"/>
          <w:szCs w:val="20"/>
          <w:lang w:val="es-ES"/>
        </w:rPr>
      </w:pPr>
      <w:r w:rsidRPr="009227E6">
        <w:rPr>
          <w:rFonts w:ascii="Arial" w:hAnsi="Arial" w:cs="Arial"/>
          <w:sz w:val="20"/>
          <w:szCs w:val="20"/>
          <w:lang w:val="es-ES"/>
        </w:rPr>
        <w:t>En individuos inmunocompetentes, la respuesta celular determinada mediante proliferación linfocitaria al antígeno glicoproteico Typhim Vi® en relación con las dosis de antígeno y al tiempo transcurrido posterior a la vacunación, muestra resultados equivalentes a la observada para Pneumovax®.</w:t>
      </w:r>
    </w:p>
    <w:p w:rsidR="0011062F" w:rsidRPr="00DD428E" w:rsidRDefault="0011062F" w:rsidP="0011062F">
      <w:pPr>
        <w:jc w:val="both"/>
        <w:rPr>
          <w:rFonts w:ascii="Arial" w:hAnsi="Arial" w:cs="Arial"/>
          <w:sz w:val="20"/>
          <w:szCs w:val="20"/>
          <w:lang w:val="es-ES"/>
        </w:rPr>
      </w:pPr>
    </w:p>
    <w:p w:rsidR="0011062F" w:rsidRPr="009227E6" w:rsidRDefault="0011062F" w:rsidP="009227E6">
      <w:pPr>
        <w:pStyle w:val="Prrafodelista"/>
        <w:numPr>
          <w:ilvl w:val="0"/>
          <w:numId w:val="21"/>
        </w:numPr>
        <w:jc w:val="both"/>
        <w:rPr>
          <w:rFonts w:ascii="Arial" w:hAnsi="Arial" w:cs="Arial"/>
          <w:sz w:val="20"/>
          <w:szCs w:val="20"/>
          <w:lang w:val="es-ES"/>
        </w:rPr>
      </w:pPr>
      <w:r w:rsidRPr="009227E6">
        <w:rPr>
          <w:rFonts w:ascii="Arial" w:hAnsi="Arial" w:cs="Arial"/>
          <w:sz w:val="20"/>
          <w:szCs w:val="20"/>
          <w:lang w:val="es-ES"/>
        </w:rPr>
        <w:t>Todos los controles sanos y el paciente con IDVC mostraron una proliferación positiva de linfocitos T CD4+ respondedores, siendo mayor frente a Typhim Vi® a 6µg/mL que frente a. Pneumovax® a la misma concentración.</w:t>
      </w:r>
    </w:p>
    <w:p w:rsidR="0011062F" w:rsidRPr="00DD428E" w:rsidRDefault="0011062F" w:rsidP="0011062F">
      <w:pPr>
        <w:jc w:val="both"/>
        <w:rPr>
          <w:rFonts w:ascii="Arial" w:hAnsi="Arial" w:cs="Arial"/>
          <w:sz w:val="20"/>
          <w:szCs w:val="20"/>
          <w:lang w:val="es-ES"/>
        </w:rPr>
      </w:pPr>
    </w:p>
    <w:p w:rsidR="0011062F" w:rsidRPr="009227E6" w:rsidRDefault="0011062F" w:rsidP="009227E6">
      <w:pPr>
        <w:pStyle w:val="Prrafodelista"/>
        <w:numPr>
          <w:ilvl w:val="0"/>
          <w:numId w:val="21"/>
        </w:numPr>
        <w:jc w:val="both"/>
        <w:rPr>
          <w:rFonts w:ascii="Arial" w:hAnsi="Arial" w:cs="Arial"/>
          <w:sz w:val="20"/>
          <w:szCs w:val="20"/>
          <w:lang w:val="es-ES"/>
        </w:rPr>
      </w:pPr>
      <w:r w:rsidRPr="009227E6">
        <w:rPr>
          <w:rFonts w:ascii="Arial" w:hAnsi="Arial" w:cs="Arial"/>
          <w:sz w:val="20"/>
          <w:szCs w:val="20"/>
          <w:lang w:val="es-ES"/>
        </w:rPr>
        <w:t>Todos los controles sanos y el paciente con IDVC mostraron una proliferación positiva de linfocitos T CD8+ respondedores, que fue similar en todas las condiciones, con máximo valor en la semana 4.</w:t>
      </w:r>
    </w:p>
    <w:p w:rsidR="0011062F" w:rsidRPr="00DD428E" w:rsidRDefault="0011062F" w:rsidP="0011062F">
      <w:pPr>
        <w:jc w:val="both"/>
        <w:rPr>
          <w:rFonts w:ascii="Arial" w:hAnsi="Arial" w:cs="Arial"/>
          <w:sz w:val="20"/>
          <w:szCs w:val="20"/>
          <w:lang w:val="es-ES"/>
        </w:rPr>
      </w:pPr>
    </w:p>
    <w:p w:rsidR="0011062F" w:rsidRPr="009227E6" w:rsidRDefault="0011062F" w:rsidP="009227E6">
      <w:pPr>
        <w:pStyle w:val="Prrafodelista"/>
        <w:numPr>
          <w:ilvl w:val="0"/>
          <w:numId w:val="21"/>
        </w:numPr>
        <w:jc w:val="both"/>
        <w:rPr>
          <w:rFonts w:ascii="Arial" w:hAnsi="Arial" w:cs="Arial"/>
          <w:sz w:val="20"/>
          <w:szCs w:val="20"/>
          <w:lang w:val="es-ES"/>
        </w:rPr>
      </w:pPr>
      <w:r w:rsidRPr="009227E6">
        <w:rPr>
          <w:rFonts w:ascii="Arial" w:hAnsi="Arial" w:cs="Arial"/>
          <w:sz w:val="20"/>
          <w:szCs w:val="20"/>
          <w:lang w:val="es-ES"/>
        </w:rPr>
        <w:t>Se induce una discreta proliferación  de linfocitos T CD4+ y CD8+ reguladores específicos de ambos antígenos a las concentraciones estudiadas.</w:t>
      </w:r>
    </w:p>
    <w:p w:rsidR="0011062F" w:rsidRPr="00DD428E" w:rsidRDefault="0011062F" w:rsidP="0011062F">
      <w:pPr>
        <w:jc w:val="both"/>
        <w:rPr>
          <w:rFonts w:ascii="Arial" w:hAnsi="Arial" w:cs="Arial"/>
          <w:sz w:val="20"/>
          <w:szCs w:val="20"/>
          <w:lang w:val="es-ES"/>
        </w:rPr>
      </w:pPr>
    </w:p>
    <w:p w:rsidR="0011062F" w:rsidRPr="009227E6" w:rsidRDefault="0011062F" w:rsidP="009227E6">
      <w:pPr>
        <w:pStyle w:val="Prrafodelista"/>
        <w:numPr>
          <w:ilvl w:val="0"/>
          <w:numId w:val="21"/>
        </w:numPr>
        <w:jc w:val="both"/>
        <w:rPr>
          <w:rFonts w:ascii="Arial" w:hAnsi="Arial" w:cs="Arial"/>
          <w:sz w:val="20"/>
          <w:szCs w:val="20"/>
          <w:lang w:val="es-VE"/>
        </w:rPr>
      </w:pPr>
      <w:r w:rsidRPr="009227E6">
        <w:rPr>
          <w:rFonts w:ascii="Arial" w:hAnsi="Arial" w:cs="Arial"/>
          <w:sz w:val="20"/>
          <w:szCs w:val="20"/>
          <w:lang w:val="es-VE"/>
        </w:rPr>
        <w:t xml:space="preserve">Nuestros resultados, aunque muy preliminares, muestran un mayor efecto inductor de interleuquinas pro-inflamatorias frente al antígeno de </w:t>
      </w:r>
      <w:r w:rsidRPr="009227E6">
        <w:rPr>
          <w:rFonts w:ascii="Arial" w:hAnsi="Arial" w:cs="Arial"/>
          <w:i/>
          <w:sz w:val="20"/>
          <w:szCs w:val="20"/>
          <w:lang w:val="es-VE"/>
        </w:rPr>
        <w:t>S. Typhi</w:t>
      </w:r>
      <w:r w:rsidRPr="009227E6">
        <w:rPr>
          <w:rFonts w:ascii="Arial" w:hAnsi="Arial" w:cs="Arial"/>
          <w:sz w:val="20"/>
          <w:szCs w:val="20"/>
          <w:lang w:val="es-VE"/>
        </w:rPr>
        <w:t xml:space="preserve"> que frente al </w:t>
      </w:r>
      <w:r w:rsidRPr="009227E6">
        <w:rPr>
          <w:rFonts w:ascii="Arial" w:hAnsi="Arial" w:cs="Arial"/>
          <w:i/>
          <w:sz w:val="20"/>
          <w:szCs w:val="20"/>
          <w:lang w:val="es-VE"/>
        </w:rPr>
        <w:t>S. Pneumoniae</w:t>
      </w:r>
      <w:r w:rsidRPr="009227E6">
        <w:rPr>
          <w:rFonts w:ascii="Arial" w:hAnsi="Arial" w:cs="Arial"/>
          <w:sz w:val="20"/>
          <w:szCs w:val="20"/>
          <w:lang w:val="es-VE"/>
        </w:rPr>
        <w:t xml:space="preserve"> a igual dosis. En el paciente con IDVC se observa un defecto de esta respuesta.</w:t>
      </w:r>
    </w:p>
    <w:p w:rsidR="0011062F" w:rsidRPr="0011062F" w:rsidRDefault="0011062F" w:rsidP="0011062F">
      <w:pPr>
        <w:jc w:val="both"/>
        <w:rPr>
          <w:rFonts w:ascii="Arial" w:hAnsi="Arial" w:cs="Arial"/>
          <w:lang w:val="es-VE"/>
        </w:rPr>
      </w:pPr>
    </w:p>
    <w:p w:rsidR="0011062F" w:rsidRPr="0011062F" w:rsidRDefault="0011062F" w:rsidP="0011062F">
      <w:pPr>
        <w:jc w:val="both"/>
        <w:rPr>
          <w:rFonts w:ascii="Arial" w:hAnsi="Arial" w:cs="Arial"/>
          <w:lang w:val="es-ES"/>
        </w:rPr>
      </w:pPr>
    </w:p>
    <w:p w:rsidR="0011062F" w:rsidRPr="0011062F" w:rsidRDefault="0011062F" w:rsidP="0011062F">
      <w:pPr>
        <w:jc w:val="both"/>
        <w:rPr>
          <w:rFonts w:ascii="Arial" w:hAnsi="Arial" w:cs="Arial"/>
          <w:lang w:val="es-ES"/>
        </w:rPr>
      </w:pPr>
    </w:p>
    <w:p w:rsidR="0011062F" w:rsidRPr="0011062F" w:rsidRDefault="0011062F" w:rsidP="0011062F">
      <w:pPr>
        <w:jc w:val="both"/>
        <w:rPr>
          <w:rFonts w:ascii="Arial" w:hAnsi="Arial" w:cs="Arial"/>
          <w:lang w:val="es-ES"/>
        </w:rPr>
      </w:pPr>
    </w:p>
    <w:p w:rsidR="0011062F" w:rsidRPr="0011062F" w:rsidRDefault="0011062F" w:rsidP="0011062F">
      <w:pPr>
        <w:jc w:val="both"/>
        <w:rPr>
          <w:rFonts w:ascii="Arial" w:hAnsi="Arial" w:cs="Arial"/>
          <w:lang w:val="es-ES"/>
        </w:rPr>
      </w:pPr>
    </w:p>
    <w:p w:rsidR="0011062F" w:rsidRPr="0011062F" w:rsidRDefault="0011062F" w:rsidP="0011062F">
      <w:pPr>
        <w:jc w:val="both"/>
        <w:rPr>
          <w:rFonts w:ascii="Arial" w:hAnsi="Arial" w:cs="Arial"/>
          <w:lang w:val="es-ES"/>
        </w:rPr>
      </w:pPr>
    </w:p>
    <w:p w:rsidR="0011062F" w:rsidRPr="0011062F" w:rsidRDefault="0011062F" w:rsidP="0011062F">
      <w:pPr>
        <w:jc w:val="both"/>
        <w:rPr>
          <w:rFonts w:ascii="Arial" w:hAnsi="Arial" w:cs="Arial"/>
          <w:lang w:val="es-ES"/>
        </w:rPr>
      </w:pPr>
    </w:p>
    <w:p w:rsidR="0011062F" w:rsidRPr="0011062F" w:rsidRDefault="0011062F" w:rsidP="0011062F">
      <w:pPr>
        <w:jc w:val="both"/>
        <w:rPr>
          <w:rFonts w:ascii="Arial" w:hAnsi="Arial" w:cs="Arial"/>
          <w:lang w:val="es-ES"/>
        </w:rPr>
      </w:pPr>
    </w:p>
    <w:p w:rsidR="0011062F" w:rsidRPr="0011062F" w:rsidRDefault="0011062F" w:rsidP="0011062F">
      <w:pPr>
        <w:jc w:val="both"/>
        <w:rPr>
          <w:rFonts w:ascii="Arial" w:hAnsi="Arial" w:cs="Arial"/>
          <w:lang w:val="es-ES"/>
        </w:rPr>
      </w:pPr>
    </w:p>
    <w:p w:rsidR="0011062F" w:rsidRPr="00DD428E" w:rsidRDefault="009227E6" w:rsidP="0011062F">
      <w:pPr>
        <w:jc w:val="both"/>
        <w:rPr>
          <w:rFonts w:ascii="Arial" w:hAnsi="Arial" w:cs="Arial"/>
          <w:sz w:val="20"/>
          <w:szCs w:val="20"/>
          <w:lang w:val="en-US"/>
        </w:rPr>
      </w:pPr>
      <w:r>
        <w:rPr>
          <w:rFonts w:ascii="Arial" w:hAnsi="Arial" w:cs="Arial"/>
          <w:b/>
          <w:sz w:val="20"/>
          <w:szCs w:val="20"/>
          <w:lang w:val="en-US"/>
        </w:rPr>
        <w:lastRenderedPageBreak/>
        <w:t>7</w:t>
      </w:r>
      <w:r w:rsidR="00057B05" w:rsidRPr="00DD428E">
        <w:rPr>
          <w:rFonts w:ascii="Arial" w:hAnsi="Arial" w:cs="Arial"/>
          <w:b/>
          <w:sz w:val="20"/>
          <w:szCs w:val="20"/>
          <w:lang w:val="en-US"/>
        </w:rPr>
        <w:t xml:space="preserve">. </w:t>
      </w:r>
      <w:r w:rsidR="0011062F" w:rsidRPr="00DD428E">
        <w:rPr>
          <w:rFonts w:ascii="Arial" w:hAnsi="Arial" w:cs="Arial"/>
          <w:b/>
          <w:sz w:val="20"/>
          <w:szCs w:val="20"/>
          <w:lang w:val="en-US"/>
        </w:rPr>
        <w:t>REFERENCIAS BIBLIOGRAFICAS</w:t>
      </w:r>
      <w:r w:rsidR="0011062F" w:rsidRPr="00DD428E">
        <w:rPr>
          <w:rFonts w:ascii="Arial" w:hAnsi="Arial" w:cs="Arial"/>
          <w:sz w:val="20"/>
          <w:szCs w:val="20"/>
          <w:lang w:val="en-US"/>
        </w:rPr>
        <w:t xml:space="preserve"> </w:t>
      </w:r>
    </w:p>
    <w:p w:rsidR="008D4065" w:rsidRDefault="008D4065" w:rsidP="0011062F">
      <w:pPr>
        <w:jc w:val="both"/>
        <w:rPr>
          <w:rFonts w:ascii="Arial" w:hAnsi="Arial" w:cs="Arial"/>
          <w:lang w:val="en-US"/>
        </w:rPr>
      </w:pPr>
    </w:p>
    <w:p w:rsidR="001D48AD" w:rsidRPr="00A3070F" w:rsidRDefault="008D4065" w:rsidP="001D48AD">
      <w:pPr>
        <w:pStyle w:val="Prrafodelista"/>
        <w:numPr>
          <w:ilvl w:val="0"/>
          <w:numId w:val="10"/>
        </w:numPr>
        <w:autoSpaceDE w:val="0"/>
        <w:autoSpaceDN w:val="0"/>
        <w:adjustRightInd w:val="0"/>
        <w:ind w:left="0" w:firstLine="0"/>
        <w:rPr>
          <w:rFonts w:ascii="Arial" w:eastAsiaTheme="minorHAnsi" w:hAnsi="Arial" w:cs="Arial"/>
          <w:color w:val="000000"/>
          <w:sz w:val="20"/>
          <w:szCs w:val="20"/>
          <w:lang w:val="en-US" w:eastAsia="en-US"/>
        </w:rPr>
      </w:pPr>
      <w:r w:rsidRPr="00DD428E">
        <w:rPr>
          <w:rFonts w:ascii="Arial" w:eastAsiaTheme="minorHAnsi" w:hAnsi="Arial" w:cs="Arial"/>
          <w:bCs/>
          <w:color w:val="000000"/>
          <w:sz w:val="20"/>
          <w:szCs w:val="20"/>
          <w:lang w:val="en-US" w:eastAsia="en-US"/>
        </w:rPr>
        <w:t>Pulendran B. y Ahmed R.</w:t>
      </w:r>
      <w:r w:rsidRPr="00DD428E">
        <w:rPr>
          <w:rFonts w:ascii="Arial" w:eastAsiaTheme="minorHAnsi" w:hAnsi="Arial" w:cs="Arial"/>
          <w:color w:val="000000"/>
          <w:sz w:val="20"/>
          <w:szCs w:val="20"/>
          <w:lang w:val="en-US" w:eastAsia="en-US"/>
        </w:rPr>
        <w:t xml:space="preserve"> Immunological mechanisms of vaccination</w:t>
      </w:r>
      <w:r w:rsidR="00755678" w:rsidRPr="00DD428E">
        <w:rPr>
          <w:rFonts w:ascii="Arial" w:eastAsiaTheme="minorHAnsi" w:hAnsi="Arial" w:cs="Arial"/>
          <w:color w:val="000000"/>
          <w:sz w:val="20"/>
          <w:szCs w:val="20"/>
          <w:lang w:val="en-US" w:eastAsia="en-US"/>
        </w:rPr>
        <w:t xml:space="preserve">. </w:t>
      </w:r>
      <w:r w:rsidR="00755678" w:rsidRPr="00DD428E">
        <w:rPr>
          <w:rStyle w:val="A0"/>
          <w:rFonts w:ascii="Arial" w:hAnsi="Arial" w:cs="Arial"/>
          <w:bCs/>
          <w:sz w:val="20"/>
          <w:szCs w:val="20"/>
          <w:lang w:val="en-US"/>
        </w:rPr>
        <w:t>Nature immunology</w:t>
      </w:r>
      <w:r w:rsidR="00755678" w:rsidRPr="00DD428E">
        <w:rPr>
          <w:rStyle w:val="A0"/>
          <w:rFonts w:ascii="Arial" w:hAnsi="Arial" w:cs="Arial"/>
          <w:b/>
          <w:bCs/>
          <w:sz w:val="20"/>
          <w:szCs w:val="20"/>
          <w:lang w:val="en-US"/>
        </w:rPr>
        <w:t xml:space="preserve">. </w:t>
      </w:r>
      <w:r w:rsidR="00755678" w:rsidRPr="00DD428E">
        <w:rPr>
          <w:rStyle w:val="A0"/>
          <w:rFonts w:ascii="Arial" w:hAnsi="Arial" w:cs="Arial"/>
          <w:bCs/>
          <w:sz w:val="20"/>
          <w:szCs w:val="20"/>
          <w:lang w:val="en-US"/>
        </w:rPr>
        <w:t>(2011),</w:t>
      </w:r>
      <w:r w:rsidR="00755678" w:rsidRPr="00DD428E">
        <w:rPr>
          <w:rStyle w:val="A0"/>
          <w:rFonts w:ascii="Arial" w:hAnsi="Arial" w:cs="Arial"/>
          <w:sz w:val="20"/>
          <w:szCs w:val="20"/>
          <w:lang w:val="en-US"/>
        </w:rPr>
        <w:t xml:space="preserve"> 12(6):509-517.</w:t>
      </w:r>
      <w:r w:rsidR="001D48AD" w:rsidRPr="00DD428E">
        <w:rPr>
          <w:rStyle w:val="A0"/>
          <w:rFonts w:ascii="Arial" w:hAnsi="Arial" w:cs="Arial"/>
          <w:sz w:val="20"/>
          <w:szCs w:val="20"/>
          <w:lang w:val="en-US"/>
        </w:rPr>
        <w:t xml:space="preserve"> </w:t>
      </w:r>
    </w:p>
    <w:p w:rsidR="001D48AD" w:rsidRPr="00DD428E" w:rsidRDefault="00355982" w:rsidP="001D48AD">
      <w:pPr>
        <w:pStyle w:val="Prrafodelista"/>
        <w:numPr>
          <w:ilvl w:val="0"/>
          <w:numId w:val="10"/>
        </w:numPr>
        <w:autoSpaceDE w:val="0"/>
        <w:autoSpaceDN w:val="0"/>
        <w:adjustRightInd w:val="0"/>
        <w:ind w:left="0" w:firstLine="0"/>
        <w:jc w:val="both"/>
        <w:rPr>
          <w:rFonts w:ascii="Arial" w:eastAsiaTheme="minorHAnsi" w:hAnsi="Arial" w:cs="Arial"/>
          <w:sz w:val="20"/>
          <w:szCs w:val="20"/>
          <w:lang w:val="en-US" w:eastAsia="en-US"/>
        </w:rPr>
      </w:pPr>
      <w:r w:rsidRPr="00DD428E">
        <w:rPr>
          <w:rFonts w:ascii="Arial" w:eastAsiaTheme="minorHAnsi" w:hAnsi="Arial" w:cs="Arial"/>
          <w:sz w:val="20"/>
          <w:szCs w:val="20"/>
          <w:lang w:val="en-US" w:eastAsia="en-US"/>
        </w:rPr>
        <w:t>Chapel H. y Cunningham-Rundles Ch.</w:t>
      </w:r>
      <w:r w:rsidR="001D48AD" w:rsidRPr="00DD428E">
        <w:rPr>
          <w:rFonts w:ascii="Arial" w:eastAsiaTheme="minorHAnsi" w:hAnsi="Arial" w:cs="Arial"/>
          <w:sz w:val="20"/>
          <w:szCs w:val="20"/>
          <w:lang w:val="en-US" w:eastAsia="en-US"/>
        </w:rPr>
        <w:t xml:space="preserve">  Update in understanding common variable immunodeficiency disorders (CVIDs) and the management of patients with</w:t>
      </w:r>
    </w:p>
    <w:p w:rsidR="001D48AD" w:rsidRPr="00DD428E" w:rsidRDefault="001D48AD" w:rsidP="001D48AD">
      <w:pPr>
        <w:pStyle w:val="Prrafodelista"/>
        <w:autoSpaceDE w:val="0"/>
        <w:autoSpaceDN w:val="0"/>
        <w:adjustRightInd w:val="0"/>
        <w:ind w:left="0"/>
        <w:jc w:val="both"/>
        <w:rPr>
          <w:rFonts w:ascii="Arial" w:eastAsiaTheme="minorHAnsi" w:hAnsi="Arial" w:cs="Arial"/>
          <w:sz w:val="20"/>
          <w:szCs w:val="20"/>
          <w:lang w:val="en-US" w:eastAsia="en-US"/>
        </w:rPr>
      </w:pPr>
      <w:r w:rsidRPr="00DD428E">
        <w:rPr>
          <w:rFonts w:ascii="Arial" w:eastAsiaTheme="minorHAnsi" w:hAnsi="Arial" w:cs="Arial"/>
          <w:sz w:val="20"/>
          <w:szCs w:val="20"/>
          <w:lang w:val="en-US" w:eastAsia="en-US"/>
        </w:rPr>
        <w:t>these conditions. British Journal of Haematology, (2009). 145, 709–727.</w:t>
      </w:r>
    </w:p>
    <w:p w:rsidR="0023741E" w:rsidRPr="00A3070F" w:rsidRDefault="00A2625C" w:rsidP="0023741E">
      <w:pPr>
        <w:pStyle w:val="Prrafodelista"/>
        <w:numPr>
          <w:ilvl w:val="0"/>
          <w:numId w:val="10"/>
        </w:numPr>
        <w:ind w:left="0" w:firstLine="0"/>
        <w:jc w:val="both"/>
        <w:rPr>
          <w:rFonts w:ascii="Arial" w:eastAsiaTheme="minorHAnsi" w:hAnsi="Arial" w:cs="Arial"/>
          <w:sz w:val="20"/>
          <w:szCs w:val="20"/>
          <w:lang w:val="en-US" w:eastAsia="en-US"/>
        </w:rPr>
      </w:pPr>
      <w:r w:rsidRPr="00DD428E">
        <w:rPr>
          <w:rFonts w:ascii="Arial" w:eastAsiaTheme="minorHAnsi" w:hAnsi="Arial" w:cs="Arial"/>
          <w:sz w:val="20"/>
          <w:szCs w:val="20"/>
          <w:lang w:val="en-US" w:eastAsia="en-US"/>
        </w:rPr>
        <w:t xml:space="preserve">Weiler C., y Bankers-Fulbright C., Common Variable Immunodeficiency:Test Indications and Interpretations. </w:t>
      </w:r>
      <w:r w:rsidRPr="00DD428E">
        <w:rPr>
          <w:rFonts w:ascii="Arial" w:eastAsiaTheme="minorHAnsi" w:hAnsi="Arial" w:cs="Arial"/>
          <w:i/>
          <w:sz w:val="20"/>
          <w:szCs w:val="20"/>
          <w:lang w:val="en-US" w:eastAsia="en-US"/>
        </w:rPr>
        <w:t>Mayo Clinic Proceedings</w:t>
      </w:r>
      <w:r w:rsidRPr="00DD428E">
        <w:rPr>
          <w:rFonts w:ascii="Arial" w:eastAsiaTheme="minorHAnsi" w:hAnsi="Arial" w:cs="Arial"/>
          <w:sz w:val="20"/>
          <w:szCs w:val="20"/>
          <w:lang w:val="en-US" w:eastAsia="en-US"/>
        </w:rPr>
        <w:t>.  (</w:t>
      </w:r>
      <w:r w:rsidRPr="00DD428E">
        <w:rPr>
          <w:rFonts w:ascii="Arial" w:eastAsiaTheme="minorHAnsi" w:hAnsi="Arial" w:cs="Arial"/>
          <w:iCs/>
          <w:sz w:val="20"/>
          <w:szCs w:val="20"/>
          <w:lang w:val="en-US" w:eastAsia="en-US"/>
        </w:rPr>
        <w:t>2005). 80(9):1187-1200.</w:t>
      </w:r>
    </w:p>
    <w:p w:rsidR="0011062F" w:rsidRPr="00A3070F" w:rsidRDefault="0023741E" w:rsidP="0011062F">
      <w:pPr>
        <w:pStyle w:val="Prrafodelista"/>
        <w:numPr>
          <w:ilvl w:val="0"/>
          <w:numId w:val="10"/>
        </w:numPr>
        <w:ind w:left="0" w:firstLine="0"/>
        <w:jc w:val="both"/>
        <w:rPr>
          <w:rFonts w:ascii="Arial" w:eastAsiaTheme="minorHAnsi" w:hAnsi="Arial" w:cs="Arial"/>
          <w:sz w:val="20"/>
          <w:szCs w:val="20"/>
          <w:lang w:val="es-VE" w:eastAsia="en-US"/>
        </w:rPr>
      </w:pPr>
      <w:r w:rsidRPr="00DD428E">
        <w:rPr>
          <w:rFonts w:ascii="Arial" w:eastAsiaTheme="minorHAnsi" w:hAnsi="Arial" w:cs="Arial"/>
          <w:sz w:val="20"/>
          <w:szCs w:val="20"/>
          <w:lang w:val="es-VE" w:eastAsia="en-US"/>
        </w:rPr>
        <w:t>Orden SAS/3470/2009, de 16 de diciembre, directrices sobre estudios posautorización de tipo observacional de uso humano. (BOE núm. 310, 25 de diciembre, AEMPS).</w:t>
      </w:r>
    </w:p>
    <w:p w:rsidR="0011062F" w:rsidRPr="00A3070F" w:rsidRDefault="0011062F" w:rsidP="00A3070F">
      <w:pPr>
        <w:pStyle w:val="Default"/>
        <w:numPr>
          <w:ilvl w:val="0"/>
          <w:numId w:val="10"/>
        </w:numPr>
        <w:ind w:left="0" w:firstLine="0"/>
        <w:rPr>
          <w:sz w:val="20"/>
          <w:szCs w:val="20"/>
          <w:lang w:val="en-US"/>
        </w:rPr>
      </w:pPr>
      <w:r w:rsidRPr="00DD428E">
        <w:rPr>
          <w:sz w:val="20"/>
          <w:szCs w:val="20"/>
          <w:lang w:val="en-US"/>
        </w:rPr>
        <w:t>Raffatellu</w:t>
      </w:r>
      <w:r w:rsidRPr="00DD428E">
        <w:rPr>
          <w:bCs/>
          <w:sz w:val="20"/>
          <w:szCs w:val="20"/>
          <w:lang w:val="en-US"/>
        </w:rPr>
        <w:t xml:space="preserve"> M., </w:t>
      </w:r>
      <w:r w:rsidRPr="00DD428E">
        <w:rPr>
          <w:sz w:val="20"/>
          <w:szCs w:val="20"/>
          <w:lang w:val="en-US"/>
        </w:rPr>
        <w:t>Wilson</w:t>
      </w:r>
      <w:r w:rsidRPr="00DD428E">
        <w:rPr>
          <w:bCs/>
          <w:sz w:val="20"/>
          <w:szCs w:val="20"/>
          <w:lang w:val="en-US"/>
        </w:rPr>
        <w:t xml:space="preserve"> R., </w:t>
      </w:r>
      <w:r w:rsidRPr="00DD428E">
        <w:rPr>
          <w:sz w:val="20"/>
          <w:szCs w:val="20"/>
          <w:lang w:val="en-US"/>
        </w:rPr>
        <w:t>Sebastian</w:t>
      </w:r>
      <w:r w:rsidRPr="00DD428E">
        <w:rPr>
          <w:bCs/>
          <w:sz w:val="20"/>
          <w:szCs w:val="20"/>
          <w:lang w:val="en-US"/>
        </w:rPr>
        <w:t xml:space="preserve"> W. y </w:t>
      </w:r>
      <w:r w:rsidRPr="00DD428E">
        <w:rPr>
          <w:sz w:val="20"/>
          <w:szCs w:val="20"/>
          <w:lang w:val="en-US"/>
        </w:rPr>
        <w:t>Andreas</w:t>
      </w:r>
      <w:r w:rsidRPr="00DD428E">
        <w:rPr>
          <w:bCs/>
          <w:sz w:val="20"/>
          <w:szCs w:val="20"/>
          <w:lang w:val="en-US"/>
        </w:rPr>
        <w:t xml:space="preserve"> B. Clinical pathogenesis of typhoid fever. </w:t>
      </w:r>
      <w:r w:rsidRPr="00DD428E">
        <w:rPr>
          <w:i/>
          <w:iCs/>
          <w:sz w:val="20"/>
          <w:szCs w:val="20"/>
          <w:lang w:val="en-US"/>
        </w:rPr>
        <w:t xml:space="preserve">J Infect Developing Countries. </w:t>
      </w:r>
      <w:r w:rsidRPr="00DD428E">
        <w:rPr>
          <w:iCs/>
          <w:sz w:val="20"/>
          <w:szCs w:val="20"/>
          <w:lang w:val="en-US"/>
        </w:rPr>
        <w:t>(</w:t>
      </w:r>
      <w:r w:rsidRPr="00DD428E">
        <w:rPr>
          <w:sz w:val="20"/>
          <w:szCs w:val="20"/>
          <w:lang w:val="en-US"/>
        </w:rPr>
        <w:t>20</w:t>
      </w:r>
      <w:r w:rsidRPr="00DD428E">
        <w:rPr>
          <w:sz w:val="20"/>
          <w:szCs w:val="20"/>
        </w:rPr>
        <w:t>08), 2(4):260-266.</w:t>
      </w:r>
    </w:p>
    <w:p w:rsidR="0011062F" w:rsidRPr="00A3070F" w:rsidRDefault="0011062F" w:rsidP="0011062F">
      <w:pPr>
        <w:pStyle w:val="Prrafodelista"/>
        <w:numPr>
          <w:ilvl w:val="0"/>
          <w:numId w:val="10"/>
        </w:numPr>
        <w:autoSpaceDE w:val="0"/>
        <w:autoSpaceDN w:val="0"/>
        <w:adjustRightInd w:val="0"/>
        <w:ind w:left="0" w:firstLine="0"/>
        <w:jc w:val="both"/>
        <w:rPr>
          <w:rFonts w:ascii="Arial" w:eastAsiaTheme="minorHAnsi" w:hAnsi="Arial" w:cs="Arial"/>
          <w:bCs/>
          <w:sz w:val="20"/>
          <w:szCs w:val="20"/>
          <w:lang w:val="es-VE" w:eastAsia="en-US"/>
        </w:rPr>
      </w:pPr>
      <w:r w:rsidRPr="00DD428E">
        <w:rPr>
          <w:rFonts w:ascii="Arial" w:eastAsiaTheme="minorHAnsi" w:hAnsi="Arial" w:cs="Arial"/>
          <w:sz w:val="20"/>
          <w:szCs w:val="20"/>
          <w:lang w:val="en-US" w:eastAsia="en-US"/>
        </w:rPr>
        <w:t xml:space="preserve">World Health Organization. </w:t>
      </w:r>
      <w:r w:rsidRPr="00DD428E">
        <w:rPr>
          <w:rFonts w:ascii="Arial" w:eastAsiaTheme="minorHAnsi" w:hAnsi="Arial" w:cs="Arial"/>
          <w:bCs/>
          <w:sz w:val="20"/>
          <w:szCs w:val="20"/>
          <w:lang w:val="en-US" w:eastAsia="en-US"/>
        </w:rPr>
        <w:t xml:space="preserve">Typhoid vaccines: WHO position paper. </w:t>
      </w:r>
      <w:r w:rsidRPr="00DD428E">
        <w:rPr>
          <w:rFonts w:ascii="Arial" w:eastAsiaTheme="minorHAnsi" w:hAnsi="Arial" w:cs="Arial"/>
          <w:sz w:val="20"/>
          <w:szCs w:val="20"/>
          <w:lang w:val="es-VE" w:eastAsia="en-US"/>
        </w:rPr>
        <w:t xml:space="preserve">Weekly epidemiological record. (2008). 83 (6):49–60.  Disponible en </w:t>
      </w:r>
      <w:hyperlink r:id="rId16" w:history="1">
        <w:r w:rsidRPr="00DD428E">
          <w:rPr>
            <w:rStyle w:val="Hipervnculo"/>
            <w:rFonts w:ascii="Arial" w:eastAsiaTheme="minorHAnsi" w:hAnsi="Arial" w:cs="Arial"/>
            <w:bCs/>
            <w:color w:val="auto"/>
            <w:sz w:val="20"/>
            <w:szCs w:val="20"/>
            <w:u w:val="none"/>
            <w:lang w:val="es-VE" w:eastAsia="en-US"/>
          </w:rPr>
          <w:t>http://www.who.int/wer</w:t>
        </w:r>
      </w:hyperlink>
      <w:r w:rsidRPr="00DD428E">
        <w:rPr>
          <w:rFonts w:ascii="Arial" w:eastAsiaTheme="minorHAnsi" w:hAnsi="Arial" w:cs="Arial"/>
          <w:bCs/>
          <w:sz w:val="20"/>
          <w:szCs w:val="20"/>
          <w:lang w:val="es-VE" w:eastAsia="en-US"/>
        </w:rPr>
        <w:t>.</w:t>
      </w:r>
    </w:p>
    <w:p w:rsidR="00AF4A59" w:rsidRPr="00A3070F" w:rsidRDefault="00AF4A59" w:rsidP="00AF4A59">
      <w:pPr>
        <w:pStyle w:val="Prrafodelista"/>
        <w:numPr>
          <w:ilvl w:val="0"/>
          <w:numId w:val="10"/>
        </w:numPr>
        <w:autoSpaceDE w:val="0"/>
        <w:autoSpaceDN w:val="0"/>
        <w:adjustRightInd w:val="0"/>
        <w:ind w:left="0" w:firstLine="0"/>
        <w:jc w:val="both"/>
        <w:rPr>
          <w:rFonts w:ascii="Arial" w:eastAsiaTheme="minorHAnsi" w:hAnsi="Arial" w:cs="Arial"/>
          <w:iCs/>
          <w:sz w:val="20"/>
          <w:szCs w:val="20"/>
          <w:lang w:val="es-VE" w:eastAsia="en-US"/>
        </w:rPr>
      </w:pPr>
      <w:r w:rsidRPr="00DD428E">
        <w:rPr>
          <w:rFonts w:ascii="Arial" w:eastAsiaTheme="minorHAnsi" w:hAnsi="Arial" w:cs="Arial"/>
          <w:iCs/>
          <w:sz w:val="20"/>
          <w:szCs w:val="20"/>
          <w:lang w:val="es-VE" w:eastAsia="en-US"/>
        </w:rPr>
        <w:t xml:space="preserve">Grupo de Trabajo de Inmunología Pediátrica, Comité Nacional de Infectología </w:t>
      </w:r>
      <w:r w:rsidRPr="00DD428E">
        <w:rPr>
          <w:rFonts w:ascii="Arial" w:eastAsiaTheme="minorHAnsi" w:hAnsi="Arial" w:cs="Arial"/>
          <w:sz w:val="20"/>
          <w:szCs w:val="20"/>
          <w:lang w:val="es-VE" w:eastAsia="en-US"/>
        </w:rPr>
        <w:t xml:space="preserve"> </w:t>
      </w:r>
      <w:r w:rsidRPr="00DD428E">
        <w:rPr>
          <w:rFonts w:ascii="Arial" w:eastAsiaTheme="minorHAnsi" w:hAnsi="Arial" w:cs="Arial"/>
          <w:iCs/>
          <w:sz w:val="20"/>
          <w:szCs w:val="20"/>
          <w:lang w:val="es-VE" w:eastAsia="en-US"/>
        </w:rPr>
        <w:t>y Subcomisión de Epidemiología</w:t>
      </w:r>
      <w:r w:rsidRPr="00DD428E">
        <w:rPr>
          <w:rFonts w:ascii="Arial" w:eastAsiaTheme="minorHAnsi" w:hAnsi="Arial" w:cs="Arial"/>
          <w:sz w:val="20"/>
          <w:szCs w:val="20"/>
          <w:lang w:val="es-VE" w:eastAsia="en-US"/>
        </w:rPr>
        <w:t xml:space="preserve">.  </w:t>
      </w:r>
      <w:r w:rsidRPr="00DD428E">
        <w:rPr>
          <w:rFonts w:ascii="Arial" w:eastAsiaTheme="minorHAnsi" w:hAnsi="Arial" w:cs="Arial"/>
          <w:bCs/>
          <w:sz w:val="20"/>
          <w:szCs w:val="20"/>
          <w:lang w:val="es-VE" w:eastAsia="en-US"/>
        </w:rPr>
        <w:t xml:space="preserve">Guías de manejo: vacunas en pacientes con inmunodeficiencias primarias. </w:t>
      </w:r>
      <w:r w:rsidRPr="00DD428E">
        <w:rPr>
          <w:rFonts w:ascii="Arial" w:eastAsiaTheme="minorHAnsi" w:hAnsi="Arial" w:cs="Arial"/>
          <w:i/>
          <w:sz w:val="20"/>
          <w:szCs w:val="20"/>
          <w:lang w:val="es-VE" w:eastAsia="en-US"/>
        </w:rPr>
        <w:t>Archivos Argentinos de Pediatría</w:t>
      </w:r>
      <w:r w:rsidRPr="00DD428E">
        <w:rPr>
          <w:rFonts w:ascii="Arial" w:eastAsiaTheme="minorHAnsi" w:hAnsi="Arial" w:cs="Arial"/>
          <w:sz w:val="20"/>
          <w:szCs w:val="20"/>
          <w:lang w:val="es-VE" w:eastAsia="en-US"/>
        </w:rPr>
        <w:t>. 2010;108(5):454-464.</w:t>
      </w:r>
    </w:p>
    <w:p w:rsidR="0011062F" w:rsidRPr="00A3070F" w:rsidRDefault="0011062F" w:rsidP="0011062F">
      <w:pPr>
        <w:pStyle w:val="Prrafodelista"/>
        <w:numPr>
          <w:ilvl w:val="0"/>
          <w:numId w:val="10"/>
        </w:numPr>
        <w:autoSpaceDE w:val="0"/>
        <w:autoSpaceDN w:val="0"/>
        <w:adjustRightInd w:val="0"/>
        <w:ind w:left="0" w:firstLine="0"/>
        <w:jc w:val="both"/>
        <w:rPr>
          <w:rFonts w:ascii="Arial" w:eastAsiaTheme="minorHAnsi" w:hAnsi="Arial" w:cs="Arial"/>
          <w:bCs/>
          <w:sz w:val="20"/>
          <w:szCs w:val="20"/>
          <w:lang w:val="es-VE" w:eastAsia="en-US"/>
        </w:rPr>
      </w:pPr>
      <w:r w:rsidRPr="00DD428E">
        <w:rPr>
          <w:rFonts w:ascii="Arial" w:eastAsiaTheme="minorHAnsi" w:hAnsi="Arial" w:cs="Arial"/>
          <w:bCs/>
          <w:sz w:val="20"/>
          <w:szCs w:val="20"/>
          <w:lang w:val="es-VE" w:eastAsia="en-US"/>
        </w:rPr>
        <w:t xml:space="preserve">Notarangelo L., </w:t>
      </w:r>
      <w:hyperlink r:id="rId17" w:history="1">
        <w:r w:rsidRPr="00DD428E">
          <w:rPr>
            <w:rStyle w:val="Hipervnculo"/>
            <w:rFonts w:ascii="Arial" w:hAnsi="Arial" w:cs="Arial"/>
            <w:color w:val="auto"/>
            <w:sz w:val="20"/>
            <w:szCs w:val="20"/>
            <w:u w:val="none"/>
            <w:lang w:val="es-VE"/>
          </w:rPr>
          <w:t>Fischer A</w:t>
        </w:r>
      </w:hyperlink>
      <w:r w:rsidRPr="00DD428E">
        <w:rPr>
          <w:rFonts w:ascii="Arial" w:hAnsi="Arial" w:cs="Arial"/>
          <w:sz w:val="20"/>
          <w:szCs w:val="20"/>
        </w:rPr>
        <w:t xml:space="preserve">., Geha R., Casanova J., </w:t>
      </w:r>
      <w:hyperlink r:id="rId18" w:history="1">
        <w:r w:rsidRPr="00DD428E">
          <w:rPr>
            <w:rStyle w:val="Hipervnculo"/>
            <w:rFonts w:ascii="Arial" w:hAnsi="Arial" w:cs="Arial"/>
            <w:color w:val="auto"/>
            <w:sz w:val="20"/>
            <w:szCs w:val="20"/>
            <w:u w:val="none"/>
            <w:lang w:val="es-VE"/>
          </w:rPr>
          <w:t>Chapel H</w:t>
        </w:r>
      </w:hyperlink>
      <w:r w:rsidRPr="00DD428E">
        <w:rPr>
          <w:rFonts w:ascii="Arial" w:hAnsi="Arial" w:cs="Arial"/>
          <w:sz w:val="20"/>
          <w:szCs w:val="20"/>
        </w:rPr>
        <w:t xml:space="preserve">., Conley M., </w:t>
      </w:r>
      <w:hyperlink r:id="rId19" w:history="1">
        <w:r w:rsidRPr="00DD428E">
          <w:rPr>
            <w:rStyle w:val="Hipervnculo"/>
            <w:rFonts w:ascii="Arial" w:hAnsi="Arial" w:cs="Arial"/>
            <w:color w:val="auto"/>
            <w:sz w:val="20"/>
            <w:szCs w:val="20"/>
            <w:u w:val="none"/>
            <w:lang w:val="es-VE"/>
          </w:rPr>
          <w:t>Cunningham-Rundles C</w:t>
        </w:r>
      </w:hyperlink>
      <w:r w:rsidRPr="00DD428E">
        <w:rPr>
          <w:rFonts w:ascii="Arial" w:hAnsi="Arial" w:cs="Arial"/>
          <w:sz w:val="20"/>
          <w:szCs w:val="20"/>
        </w:rPr>
        <w:t xml:space="preserve">., </w:t>
      </w:r>
      <w:hyperlink r:id="rId20" w:history="1">
        <w:r w:rsidRPr="00DD428E">
          <w:rPr>
            <w:rStyle w:val="Hipervnculo"/>
            <w:rFonts w:ascii="Arial" w:hAnsi="Arial" w:cs="Arial"/>
            <w:color w:val="auto"/>
            <w:sz w:val="20"/>
            <w:szCs w:val="20"/>
            <w:u w:val="none"/>
            <w:lang w:val="es-VE"/>
          </w:rPr>
          <w:t>Etzioni A</w:t>
        </w:r>
      </w:hyperlink>
      <w:r w:rsidRPr="00DD428E">
        <w:rPr>
          <w:rFonts w:ascii="Arial" w:hAnsi="Arial" w:cs="Arial"/>
          <w:sz w:val="20"/>
          <w:szCs w:val="20"/>
        </w:rPr>
        <w:t xml:space="preserve">., </w:t>
      </w:r>
      <w:hyperlink r:id="rId21" w:history="1">
        <w:r w:rsidRPr="00DD428E">
          <w:rPr>
            <w:rStyle w:val="Hipervnculo"/>
            <w:rFonts w:ascii="Arial" w:hAnsi="Arial" w:cs="Arial"/>
            <w:color w:val="auto"/>
            <w:sz w:val="20"/>
            <w:szCs w:val="20"/>
            <w:u w:val="none"/>
            <w:lang w:val="es-VE"/>
          </w:rPr>
          <w:t>Hammartröm L</w:t>
        </w:r>
      </w:hyperlink>
      <w:r w:rsidRPr="00DD428E">
        <w:rPr>
          <w:rFonts w:ascii="Arial" w:hAnsi="Arial" w:cs="Arial"/>
          <w:sz w:val="20"/>
          <w:szCs w:val="20"/>
        </w:rPr>
        <w:t xml:space="preserve">., </w:t>
      </w:r>
      <w:hyperlink r:id="rId22" w:history="1">
        <w:r w:rsidRPr="00DD428E">
          <w:rPr>
            <w:rStyle w:val="Hipervnculo"/>
            <w:rFonts w:ascii="Arial" w:hAnsi="Arial" w:cs="Arial"/>
            <w:color w:val="auto"/>
            <w:sz w:val="20"/>
            <w:szCs w:val="20"/>
            <w:u w:val="none"/>
            <w:lang w:val="es-VE"/>
          </w:rPr>
          <w:t>Nonoyama S</w:t>
        </w:r>
      </w:hyperlink>
      <w:r w:rsidRPr="00DD428E">
        <w:rPr>
          <w:rFonts w:ascii="Arial" w:hAnsi="Arial" w:cs="Arial"/>
          <w:sz w:val="20"/>
          <w:szCs w:val="20"/>
        </w:rPr>
        <w:t xml:space="preserve">., Ochs H., </w:t>
      </w:r>
      <w:hyperlink r:id="rId23" w:history="1">
        <w:r w:rsidRPr="00DD428E">
          <w:rPr>
            <w:rStyle w:val="Hipervnculo"/>
            <w:rFonts w:ascii="Arial" w:hAnsi="Arial" w:cs="Arial"/>
            <w:color w:val="auto"/>
            <w:sz w:val="20"/>
            <w:szCs w:val="20"/>
            <w:u w:val="none"/>
            <w:lang w:val="es-VE"/>
          </w:rPr>
          <w:t>Puck J</w:t>
        </w:r>
      </w:hyperlink>
      <w:r w:rsidRPr="00DD428E">
        <w:rPr>
          <w:rFonts w:ascii="Arial" w:hAnsi="Arial" w:cs="Arial"/>
          <w:sz w:val="20"/>
          <w:szCs w:val="20"/>
        </w:rPr>
        <w:t xml:space="preserve">., </w:t>
      </w:r>
      <w:hyperlink r:id="rId24" w:history="1">
        <w:r w:rsidRPr="00DD428E">
          <w:rPr>
            <w:rStyle w:val="Hipervnculo"/>
            <w:rFonts w:ascii="Arial" w:hAnsi="Arial" w:cs="Arial"/>
            <w:color w:val="auto"/>
            <w:sz w:val="20"/>
            <w:szCs w:val="20"/>
            <w:u w:val="none"/>
            <w:lang w:val="es-VE"/>
          </w:rPr>
          <w:t>Roifman C</w:t>
        </w:r>
      </w:hyperlink>
      <w:r w:rsidRPr="00DD428E">
        <w:rPr>
          <w:rFonts w:ascii="Arial" w:hAnsi="Arial" w:cs="Arial"/>
          <w:sz w:val="20"/>
          <w:szCs w:val="20"/>
        </w:rPr>
        <w:t xml:space="preserve">., </w:t>
      </w:r>
      <w:hyperlink r:id="rId25" w:history="1">
        <w:r w:rsidRPr="00DD428E">
          <w:rPr>
            <w:rStyle w:val="Hipervnculo"/>
            <w:rFonts w:ascii="Arial" w:hAnsi="Arial" w:cs="Arial"/>
            <w:color w:val="auto"/>
            <w:sz w:val="20"/>
            <w:szCs w:val="20"/>
            <w:u w:val="none"/>
            <w:lang w:val="es-VE"/>
          </w:rPr>
          <w:t>Seger R</w:t>
        </w:r>
      </w:hyperlink>
      <w:r w:rsidRPr="00DD428E">
        <w:rPr>
          <w:rFonts w:ascii="Arial" w:hAnsi="Arial" w:cs="Arial"/>
          <w:sz w:val="20"/>
          <w:szCs w:val="20"/>
        </w:rPr>
        <w:t xml:space="preserve">. y </w:t>
      </w:r>
      <w:hyperlink r:id="rId26" w:history="1">
        <w:r w:rsidRPr="00DD428E">
          <w:rPr>
            <w:rStyle w:val="Hipervnculo"/>
            <w:rFonts w:ascii="Arial" w:hAnsi="Arial" w:cs="Arial"/>
            <w:color w:val="auto"/>
            <w:sz w:val="20"/>
            <w:szCs w:val="20"/>
            <w:u w:val="none"/>
            <w:lang w:val="es-VE"/>
          </w:rPr>
          <w:t>Wedgwood J</w:t>
        </w:r>
      </w:hyperlink>
      <w:r w:rsidRPr="00DD428E">
        <w:rPr>
          <w:rFonts w:ascii="Arial" w:hAnsi="Arial" w:cs="Arial"/>
          <w:sz w:val="20"/>
          <w:szCs w:val="20"/>
          <w:lang w:val="es-VE"/>
        </w:rPr>
        <w:t xml:space="preserve">. Primary immunodeficiencies: 2009 update. </w:t>
      </w:r>
      <w:hyperlink r:id="rId27" w:tooltip="The Journal of allergy and clinical immunology." w:history="1">
        <w:r w:rsidRPr="00DD428E">
          <w:rPr>
            <w:rStyle w:val="Hipervnculo"/>
            <w:rFonts w:ascii="Arial" w:hAnsi="Arial" w:cs="Arial"/>
            <w:color w:val="auto"/>
            <w:sz w:val="20"/>
            <w:szCs w:val="20"/>
            <w:u w:val="none"/>
            <w:lang w:val="es-VE"/>
          </w:rPr>
          <w:t>J Allergy Clin Immunol.</w:t>
        </w:r>
      </w:hyperlink>
      <w:r w:rsidRPr="00DD428E">
        <w:rPr>
          <w:rFonts w:ascii="Arial" w:hAnsi="Arial" w:cs="Arial"/>
          <w:sz w:val="20"/>
          <w:szCs w:val="20"/>
          <w:lang w:val="es-VE"/>
        </w:rPr>
        <w:t xml:space="preserve"> 2009 Dec;124(6):1161-78.</w:t>
      </w:r>
    </w:p>
    <w:p w:rsidR="00900378" w:rsidRPr="00A3070F" w:rsidRDefault="00900378" w:rsidP="00900378">
      <w:pPr>
        <w:pStyle w:val="Prrafodelista"/>
        <w:numPr>
          <w:ilvl w:val="0"/>
          <w:numId w:val="10"/>
        </w:numPr>
        <w:autoSpaceDE w:val="0"/>
        <w:autoSpaceDN w:val="0"/>
        <w:adjustRightInd w:val="0"/>
        <w:ind w:left="0" w:firstLine="0"/>
        <w:jc w:val="both"/>
        <w:rPr>
          <w:rFonts w:ascii="Arial" w:eastAsiaTheme="minorHAnsi" w:hAnsi="Arial" w:cs="Arial"/>
          <w:sz w:val="20"/>
          <w:szCs w:val="20"/>
          <w:lang w:val="en-US" w:eastAsia="en-US"/>
        </w:rPr>
      </w:pPr>
      <w:r w:rsidRPr="00DD428E">
        <w:rPr>
          <w:rFonts w:ascii="Arial" w:eastAsiaTheme="minorHAnsi" w:hAnsi="Arial" w:cs="Arial"/>
          <w:bCs/>
          <w:color w:val="000000"/>
          <w:sz w:val="20"/>
          <w:szCs w:val="20"/>
          <w:lang w:val="es-VE" w:eastAsia="en-US"/>
        </w:rPr>
        <w:t>Martín-Nalda A., Soler-</w:t>
      </w:r>
      <w:r w:rsidRPr="00DD428E">
        <w:rPr>
          <w:rFonts w:ascii="Arial" w:eastAsiaTheme="minorHAnsi" w:hAnsi="Arial" w:cs="Arial"/>
          <w:bCs/>
          <w:sz w:val="20"/>
          <w:szCs w:val="20"/>
          <w:lang w:val="es-VE" w:eastAsia="en-US"/>
        </w:rPr>
        <w:t>Palacín P., Borén I., Caragol Urgelles C., Díaz de Heredia C. y  Figueras Nadal C.  Espectro de las</w:t>
      </w:r>
      <w:r w:rsidRPr="00DD428E">
        <w:rPr>
          <w:rFonts w:ascii="Arial" w:eastAsiaTheme="minorHAnsi" w:hAnsi="Arial" w:cs="Arial"/>
          <w:bCs/>
          <w:color w:val="000000"/>
          <w:sz w:val="20"/>
          <w:szCs w:val="20"/>
          <w:lang w:val="es-VE" w:eastAsia="en-US"/>
        </w:rPr>
        <w:t xml:space="preserve"> inmunodeficiencias primarias en un hospital de tercer nivel en un periodo de 10 años</w:t>
      </w:r>
      <w:r w:rsidRPr="00DD428E">
        <w:rPr>
          <w:rFonts w:ascii="Arial" w:eastAsiaTheme="minorHAnsi" w:hAnsi="Arial" w:cs="Arial"/>
          <w:bCs/>
          <w:sz w:val="20"/>
          <w:szCs w:val="20"/>
          <w:lang w:val="es-VE" w:eastAsia="en-US"/>
        </w:rPr>
        <w:t xml:space="preserve">. </w:t>
      </w:r>
      <w:r w:rsidRPr="00DD428E">
        <w:rPr>
          <w:rFonts w:ascii="Arial" w:eastAsiaTheme="minorHAnsi" w:hAnsi="Arial" w:cs="Arial"/>
          <w:i/>
          <w:sz w:val="20"/>
          <w:szCs w:val="20"/>
          <w:lang w:val="es-VE" w:eastAsia="en-US"/>
        </w:rPr>
        <w:t>Annales de Pediatría</w:t>
      </w:r>
      <w:r w:rsidRPr="00DD428E">
        <w:rPr>
          <w:rFonts w:ascii="Arial" w:eastAsiaTheme="minorHAnsi" w:hAnsi="Arial" w:cs="Arial"/>
          <w:sz w:val="20"/>
          <w:szCs w:val="20"/>
          <w:lang w:val="es-VE" w:eastAsia="en-US"/>
        </w:rPr>
        <w:t xml:space="preserve">. (2011). </w:t>
      </w:r>
      <w:r w:rsidRPr="00DD428E">
        <w:rPr>
          <w:rFonts w:ascii="Arial" w:eastAsiaTheme="minorHAnsi" w:hAnsi="Arial" w:cs="Arial"/>
          <w:bCs/>
          <w:sz w:val="20"/>
          <w:szCs w:val="20"/>
          <w:lang w:val="es-VE" w:eastAsia="en-US"/>
        </w:rPr>
        <w:t>74 (2)</w:t>
      </w:r>
      <w:r w:rsidRPr="00DD428E">
        <w:rPr>
          <w:rFonts w:ascii="Arial" w:eastAsiaTheme="minorHAnsi" w:hAnsi="Arial" w:cs="Arial"/>
          <w:sz w:val="20"/>
          <w:szCs w:val="20"/>
          <w:lang w:val="es-VE" w:eastAsia="en-US"/>
        </w:rPr>
        <w:t>:74-83.</w:t>
      </w:r>
    </w:p>
    <w:p w:rsidR="002B7984" w:rsidRPr="00A3070F" w:rsidRDefault="002B7984" w:rsidP="002B7984">
      <w:pPr>
        <w:pStyle w:val="Prrafodelista"/>
        <w:numPr>
          <w:ilvl w:val="0"/>
          <w:numId w:val="10"/>
        </w:numPr>
        <w:autoSpaceDE w:val="0"/>
        <w:autoSpaceDN w:val="0"/>
        <w:adjustRightInd w:val="0"/>
        <w:ind w:left="0" w:firstLine="0"/>
        <w:jc w:val="both"/>
        <w:rPr>
          <w:rFonts w:ascii="Arial" w:eastAsiaTheme="minorHAnsi" w:hAnsi="Arial" w:cs="Arial"/>
          <w:sz w:val="20"/>
          <w:szCs w:val="20"/>
          <w:lang w:val="en-US" w:eastAsia="en-US"/>
        </w:rPr>
      </w:pPr>
      <w:r w:rsidRPr="00DD428E">
        <w:rPr>
          <w:rFonts w:ascii="Arial" w:eastAsiaTheme="minorHAnsi" w:hAnsi="Arial" w:cs="Arial"/>
          <w:sz w:val="20"/>
          <w:szCs w:val="20"/>
          <w:lang w:val="en-US" w:eastAsia="en-US"/>
        </w:rPr>
        <w:t xml:space="preserve">Wyant T., Tanner M. y Sztein M.  Potent immunoregulatory effects of Salmonella typhi flagella on antigenic stimulation of human peripheral blood mononuclear cells. </w:t>
      </w:r>
      <w:r w:rsidRPr="00DD428E">
        <w:rPr>
          <w:rFonts w:ascii="Arial" w:eastAsiaTheme="minorHAnsi" w:hAnsi="Arial" w:cs="Arial"/>
          <w:i/>
          <w:sz w:val="20"/>
          <w:szCs w:val="20"/>
          <w:lang w:val="en-US" w:eastAsia="en-US"/>
        </w:rPr>
        <w:t>Infection and immunity</w:t>
      </w:r>
      <w:r w:rsidRPr="00DD428E">
        <w:rPr>
          <w:rFonts w:ascii="Arial" w:eastAsiaTheme="minorHAnsi" w:hAnsi="Arial" w:cs="Arial"/>
          <w:sz w:val="20"/>
          <w:szCs w:val="20"/>
          <w:lang w:val="en-US" w:eastAsia="en-US"/>
        </w:rPr>
        <w:t>. (1999). 67 (3):1338-1346.</w:t>
      </w:r>
    </w:p>
    <w:p w:rsidR="00AF03AD" w:rsidRPr="00A3070F" w:rsidRDefault="00AF03AD" w:rsidP="00A3070F">
      <w:pPr>
        <w:pStyle w:val="Prrafodelista"/>
        <w:numPr>
          <w:ilvl w:val="0"/>
          <w:numId w:val="10"/>
        </w:numPr>
        <w:autoSpaceDE w:val="0"/>
        <w:autoSpaceDN w:val="0"/>
        <w:adjustRightInd w:val="0"/>
        <w:ind w:left="0" w:firstLine="0"/>
        <w:jc w:val="both"/>
        <w:rPr>
          <w:rFonts w:ascii="Arial" w:eastAsiaTheme="minorHAnsi" w:hAnsi="Arial" w:cs="Arial"/>
          <w:sz w:val="20"/>
          <w:szCs w:val="20"/>
          <w:lang w:val="en-US" w:eastAsia="en-US"/>
        </w:rPr>
      </w:pPr>
      <w:r w:rsidRPr="00DD428E">
        <w:rPr>
          <w:rFonts w:ascii="Arial" w:hAnsi="Arial" w:cs="Arial"/>
          <w:sz w:val="20"/>
          <w:szCs w:val="20"/>
        </w:rPr>
        <w:t xml:space="preserve">O’Garra A.,  Gabryšová L. y Spits H.  </w:t>
      </w:r>
      <w:r w:rsidRPr="00DD428E">
        <w:rPr>
          <w:rFonts w:ascii="Arial" w:hAnsi="Arial" w:cs="Arial"/>
          <w:sz w:val="20"/>
          <w:szCs w:val="20"/>
          <w:lang w:val="en-US"/>
        </w:rPr>
        <w:t xml:space="preserve">Quantitative events determine the differentiation and function of helper Tcells.  </w:t>
      </w:r>
      <w:r w:rsidRPr="00DD428E">
        <w:rPr>
          <w:rStyle w:val="A9"/>
          <w:rFonts w:ascii="Arial" w:hAnsi="Arial" w:cs="Arial"/>
          <w:b w:val="0"/>
          <w:sz w:val="20"/>
          <w:szCs w:val="20"/>
          <w:lang w:val="en-US"/>
        </w:rPr>
        <w:t>Nature immunology (2011) 12 (4): 288 a 294.</w:t>
      </w:r>
      <w:r w:rsidRPr="00DD428E">
        <w:rPr>
          <w:rStyle w:val="A9"/>
          <w:rFonts w:ascii="Arial" w:hAnsi="Arial" w:cs="Arial"/>
          <w:sz w:val="20"/>
          <w:szCs w:val="20"/>
          <w:lang w:val="en-US"/>
        </w:rPr>
        <w:t xml:space="preserve"> </w:t>
      </w:r>
    </w:p>
    <w:p w:rsidR="0011062F" w:rsidRPr="00A3070F" w:rsidRDefault="0011062F" w:rsidP="00A3070F">
      <w:pPr>
        <w:pStyle w:val="Prrafodelista"/>
        <w:numPr>
          <w:ilvl w:val="0"/>
          <w:numId w:val="10"/>
        </w:numPr>
        <w:autoSpaceDE w:val="0"/>
        <w:autoSpaceDN w:val="0"/>
        <w:adjustRightInd w:val="0"/>
        <w:ind w:left="0" w:firstLine="0"/>
        <w:jc w:val="both"/>
        <w:rPr>
          <w:rFonts w:ascii="Arial" w:eastAsiaTheme="minorHAnsi" w:hAnsi="Arial" w:cs="Arial"/>
          <w:sz w:val="20"/>
          <w:szCs w:val="20"/>
          <w:lang w:val="en-US" w:eastAsia="en-US"/>
        </w:rPr>
      </w:pPr>
      <w:r w:rsidRPr="00DD428E">
        <w:rPr>
          <w:rFonts w:ascii="Arial" w:eastAsiaTheme="minorHAnsi" w:hAnsi="Arial" w:cs="Arial"/>
          <w:sz w:val="20"/>
          <w:szCs w:val="20"/>
          <w:lang w:val="en-US" w:eastAsia="en-US"/>
        </w:rPr>
        <w:t>Rezaei N., Aghamohammadi A.,  Nourizadeh M., Kardar A., Zare A., Pourpak Z. y Read Z.</w:t>
      </w:r>
      <w:r w:rsidRPr="00DD428E">
        <w:rPr>
          <w:rFonts w:ascii="Arial" w:eastAsiaTheme="minorHAnsi" w:hAnsi="Arial" w:cs="Arial"/>
          <w:bCs/>
          <w:sz w:val="20"/>
          <w:szCs w:val="20"/>
          <w:lang w:val="en-US" w:eastAsia="en-US"/>
        </w:rPr>
        <w:t xml:space="preserve"> Cytokine Production by Activated T Cells in Common Variable Immunodeficiency. </w:t>
      </w:r>
      <w:r w:rsidRPr="00DD428E">
        <w:rPr>
          <w:rFonts w:ascii="Arial" w:eastAsiaTheme="minorHAnsi" w:hAnsi="Arial" w:cs="Arial"/>
          <w:i/>
          <w:iCs/>
          <w:sz w:val="20"/>
          <w:szCs w:val="20"/>
          <w:lang w:val="en-US" w:eastAsia="en-US"/>
        </w:rPr>
        <w:t xml:space="preserve">J Investig Allergol Clin Immunol </w:t>
      </w:r>
      <w:r w:rsidRPr="00DD428E">
        <w:rPr>
          <w:rFonts w:ascii="Arial" w:eastAsiaTheme="minorHAnsi" w:hAnsi="Arial" w:cs="Arial"/>
          <w:sz w:val="20"/>
          <w:szCs w:val="20"/>
          <w:lang w:val="en-US" w:eastAsia="en-US"/>
        </w:rPr>
        <w:t>2010; Vol. 20(3): 244-251.</w:t>
      </w:r>
    </w:p>
    <w:p w:rsidR="00E40EBA" w:rsidRPr="00A3070F" w:rsidRDefault="00E40EBA" w:rsidP="00E40EBA">
      <w:pPr>
        <w:pStyle w:val="Prrafodelista"/>
        <w:numPr>
          <w:ilvl w:val="0"/>
          <w:numId w:val="17"/>
        </w:numPr>
        <w:autoSpaceDE w:val="0"/>
        <w:autoSpaceDN w:val="0"/>
        <w:adjustRightInd w:val="0"/>
        <w:ind w:left="0" w:firstLine="0"/>
        <w:jc w:val="both"/>
        <w:rPr>
          <w:rFonts w:ascii="Arial" w:eastAsiaTheme="minorHAnsi" w:hAnsi="Arial" w:cs="Arial"/>
          <w:bCs/>
          <w:sz w:val="20"/>
          <w:szCs w:val="20"/>
          <w:lang w:val="en-US" w:eastAsia="en-US"/>
        </w:rPr>
      </w:pPr>
      <w:r w:rsidRPr="00DD428E">
        <w:rPr>
          <w:rFonts w:ascii="Arial" w:eastAsiaTheme="minorHAnsi" w:hAnsi="Arial" w:cs="Arial"/>
          <w:sz w:val="20"/>
          <w:szCs w:val="20"/>
          <w:lang w:val="en-US" w:eastAsia="en-US"/>
        </w:rPr>
        <w:t>Bowman C. y Bost K.</w:t>
      </w:r>
      <w:r w:rsidRPr="00DD428E">
        <w:rPr>
          <w:rFonts w:ascii="Arial" w:eastAsiaTheme="minorHAnsi" w:hAnsi="Arial" w:cs="Arial"/>
          <w:bCs/>
          <w:sz w:val="20"/>
          <w:szCs w:val="20"/>
          <w:lang w:val="en-US" w:eastAsia="en-US"/>
        </w:rPr>
        <w:t xml:space="preserve"> Cyclooxygenase-2 Inhibition Enhances Activation of T Helper Type 1 Responses During </w:t>
      </w:r>
      <w:r w:rsidRPr="00DD428E">
        <w:rPr>
          <w:rFonts w:ascii="Arial" w:eastAsiaTheme="minorHAnsi" w:hAnsi="Arial" w:cs="Arial"/>
          <w:bCs/>
          <w:i/>
          <w:iCs/>
          <w:sz w:val="20"/>
          <w:szCs w:val="20"/>
          <w:lang w:val="en-US" w:eastAsia="en-US"/>
        </w:rPr>
        <w:t xml:space="preserve">Salmonella </w:t>
      </w:r>
      <w:r w:rsidRPr="00DD428E">
        <w:rPr>
          <w:rFonts w:ascii="Arial" w:eastAsiaTheme="minorHAnsi" w:hAnsi="Arial" w:cs="Arial"/>
          <w:bCs/>
          <w:sz w:val="20"/>
          <w:szCs w:val="20"/>
          <w:lang w:val="en-US" w:eastAsia="en-US"/>
        </w:rPr>
        <w:t>Infection</w:t>
      </w:r>
      <w:r w:rsidR="0031283B" w:rsidRPr="00DD428E">
        <w:rPr>
          <w:rFonts w:ascii="Arial" w:eastAsiaTheme="minorHAnsi" w:hAnsi="Arial" w:cs="Arial"/>
          <w:bCs/>
          <w:sz w:val="20"/>
          <w:szCs w:val="20"/>
          <w:lang w:val="en-US" w:eastAsia="en-US"/>
        </w:rPr>
        <w:t xml:space="preserve">. </w:t>
      </w:r>
      <w:r w:rsidR="0031283B" w:rsidRPr="00DD428E">
        <w:rPr>
          <w:rFonts w:ascii="Arial" w:eastAsiaTheme="minorHAnsi" w:hAnsi="Arial" w:cs="Arial"/>
          <w:bCs/>
          <w:i/>
          <w:iCs/>
          <w:sz w:val="20"/>
          <w:szCs w:val="20"/>
          <w:lang w:val="es-VE" w:eastAsia="en-US"/>
        </w:rPr>
        <w:t xml:space="preserve">The Open Microbiology Journal, </w:t>
      </w:r>
      <w:r w:rsidR="0031283B" w:rsidRPr="00DD428E">
        <w:rPr>
          <w:rFonts w:ascii="Arial" w:eastAsiaTheme="minorHAnsi" w:hAnsi="Arial" w:cs="Arial"/>
          <w:bCs/>
          <w:sz w:val="20"/>
          <w:szCs w:val="20"/>
          <w:lang w:val="es-VE" w:eastAsia="en-US"/>
        </w:rPr>
        <w:t xml:space="preserve">2009, </w:t>
      </w:r>
      <w:r w:rsidR="0031283B" w:rsidRPr="00DD428E">
        <w:rPr>
          <w:rFonts w:ascii="Arial" w:eastAsiaTheme="minorHAnsi" w:hAnsi="Arial" w:cs="Arial"/>
          <w:bCs/>
          <w:i/>
          <w:iCs/>
          <w:sz w:val="20"/>
          <w:szCs w:val="20"/>
          <w:lang w:val="es-VE" w:eastAsia="en-US"/>
        </w:rPr>
        <w:t xml:space="preserve">3, </w:t>
      </w:r>
      <w:r w:rsidR="0031283B" w:rsidRPr="00DD428E">
        <w:rPr>
          <w:rFonts w:ascii="Arial" w:eastAsiaTheme="minorHAnsi" w:hAnsi="Arial" w:cs="Arial"/>
          <w:bCs/>
          <w:sz w:val="20"/>
          <w:szCs w:val="20"/>
          <w:lang w:val="es-VE" w:eastAsia="en-US"/>
        </w:rPr>
        <w:t>23-28.</w:t>
      </w:r>
    </w:p>
    <w:p w:rsidR="00AE509B" w:rsidRPr="00A3070F" w:rsidRDefault="00AE509B" w:rsidP="00AE509B">
      <w:pPr>
        <w:pStyle w:val="Prrafodelista"/>
        <w:numPr>
          <w:ilvl w:val="0"/>
          <w:numId w:val="17"/>
        </w:numPr>
        <w:autoSpaceDE w:val="0"/>
        <w:autoSpaceDN w:val="0"/>
        <w:adjustRightInd w:val="0"/>
        <w:ind w:left="0" w:firstLine="0"/>
        <w:jc w:val="both"/>
        <w:rPr>
          <w:rFonts w:ascii="Arial" w:eastAsiaTheme="minorHAnsi" w:hAnsi="Arial" w:cs="Arial"/>
          <w:bCs/>
          <w:color w:val="000000"/>
          <w:sz w:val="20"/>
          <w:szCs w:val="20"/>
          <w:lang w:val="en-US" w:eastAsia="en-US"/>
        </w:rPr>
      </w:pPr>
      <w:r w:rsidRPr="00DD428E">
        <w:rPr>
          <w:rFonts w:ascii="Arial" w:eastAsiaTheme="minorHAnsi" w:hAnsi="Arial" w:cs="Arial"/>
          <w:sz w:val="20"/>
          <w:szCs w:val="20"/>
          <w:lang w:val="en-US" w:eastAsia="en-US"/>
        </w:rPr>
        <w:t xml:space="preserve">Horn J, Manguiat A., Berglund L., Knerr V., Tahami L., Grimbacher  D. y Fulcher A. </w:t>
      </w:r>
      <w:r w:rsidRPr="00DD428E">
        <w:rPr>
          <w:rFonts w:ascii="Arial" w:eastAsiaTheme="minorHAnsi" w:hAnsi="Arial" w:cs="Arial"/>
          <w:bCs/>
          <w:color w:val="000000"/>
          <w:sz w:val="20"/>
          <w:szCs w:val="20"/>
          <w:lang w:val="en-US" w:eastAsia="en-US"/>
        </w:rPr>
        <w:t>Decrease in phenotypic regulatory T cells in subsets of patients with common variable immunodeficiency. (</w:t>
      </w:r>
      <w:r w:rsidRPr="00DD428E">
        <w:rPr>
          <w:rFonts w:ascii="Arial" w:eastAsiaTheme="minorHAnsi" w:hAnsi="Arial" w:cs="Arial"/>
          <w:sz w:val="20"/>
          <w:szCs w:val="20"/>
          <w:lang w:val="en-US" w:eastAsia="en-US"/>
        </w:rPr>
        <w:t xml:space="preserve">2009) </w:t>
      </w:r>
      <w:r w:rsidRPr="00DD428E">
        <w:rPr>
          <w:rFonts w:ascii="Arial" w:eastAsiaTheme="minorHAnsi" w:hAnsi="Arial" w:cs="Arial"/>
          <w:i/>
          <w:iCs/>
          <w:sz w:val="20"/>
          <w:szCs w:val="20"/>
          <w:lang w:val="en-US" w:eastAsia="en-US"/>
        </w:rPr>
        <w:t>Clinical and Experimental Immunology</w:t>
      </w:r>
      <w:r w:rsidRPr="00DD428E">
        <w:rPr>
          <w:rFonts w:ascii="Arial" w:eastAsiaTheme="minorHAnsi" w:hAnsi="Arial" w:cs="Arial"/>
          <w:sz w:val="20"/>
          <w:szCs w:val="20"/>
          <w:lang w:val="en-US" w:eastAsia="en-US"/>
        </w:rPr>
        <w:t xml:space="preserve">, </w:t>
      </w:r>
      <w:r w:rsidRPr="00DD428E">
        <w:rPr>
          <w:rFonts w:ascii="Arial" w:eastAsiaTheme="minorHAnsi" w:hAnsi="Arial" w:cs="Arial"/>
          <w:bCs/>
          <w:sz w:val="20"/>
          <w:szCs w:val="20"/>
          <w:lang w:val="en-US" w:eastAsia="en-US"/>
        </w:rPr>
        <w:t xml:space="preserve">156: </w:t>
      </w:r>
      <w:r w:rsidRPr="00DD428E">
        <w:rPr>
          <w:rFonts w:ascii="Arial" w:eastAsiaTheme="minorHAnsi" w:hAnsi="Arial" w:cs="Arial"/>
          <w:sz w:val="20"/>
          <w:szCs w:val="20"/>
          <w:lang w:val="en-US" w:eastAsia="en-US"/>
        </w:rPr>
        <w:t>446–454.</w:t>
      </w:r>
    </w:p>
    <w:p w:rsidR="0011062F" w:rsidRPr="00DD428E" w:rsidRDefault="0011062F" w:rsidP="001845DA">
      <w:pPr>
        <w:pStyle w:val="Prrafodelista"/>
        <w:numPr>
          <w:ilvl w:val="0"/>
          <w:numId w:val="17"/>
        </w:numPr>
        <w:autoSpaceDE w:val="0"/>
        <w:autoSpaceDN w:val="0"/>
        <w:adjustRightInd w:val="0"/>
        <w:ind w:left="0" w:firstLine="0"/>
        <w:jc w:val="both"/>
        <w:rPr>
          <w:rFonts w:ascii="Arial" w:eastAsiaTheme="minorHAnsi" w:hAnsi="Arial" w:cs="Arial"/>
          <w:sz w:val="20"/>
          <w:szCs w:val="20"/>
          <w:lang w:val="en-US" w:eastAsia="en-US"/>
        </w:rPr>
      </w:pPr>
      <w:r w:rsidRPr="00DD428E">
        <w:rPr>
          <w:rFonts w:ascii="Arial" w:eastAsiaTheme="minorHAnsi" w:hAnsi="Arial" w:cs="Arial"/>
          <w:sz w:val="20"/>
          <w:szCs w:val="20"/>
          <w:lang w:val="en-US" w:eastAsia="en-US"/>
        </w:rPr>
        <w:t xml:space="preserve">Albaghdadi H., Krishnan S., Sad S., Robinson N., and Finlay B. </w:t>
      </w:r>
      <w:r w:rsidRPr="00DD428E">
        <w:rPr>
          <w:rFonts w:ascii="Arial" w:eastAsiaTheme="minorHAnsi" w:hAnsi="Arial" w:cs="Arial"/>
          <w:bCs/>
          <w:sz w:val="20"/>
          <w:szCs w:val="20"/>
          <w:lang w:val="en-US" w:eastAsia="en-US"/>
        </w:rPr>
        <w:t>Selectively Reduced intracellular proliferation of APCs limits antigen presentation and</w:t>
      </w:r>
      <w:r w:rsidRPr="00DD428E">
        <w:rPr>
          <w:rFonts w:ascii="Arial" w:eastAsiaTheme="minorHAnsi" w:hAnsi="Arial" w:cs="Arial"/>
          <w:bCs/>
          <w:i/>
          <w:iCs/>
          <w:sz w:val="20"/>
          <w:szCs w:val="20"/>
          <w:lang w:val="en-US" w:eastAsia="en-US"/>
        </w:rPr>
        <w:t xml:space="preserve"> Salmonella enterica </w:t>
      </w:r>
      <w:r w:rsidRPr="00DD428E">
        <w:rPr>
          <w:rFonts w:ascii="Arial" w:eastAsiaTheme="minorHAnsi" w:hAnsi="Arial" w:cs="Arial"/>
          <w:bCs/>
          <w:sz w:val="20"/>
          <w:szCs w:val="20"/>
          <w:lang w:val="en-US" w:eastAsia="en-US"/>
        </w:rPr>
        <w:t>Serovar Typhimurium within development of a rapid CD8 T cell response.</w:t>
      </w:r>
      <w:r w:rsidRPr="00DD428E">
        <w:rPr>
          <w:rFonts w:ascii="Arial" w:eastAsiaTheme="minorHAnsi" w:hAnsi="Arial" w:cs="Arial"/>
          <w:i/>
          <w:iCs/>
          <w:sz w:val="20"/>
          <w:szCs w:val="20"/>
          <w:lang w:val="en-US" w:eastAsia="en-US"/>
        </w:rPr>
        <w:t xml:space="preserve"> J Immunol </w:t>
      </w:r>
      <w:r w:rsidRPr="00DD428E">
        <w:rPr>
          <w:rFonts w:ascii="Arial" w:eastAsiaTheme="minorHAnsi" w:hAnsi="Arial" w:cs="Arial"/>
          <w:iCs/>
          <w:sz w:val="20"/>
          <w:szCs w:val="20"/>
          <w:lang w:val="en-US" w:eastAsia="en-US"/>
        </w:rPr>
        <w:t xml:space="preserve">(2009) </w:t>
      </w:r>
      <w:r w:rsidRPr="00DD428E">
        <w:rPr>
          <w:rFonts w:ascii="Arial" w:eastAsiaTheme="minorHAnsi" w:hAnsi="Arial" w:cs="Arial"/>
          <w:sz w:val="20"/>
          <w:szCs w:val="20"/>
          <w:lang w:val="en-US" w:eastAsia="en-US"/>
        </w:rPr>
        <w:t>183;3778-3787.</w:t>
      </w:r>
    </w:p>
    <w:p w:rsidR="002067F1" w:rsidRPr="009227E6" w:rsidRDefault="0011062F" w:rsidP="0011062F">
      <w:pPr>
        <w:pStyle w:val="Prrafodelista"/>
        <w:numPr>
          <w:ilvl w:val="0"/>
          <w:numId w:val="17"/>
        </w:numPr>
        <w:autoSpaceDE w:val="0"/>
        <w:autoSpaceDN w:val="0"/>
        <w:adjustRightInd w:val="0"/>
        <w:ind w:left="0" w:firstLine="0"/>
        <w:jc w:val="both"/>
        <w:rPr>
          <w:rFonts w:ascii="Arial" w:eastAsiaTheme="minorHAnsi" w:hAnsi="Arial" w:cs="Arial"/>
          <w:sz w:val="20"/>
          <w:szCs w:val="20"/>
          <w:lang w:val="en-US" w:eastAsia="en-US"/>
        </w:rPr>
      </w:pPr>
      <w:r w:rsidRPr="0073671D">
        <w:rPr>
          <w:rFonts w:ascii="Arial" w:hAnsi="Arial" w:cs="Arial"/>
          <w:color w:val="000000"/>
          <w:sz w:val="20"/>
          <w:szCs w:val="20"/>
          <w:lang w:val="en-US"/>
        </w:rPr>
        <w:t xml:space="preserve">Scharenberg, A., Hannibal M., Torgerson, T., Ochs H. y Rawlings D. Combined Variable Immune Deficiency, overview. (2006).  GeneReviews [Internet]. Seattle (WA): University of Washington, Seattle.  </w:t>
      </w:r>
      <w:r w:rsidRPr="009227E6">
        <w:rPr>
          <w:rFonts w:ascii="Arial" w:hAnsi="Arial" w:cs="Arial"/>
          <w:color w:val="000000"/>
          <w:sz w:val="20"/>
          <w:szCs w:val="20"/>
          <w:lang w:val="en-US"/>
        </w:rPr>
        <w:t>Disponible en:  http://www.ncbi.nlm.nih.gov/books/NBK1299.</w:t>
      </w:r>
    </w:p>
    <w:p w:rsidR="00C82585" w:rsidRPr="00A3070F" w:rsidRDefault="0011062F" w:rsidP="00C82585">
      <w:pPr>
        <w:pStyle w:val="Sinespaciado"/>
        <w:numPr>
          <w:ilvl w:val="0"/>
          <w:numId w:val="17"/>
        </w:numPr>
        <w:ind w:left="0" w:firstLine="0"/>
        <w:jc w:val="both"/>
        <w:rPr>
          <w:rFonts w:ascii="Arial" w:eastAsiaTheme="majorEastAsia" w:hAnsi="Arial" w:cs="Arial"/>
          <w:spacing w:val="5"/>
          <w:kern w:val="28"/>
          <w:sz w:val="20"/>
          <w:szCs w:val="20"/>
          <w:lang w:val="en-US"/>
        </w:rPr>
      </w:pPr>
      <w:r w:rsidRPr="00DD428E">
        <w:rPr>
          <w:rFonts w:ascii="Arial" w:hAnsi="Arial" w:cs="Arial"/>
          <w:sz w:val="20"/>
          <w:szCs w:val="20"/>
          <w:lang w:val="en-US"/>
        </w:rPr>
        <w:t xml:space="preserve">Rezaei </w:t>
      </w:r>
      <w:r w:rsidRPr="00DD428E">
        <w:rPr>
          <w:rStyle w:val="TtuloCar"/>
          <w:rFonts w:ascii="Arial" w:hAnsi="Arial" w:cs="Arial"/>
          <w:color w:val="auto"/>
          <w:sz w:val="20"/>
          <w:szCs w:val="20"/>
          <w:lang w:val="en-US"/>
        </w:rPr>
        <w:t xml:space="preserve">N.,  Seyed Davar S.,Aghamohammadi A., Moin M., Pourpak Z., Norouzian D., Mobarakeh J. , Aghasadeghi M., Nejati M.,4 and  Read R.  Serum Bactericidal antibody response 1 year after meningococcal polysaccharide vaccination of patients with common variable immunodeficiency. </w:t>
      </w:r>
      <w:r w:rsidRPr="00DD428E">
        <w:rPr>
          <w:rStyle w:val="TtuloCar"/>
          <w:rFonts w:ascii="Arial" w:hAnsi="Arial" w:cs="Arial"/>
          <w:i/>
          <w:color w:val="auto"/>
          <w:sz w:val="20"/>
          <w:szCs w:val="20"/>
          <w:lang w:val="en-US"/>
        </w:rPr>
        <w:t>Clinical and Vaccine Immunology</w:t>
      </w:r>
      <w:r w:rsidRPr="00DD428E">
        <w:rPr>
          <w:rStyle w:val="TtuloCar"/>
          <w:rFonts w:ascii="Arial" w:hAnsi="Arial" w:cs="Arial"/>
          <w:color w:val="auto"/>
          <w:sz w:val="20"/>
          <w:szCs w:val="20"/>
          <w:lang w:val="en-US"/>
        </w:rPr>
        <w:t>. (2010), 17(4) 524-528.</w:t>
      </w:r>
    </w:p>
    <w:p w:rsidR="00C82585" w:rsidRPr="00A3070F" w:rsidRDefault="00C82585" w:rsidP="00A3070F">
      <w:pPr>
        <w:pStyle w:val="Prrafodelista"/>
        <w:numPr>
          <w:ilvl w:val="0"/>
          <w:numId w:val="17"/>
        </w:numPr>
        <w:autoSpaceDE w:val="0"/>
        <w:autoSpaceDN w:val="0"/>
        <w:adjustRightInd w:val="0"/>
        <w:ind w:left="0" w:firstLine="0"/>
        <w:rPr>
          <w:rFonts w:ascii="Arial" w:eastAsiaTheme="minorHAnsi" w:hAnsi="Arial" w:cs="Arial"/>
          <w:sz w:val="20"/>
          <w:szCs w:val="20"/>
          <w:lang w:val="en-US" w:eastAsia="en-US"/>
        </w:rPr>
      </w:pPr>
      <w:r w:rsidRPr="00DD428E">
        <w:rPr>
          <w:rFonts w:ascii="Arial" w:eastAsiaTheme="minorHAnsi" w:hAnsi="Arial" w:cs="Arial"/>
          <w:sz w:val="20"/>
          <w:szCs w:val="20"/>
          <w:lang w:val="en-US" w:eastAsia="en-US"/>
        </w:rPr>
        <w:t xml:space="preserve">Bevan M. Understand memory, design better vaccines. </w:t>
      </w:r>
      <w:r w:rsidRPr="00DD428E">
        <w:rPr>
          <w:rFonts w:ascii="Arial" w:eastAsiaTheme="minorHAnsi" w:hAnsi="Arial" w:cs="Arial"/>
          <w:i/>
          <w:sz w:val="20"/>
          <w:szCs w:val="20"/>
          <w:lang w:val="en-US" w:eastAsia="en-US"/>
        </w:rPr>
        <w:t>Nature immunology</w:t>
      </w:r>
      <w:r w:rsidRPr="00DD428E">
        <w:rPr>
          <w:rFonts w:ascii="Arial" w:eastAsiaTheme="minorHAnsi" w:hAnsi="Arial" w:cs="Arial"/>
          <w:sz w:val="20"/>
          <w:szCs w:val="20"/>
          <w:lang w:val="en-US" w:eastAsia="en-US"/>
        </w:rPr>
        <w:t xml:space="preserve"> (2011), 12(6) 463-465.</w:t>
      </w:r>
    </w:p>
    <w:p w:rsidR="0026262D" w:rsidRPr="00503C00" w:rsidRDefault="00C82585" w:rsidP="000648D4">
      <w:pPr>
        <w:pStyle w:val="Prrafodelista"/>
        <w:numPr>
          <w:ilvl w:val="0"/>
          <w:numId w:val="17"/>
        </w:numPr>
        <w:autoSpaceDE w:val="0"/>
        <w:autoSpaceDN w:val="0"/>
        <w:adjustRightInd w:val="0"/>
        <w:ind w:left="0" w:firstLine="0"/>
        <w:jc w:val="both"/>
        <w:rPr>
          <w:rFonts w:ascii="Arial" w:eastAsiaTheme="minorHAnsi" w:hAnsi="Arial" w:cs="Arial"/>
          <w:sz w:val="20"/>
          <w:szCs w:val="20"/>
          <w:lang w:val="en-US" w:eastAsia="en-US"/>
        </w:rPr>
      </w:pPr>
      <w:r w:rsidRPr="00DD428E">
        <w:rPr>
          <w:rFonts w:ascii="Arial" w:eastAsiaTheme="minorHAnsi" w:hAnsi="Arial" w:cs="Arial"/>
          <w:bCs/>
          <w:sz w:val="20"/>
          <w:szCs w:val="20"/>
          <w:lang w:val="en-US" w:eastAsia="en-US"/>
        </w:rPr>
        <w:t>Sztein M.</w:t>
      </w:r>
      <w:r w:rsidRPr="00DD428E">
        <w:rPr>
          <w:rFonts w:ascii="Arial" w:eastAsiaTheme="minorHAnsi" w:hAnsi="Arial" w:cs="Arial"/>
          <w:sz w:val="20"/>
          <w:szCs w:val="20"/>
          <w:lang w:val="en-US" w:eastAsia="en-US"/>
        </w:rPr>
        <w:t xml:space="preserve"> Cell-Mediated Immunity and Antibody Responses</w:t>
      </w:r>
      <w:r w:rsidRPr="00DD428E">
        <w:rPr>
          <w:rStyle w:val="TtuloCar"/>
          <w:rFonts w:ascii="Arial" w:hAnsi="Arial" w:cs="Arial"/>
          <w:color w:val="auto"/>
          <w:sz w:val="20"/>
          <w:szCs w:val="20"/>
          <w:lang w:val="en-US"/>
        </w:rPr>
        <w:t xml:space="preserve"> </w:t>
      </w:r>
      <w:r w:rsidRPr="00DD428E">
        <w:rPr>
          <w:rFonts w:ascii="Arial" w:eastAsiaTheme="minorHAnsi" w:hAnsi="Arial" w:cs="Arial"/>
          <w:sz w:val="20"/>
          <w:szCs w:val="20"/>
          <w:lang w:val="en-US" w:eastAsia="en-US"/>
        </w:rPr>
        <w:t xml:space="preserve">Elicited by Attenuated </w:t>
      </w:r>
      <w:r w:rsidRPr="00DD428E">
        <w:rPr>
          <w:rFonts w:ascii="Arial" w:eastAsiaTheme="minorHAnsi" w:hAnsi="Arial" w:cs="Arial"/>
          <w:i/>
          <w:iCs/>
          <w:sz w:val="20"/>
          <w:szCs w:val="20"/>
          <w:lang w:val="en-US" w:eastAsia="en-US"/>
        </w:rPr>
        <w:t xml:space="preserve">Salmonella enterica </w:t>
      </w:r>
      <w:r w:rsidRPr="00DD428E">
        <w:rPr>
          <w:rFonts w:ascii="Arial" w:eastAsiaTheme="minorHAnsi" w:hAnsi="Arial" w:cs="Arial"/>
          <w:sz w:val="20"/>
          <w:szCs w:val="20"/>
          <w:lang w:val="en-US" w:eastAsia="en-US"/>
        </w:rPr>
        <w:t xml:space="preserve">Serovar Typhi Strains Used as Live Oral Vaccines in Humans. </w:t>
      </w:r>
      <w:r w:rsidRPr="00A3070F">
        <w:rPr>
          <w:rFonts w:ascii="Arial" w:eastAsiaTheme="minorHAnsi" w:hAnsi="Arial" w:cs="Arial"/>
          <w:bCs/>
          <w:i/>
          <w:sz w:val="20"/>
          <w:szCs w:val="20"/>
          <w:lang w:val="en-US" w:eastAsia="en-US"/>
        </w:rPr>
        <w:t>Clinical Infectious Diseases.</w:t>
      </w:r>
      <w:r w:rsidRPr="00A3070F">
        <w:rPr>
          <w:rFonts w:ascii="Arial" w:eastAsiaTheme="minorHAnsi" w:hAnsi="Arial" w:cs="Arial"/>
          <w:bCs/>
          <w:sz w:val="20"/>
          <w:szCs w:val="20"/>
          <w:lang w:val="en-US" w:eastAsia="en-US"/>
        </w:rPr>
        <w:t xml:space="preserve"> (2007) 45:15–9.</w:t>
      </w:r>
      <w:r w:rsidR="0011062F" w:rsidRPr="00DD428E">
        <w:rPr>
          <w:rStyle w:val="TtuloCar"/>
          <w:rFonts w:ascii="Arial" w:hAnsi="Arial" w:cs="Arial"/>
          <w:color w:val="auto"/>
          <w:sz w:val="20"/>
          <w:szCs w:val="20"/>
          <w:lang w:val="en-US"/>
        </w:rPr>
        <w:br/>
      </w:r>
      <w:r w:rsidR="00624CF3" w:rsidRPr="00A3070F">
        <w:rPr>
          <w:rFonts w:ascii="Arial" w:hAnsi="Arial" w:cs="Arial"/>
          <w:sz w:val="20"/>
          <w:szCs w:val="20"/>
          <w:lang w:val="en-US"/>
        </w:rPr>
        <w:t>20.</w:t>
      </w:r>
      <w:r w:rsidR="00624CF3" w:rsidRPr="009227E6">
        <w:rPr>
          <w:rFonts w:ascii="Arial" w:hAnsi="Arial" w:cs="Arial"/>
          <w:b/>
          <w:bCs/>
          <w:color w:val="000000"/>
          <w:sz w:val="20"/>
          <w:szCs w:val="20"/>
          <w:lang w:val="en-US"/>
        </w:rPr>
        <w:t xml:space="preserve"> </w:t>
      </w:r>
      <w:r w:rsidR="00624CF3" w:rsidRPr="009227E6">
        <w:rPr>
          <w:rFonts w:ascii="Arial" w:hAnsi="Arial" w:cs="Arial"/>
          <w:b/>
          <w:bCs/>
          <w:color w:val="000000"/>
          <w:sz w:val="20"/>
          <w:szCs w:val="20"/>
          <w:lang w:val="en-US"/>
        </w:rPr>
        <w:tab/>
      </w:r>
      <w:r w:rsidR="00624CF3" w:rsidRPr="009227E6">
        <w:rPr>
          <w:rFonts w:ascii="Arial" w:hAnsi="Arial" w:cs="Arial"/>
          <w:bCs/>
          <w:color w:val="000000"/>
          <w:sz w:val="20"/>
          <w:szCs w:val="20"/>
          <w:lang w:val="en-US"/>
        </w:rPr>
        <w:t>Conley M.,</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Kerry A.,</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Farmer D.,</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Kilic S,</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Paris K.,</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Grigoriadou S.,</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Coustan-Smith E, Howard V.,</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y Campana D.</w:t>
      </w:r>
      <w:r w:rsidR="00624CF3" w:rsidRPr="009227E6">
        <w:rPr>
          <w:rStyle w:val="nlmxref-aff"/>
          <w:rFonts w:ascii="Arial" w:hAnsi="Arial" w:cs="Arial"/>
          <w:bCs/>
          <w:color w:val="000000"/>
          <w:sz w:val="20"/>
          <w:szCs w:val="20"/>
          <w:vertAlign w:val="superscript"/>
          <w:lang w:val="en-US"/>
        </w:rPr>
        <w:t xml:space="preserve"> </w:t>
      </w:r>
      <w:r w:rsidR="00624CF3" w:rsidRPr="009227E6">
        <w:rPr>
          <w:rFonts w:ascii="Arial" w:hAnsi="Arial" w:cs="Arial"/>
          <w:bCs/>
          <w:color w:val="000000"/>
          <w:sz w:val="20"/>
          <w:szCs w:val="20"/>
          <w:lang w:val="en-US"/>
        </w:rPr>
        <w:t xml:space="preserve"> Primary B Cell Immunodeficiencies: Comparisons and Contrasts. </w:t>
      </w:r>
      <w:r w:rsidR="00624CF3" w:rsidRPr="00A3070F">
        <w:rPr>
          <w:rFonts w:ascii="Arial" w:hAnsi="Arial" w:cs="Arial"/>
          <w:i/>
          <w:color w:val="000000"/>
          <w:sz w:val="20"/>
          <w:szCs w:val="20"/>
        </w:rPr>
        <w:t>Annual Review of Immunology</w:t>
      </w:r>
      <w:r w:rsidR="00624CF3" w:rsidRPr="00A3070F">
        <w:rPr>
          <w:rFonts w:ascii="Arial" w:hAnsi="Arial" w:cs="Arial"/>
          <w:color w:val="000000"/>
          <w:sz w:val="20"/>
          <w:szCs w:val="20"/>
        </w:rPr>
        <w:t>. (2009) 27:199-227.</w:t>
      </w:r>
    </w:p>
    <w:p w:rsidR="00503C00" w:rsidRPr="00F21799" w:rsidRDefault="00503C00" w:rsidP="00F21799">
      <w:pPr>
        <w:pStyle w:val="Prrafodelista"/>
        <w:autoSpaceDE w:val="0"/>
        <w:autoSpaceDN w:val="0"/>
        <w:adjustRightInd w:val="0"/>
        <w:ind w:left="0"/>
        <w:jc w:val="both"/>
        <w:rPr>
          <w:rFonts w:ascii="Arial" w:hAnsi="Arial" w:cs="Arial"/>
          <w:sz w:val="20"/>
          <w:szCs w:val="20"/>
          <w:lang w:val="en-US"/>
        </w:rPr>
      </w:pPr>
      <w:r w:rsidRPr="00503C00">
        <w:rPr>
          <w:rFonts w:ascii="Arial" w:hAnsi="Arial" w:cs="Arial"/>
          <w:sz w:val="20"/>
          <w:szCs w:val="20"/>
          <w:lang w:val="en-US"/>
        </w:rPr>
        <w:lastRenderedPageBreak/>
        <w:t>21.</w:t>
      </w:r>
      <w:r w:rsidR="00F21799" w:rsidRPr="00F21799">
        <w:rPr>
          <w:rFonts w:ascii="Arial" w:hAnsi="Arial" w:cs="Arial"/>
          <w:sz w:val="20"/>
          <w:szCs w:val="20"/>
        </w:rPr>
        <w:t xml:space="preserve"> </w:t>
      </w:r>
      <w:hyperlink r:id="rId28" w:history="1">
        <w:r w:rsidR="00F21799" w:rsidRPr="00F21799">
          <w:rPr>
            <w:rStyle w:val="Hipervnculo"/>
            <w:rFonts w:ascii="Arial" w:hAnsi="Arial" w:cs="Arial"/>
            <w:color w:val="auto"/>
            <w:sz w:val="20"/>
            <w:szCs w:val="20"/>
            <w:u w:val="none"/>
          </w:rPr>
          <w:t>Gujer</w:t>
        </w:r>
      </w:hyperlink>
      <w:r w:rsidR="00F21799">
        <w:rPr>
          <w:rFonts w:ascii="Arial" w:hAnsi="Arial" w:cs="Arial"/>
          <w:sz w:val="20"/>
          <w:szCs w:val="20"/>
        </w:rPr>
        <w:t xml:space="preserve"> C., </w:t>
      </w:r>
      <w:hyperlink r:id="rId29" w:history="1">
        <w:r w:rsidR="00F21799" w:rsidRPr="00F21799">
          <w:rPr>
            <w:rStyle w:val="Hipervnculo"/>
            <w:rFonts w:ascii="Arial" w:hAnsi="Arial" w:cs="Arial"/>
            <w:color w:val="auto"/>
            <w:sz w:val="20"/>
            <w:szCs w:val="20"/>
            <w:u w:val="none"/>
          </w:rPr>
          <w:t>Sandgren</w:t>
        </w:r>
      </w:hyperlink>
      <w:r w:rsidR="00F21799">
        <w:rPr>
          <w:rFonts w:ascii="Arial" w:hAnsi="Arial" w:cs="Arial"/>
          <w:sz w:val="20"/>
          <w:szCs w:val="20"/>
        </w:rPr>
        <w:t xml:space="preserve"> K.,</w:t>
      </w:r>
      <w:r w:rsidR="00F21799" w:rsidRPr="00F21799">
        <w:rPr>
          <w:rFonts w:ascii="Arial" w:hAnsi="Arial" w:cs="Arial"/>
          <w:sz w:val="20"/>
          <w:szCs w:val="20"/>
        </w:rPr>
        <w:t xml:space="preserve"> </w:t>
      </w:r>
      <w:hyperlink r:id="rId30" w:history="1">
        <w:r w:rsidR="00F21799" w:rsidRPr="00F21799">
          <w:rPr>
            <w:rStyle w:val="Hipervnculo"/>
            <w:rFonts w:ascii="Arial" w:hAnsi="Arial" w:cs="Arial"/>
            <w:color w:val="auto"/>
            <w:sz w:val="20"/>
            <w:szCs w:val="20"/>
            <w:u w:val="none"/>
          </w:rPr>
          <w:t>Douagi</w:t>
        </w:r>
      </w:hyperlink>
      <w:r w:rsidR="00F21799">
        <w:rPr>
          <w:rFonts w:ascii="Arial" w:hAnsi="Arial" w:cs="Arial"/>
          <w:sz w:val="20"/>
          <w:szCs w:val="20"/>
        </w:rPr>
        <w:t xml:space="preserve"> </w:t>
      </w:r>
      <w:hyperlink r:id="rId31" w:history="1">
        <w:r w:rsidR="00F21799" w:rsidRPr="00F21799">
          <w:rPr>
            <w:rStyle w:val="Hipervnculo"/>
            <w:rFonts w:ascii="Arial" w:hAnsi="Arial" w:cs="Arial"/>
            <w:color w:val="auto"/>
            <w:sz w:val="20"/>
            <w:szCs w:val="20"/>
            <w:u w:val="none"/>
          </w:rPr>
          <w:t>C.</w:t>
        </w:r>
        <w:r w:rsidR="00F21799">
          <w:rPr>
            <w:rStyle w:val="Hipervnculo"/>
            <w:rFonts w:ascii="Arial" w:hAnsi="Arial" w:cs="Arial"/>
            <w:color w:val="auto"/>
            <w:sz w:val="20"/>
            <w:szCs w:val="20"/>
            <w:u w:val="none"/>
          </w:rPr>
          <w:t>,</w:t>
        </w:r>
        <w:r w:rsidR="00F21799" w:rsidRPr="00F21799">
          <w:rPr>
            <w:rStyle w:val="Hipervnculo"/>
            <w:rFonts w:ascii="Arial" w:hAnsi="Arial" w:cs="Arial"/>
            <w:color w:val="auto"/>
            <w:sz w:val="20"/>
            <w:szCs w:val="20"/>
            <w:u w:val="none"/>
          </w:rPr>
          <w:t xml:space="preserve"> Adams</w:t>
        </w:r>
      </w:hyperlink>
      <w:r w:rsidR="00F21799">
        <w:rPr>
          <w:rFonts w:ascii="Arial" w:hAnsi="Arial" w:cs="Arial"/>
          <w:sz w:val="20"/>
          <w:szCs w:val="20"/>
        </w:rPr>
        <w:t xml:space="preserve"> W.,</w:t>
      </w:r>
      <w:r w:rsidR="00F21799" w:rsidRPr="00F21799">
        <w:rPr>
          <w:rFonts w:ascii="Arial" w:hAnsi="Arial" w:cs="Arial"/>
          <w:sz w:val="20"/>
          <w:szCs w:val="20"/>
        </w:rPr>
        <w:t xml:space="preserve"> </w:t>
      </w:r>
      <w:hyperlink r:id="rId32" w:history="1">
        <w:r w:rsidR="00F21799" w:rsidRPr="00F21799">
          <w:rPr>
            <w:rStyle w:val="Hipervnculo"/>
            <w:rFonts w:ascii="Arial" w:hAnsi="Arial" w:cs="Arial"/>
            <w:color w:val="auto"/>
            <w:sz w:val="20"/>
            <w:szCs w:val="20"/>
            <w:u w:val="none"/>
          </w:rPr>
          <w:t>Sundling</w:t>
        </w:r>
      </w:hyperlink>
      <w:r w:rsidR="00F21799">
        <w:rPr>
          <w:rFonts w:ascii="Arial" w:hAnsi="Arial" w:cs="Arial"/>
          <w:sz w:val="20"/>
          <w:szCs w:val="20"/>
        </w:rPr>
        <w:t xml:space="preserve"> C., </w:t>
      </w:r>
      <w:r w:rsidR="00F21799" w:rsidRPr="00F21799">
        <w:rPr>
          <w:rFonts w:ascii="Arial" w:hAnsi="Arial" w:cs="Arial"/>
          <w:sz w:val="20"/>
          <w:szCs w:val="20"/>
        </w:rPr>
        <w:t xml:space="preserve"> </w:t>
      </w:r>
      <w:hyperlink r:id="rId33" w:history="1">
        <w:r w:rsidR="00F21799" w:rsidRPr="00F21799">
          <w:rPr>
            <w:rStyle w:val="Hipervnculo"/>
            <w:rFonts w:ascii="Arial" w:hAnsi="Arial" w:cs="Arial"/>
            <w:color w:val="auto"/>
            <w:sz w:val="20"/>
            <w:szCs w:val="20"/>
            <w:u w:val="none"/>
          </w:rPr>
          <w:t>Smed-Sörensen</w:t>
        </w:r>
      </w:hyperlink>
      <w:r w:rsidR="00F21799">
        <w:rPr>
          <w:rFonts w:ascii="Arial" w:hAnsi="Arial" w:cs="Arial"/>
          <w:sz w:val="20"/>
          <w:szCs w:val="20"/>
        </w:rPr>
        <w:t xml:space="preserve"> A., Seder R.,</w:t>
      </w:r>
      <w:r w:rsidR="00F21799" w:rsidRPr="00F21799">
        <w:rPr>
          <w:rFonts w:ascii="Arial" w:hAnsi="Arial" w:cs="Arial"/>
          <w:sz w:val="20"/>
          <w:szCs w:val="20"/>
        </w:rPr>
        <w:t xml:space="preserve"> </w:t>
      </w:r>
      <w:hyperlink r:id="rId34" w:history="1">
        <w:r w:rsidR="00F21799">
          <w:rPr>
            <w:rStyle w:val="Hipervnculo"/>
            <w:rFonts w:ascii="Arial" w:hAnsi="Arial" w:cs="Arial"/>
            <w:color w:val="auto"/>
            <w:sz w:val="20"/>
            <w:szCs w:val="20"/>
            <w:u w:val="none"/>
          </w:rPr>
          <w:t xml:space="preserve">Gunilla B., </w:t>
        </w:r>
        <w:r w:rsidR="00F21799" w:rsidRPr="00F21799">
          <w:rPr>
            <w:rStyle w:val="Hipervnculo"/>
            <w:rFonts w:ascii="Arial" w:hAnsi="Arial" w:cs="Arial"/>
            <w:color w:val="auto"/>
            <w:sz w:val="20"/>
            <w:szCs w:val="20"/>
            <w:u w:val="none"/>
          </w:rPr>
          <w:t>Hedestam</w:t>
        </w:r>
      </w:hyperlink>
      <w:r w:rsidR="00F21799">
        <w:rPr>
          <w:rFonts w:ascii="Arial" w:hAnsi="Arial" w:cs="Arial"/>
          <w:sz w:val="20"/>
          <w:szCs w:val="20"/>
        </w:rPr>
        <w:t xml:space="preserve"> K., y</w:t>
      </w:r>
      <w:hyperlink r:id="rId35" w:history="1">
        <w:r w:rsidR="00F21799">
          <w:rPr>
            <w:rStyle w:val="Hipervnculo"/>
            <w:rFonts w:ascii="Arial" w:hAnsi="Arial" w:cs="Arial"/>
            <w:color w:val="auto"/>
            <w:sz w:val="20"/>
            <w:szCs w:val="20"/>
            <w:u w:val="none"/>
          </w:rPr>
          <w:t xml:space="preserve"> </w:t>
        </w:r>
        <w:r w:rsidR="00F21799" w:rsidRPr="00F21799">
          <w:rPr>
            <w:rStyle w:val="Hipervnculo"/>
            <w:rFonts w:ascii="Arial" w:hAnsi="Arial" w:cs="Arial"/>
            <w:color w:val="auto"/>
            <w:sz w:val="20"/>
            <w:szCs w:val="20"/>
            <w:u w:val="none"/>
          </w:rPr>
          <w:t>Loré</w:t>
        </w:r>
      </w:hyperlink>
      <w:r w:rsidR="00F21799">
        <w:rPr>
          <w:rFonts w:ascii="Arial" w:hAnsi="Arial" w:cs="Arial"/>
          <w:sz w:val="20"/>
          <w:szCs w:val="20"/>
          <w:vertAlign w:val="superscript"/>
        </w:rPr>
        <w:t xml:space="preserve"> </w:t>
      </w:r>
      <w:r w:rsidR="00F21799">
        <w:rPr>
          <w:rFonts w:ascii="Arial" w:hAnsi="Arial" w:cs="Arial"/>
          <w:sz w:val="20"/>
          <w:szCs w:val="20"/>
          <w:lang w:val="en-US"/>
        </w:rPr>
        <w:t xml:space="preserve">K. </w:t>
      </w:r>
      <w:r w:rsidR="00F21799" w:rsidRPr="00503C00">
        <w:rPr>
          <w:rFonts w:ascii="Arial" w:hAnsi="Arial" w:cs="Arial"/>
          <w:sz w:val="20"/>
          <w:szCs w:val="20"/>
        </w:rPr>
        <w:t>IFN-α produced by human plasmacytoid dendritic cells enhances T cell-dependent naïve B cell differentiation</w:t>
      </w:r>
      <w:r w:rsidR="00F21799">
        <w:rPr>
          <w:rFonts w:ascii="Arial" w:hAnsi="Arial" w:cs="Arial"/>
          <w:sz w:val="20"/>
          <w:szCs w:val="20"/>
        </w:rPr>
        <w:t xml:space="preserve">.  </w:t>
      </w:r>
      <w:r w:rsidRPr="00503C00">
        <w:rPr>
          <w:rStyle w:val="citation-abbreviation"/>
          <w:rFonts w:ascii="Arial" w:hAnsi="Arial" w:cs="Arial"/>
          <w:sz w:val="20"/>
          <w:szCs w:val="20"/>
        </w:rPr>
        <w:t xml:space="preserve">J Leukoc Biol. </w:t>
      </w:r>
      <w:r w:rsidR="00F21799">
        <w:rPr>
          <w:rStyle w:val="citation-abbreviation"/>
          <w:rFonts w:ascii="Arial" w:hAnsi="Arial" w:cs="Arial"/>
          <w:sz w:val="20"/>
          <w:szCs w:val="20"/>
        </w:rPr>
        <w:t>(</w:t>
      </w:r>
      <w:r w:rsidR="00F21799">
        <w:rPr>
          <w:rStyle w:val="citation-publication-date"/>
          <w:rFonts w:ascii="Arial" w:hAnsi="Arial" w:cs="Arial"/>
          <w:sz w:val="20"/>
          <w:szCs w:val="20"/>
        </w:rPr>
        <w:t>2011)</w:t>
      </w:r>
      <w:r w:rsidRPr="00503C00">
        <w:rPr>
          <w:rStyle w:val="citation-publication-date"/>
          <w:rFonts w:ascii="Arial" w:hAnsi="Arial" w:cs="Arial"/>
          <w:sz w:val="20"/>
          <w:szCs w:val="20"/>
        </w:rPr>
        <w:t xml:space="preserve"> </w:t>
      </w:r>
      <w:r w:rsidRPr="00503C00">
        <w:rPr>
          <w:rStyle w:val="citation-volume"/>
          <w:rFonts w:ascii="Arial" w:hAnsi="Arial" w:cs="Arial"/>
          <w:sz w:val="20"/>
          <w:szCs w:val="20"/>
        </w:rPr>
        <w:t>89</w:t>
      </w:r>
      <w:r w:rsidR="00F21799">
        <w:rPr>
          <w:rStyle w:val="citation-issue"/>
          <w:rFonts w:ascii="Arial" w:hAnsi="Arial" w:cs="Arial"/>
          <w:sz w:val="20"/>
          <w:szCs w:val="20"/>
        </w:rPr>
        <w:t>-</w:t>
      </w:r>
      <w:r w:rsidRPr="00503C00">
        <w:rPr>
          <w:rStyle w:val="citation-issue"/>
          <w:rFonts w:ascii="Arial" w:hAnsi="Arial" w:cs="Arial"/>
          <w:sz w:val="20"/>
          <w:szCs w:val="20"/>
        </w:rPr>
        <w:t>6)</w:t>
      </w:r>
      <w:r w:rsidRPr="00503C00">
        <w:rPr>
          <w:rStyle w:val="citation-flpages"/>
          <w:rFonts w:ascii="Arial" w:hAnsi="Arial" w:cs="Arial"/>
          <w:sz w:val="20"/>
          <w:szCs w:val="20"/>
        </w:rPr>
        <w:t xml:space="preserve">: 811–821. </w:t>
      </w:r>
    </w:p>
    <w:p w:rsidR="00503C00" w:rsidRPr="00503C00" w:rsidRDefault="00503C00" w:rsidP="00F21799">
      <w:pPr>
        <w:rPr>
          <w:rFonts w:ascii="Arial" w:hAnsi="Arial" w:cs="Arial"/>
          <w:sz w:val="20"/>
          <w:szCs w:val="20"/>
        </w:rPr>
      </w:pPr>
    </w:p>
    <w:p w:rsidR="00503C00" w:rsidRPr="00503C00" w:rsidRDefault="00503C00" w:rsidP="00503C00">
      <w:pPr>
        <w:pStyle w:val="Prrafodelista"/>
        <w:autoSpaceDE w:val="0"/>
        <w:autoSpaceDN w:val="0"/>
        <w:adjustRightInd w:val="0"/>
        <w:ind w:left="0"/>
        <w:jc w:val="both"/>
        <w:rPr>
          <w:rFonts w:ascii="Arial" w:eastAsiaTheme="minorHAnsi" w:hAnsi="Arial" w:cs="Arial"/>
          <w:sz w:val="20"/>
          <w:szCs w:val="20"/>
          <w:lang w:eastAsia="en-US"/>
        </w:rPr>
      </w:pPr>
    </w:p>
    <w:sectPr w:rsidR="00503C00" w:rsidRPr="00503C00" w:rsidSect="002332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24E" w:rsidRDefault="001A424E" w:rsidP="003B7374">
      <w:r>
        <w:separator/>
      </w:r>
    </w:p>
  </w:endnote>
  <w:endnote w:type="continuationSeparator" w:id="0">
    <w:p w:rsidR="001A424E" w:rsidRDefault="001A424E" w:rsidP="003B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Optima LT Std Medium">
    <w:altName w:val="Optima LT Std Medium"/>
    <w:panose1 w:val="00000000000000000000"/>
    <w:charset w:val="00"/>
    <w:family w:val="swiss"/>
    <w:notTrueType/>
    <w:pitch w:val="default"/>
    <w:sig w:usb0="00000003" w:usb1="00000000" w:usb2="00000000" w:usb3="00000000" w:csb0="00000001" w:csb1="00000000"/>
  </w:font>
  <w:font w:name="Century Gothic">
    <w:altName w:val="Segoe UI"/>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24E" w:rsidRDefault="001A424E" w:rsidP="003B7374">
      <w:r>
        <w:separator/>
      </w:r>
    </w:p>
  </w:footnote>
  <w:footnote w:type="continuationSeparator" w:id="0">
    <w:p w:rsidR="001A424E" w:rsidRDefault="001A424E" w:rsidP="003B7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042F"/>
    <w:multiLevelType w:val="hybridMultilevel"/>
    <w:tmpl w:val="5FACB824"/>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15AF0B30"/>
    <w:multiLevelType w:val="hybridMultilevel"/>
    <w:tmpl w:val="800E3DA8"/>
    <w:lvl w:ilvl="0" w:tplc="200A000F">
      <w:start w:val="12"/>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18A77327"/>
    <w:multiLevelType w:val="hybridMultilevel"/>
    <w:tmpl w:val="DEF880EE"/>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4D833B8"/>
    <w:multiLevelType w:val="hybridMultilevel"/>
    <w:tmpl w:val="3B324C58"/>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6F07432"/>
    <w:multiLevelType w:val="hybridMultilevel"/>
    <w:tmpl w:val="FA18019C"/>
    <w:lvl w:ilvl="0" w:tplc="200A000F">
      <w:start w:val="13"/>
      <w:numFmt w:val="decimal"/>
      <w:lvlText w:val="%1."/>
      <w:lvlJc w:val="left"/>
      <w:pPr>
        <w:ind w:left="360" w:hanging="360"/>
      </w:pPr>
      <w:rPr>
        <w:rFonts w:hint="default"/>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2A540E4E"/>
    <w:multiLevelType w:val="hybridMultilevel"/>
    <w:tmpl w:val="3B324C58"/>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2F7F5AE0"/>
    <w:multiLevelType w:val="hybridMultilevel"/>
    <w:tmpl w:val="5FACB824"/>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34E16AB4"/>
    <w:multiLevelType w:val="hybridMultilevel"/>
    <w:tmpl w:val="820ED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B254524"/>
    <w:multiLevelType w:val="hybridMultilevel"/>
    <w:tmpl w:val="60E6DDF4"/>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3C7B7E75"/>
    <w:multiLevelType w:val="hybridMultilevel"/>
    <w:tmpl w:val="CD46A9A8"/>
    <w:lvl w:ilvl="0" w:tplc="200A000F">
      <w:start w:val="9"/>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3D6F0732"/>
    <w:multiLevelType w:val="hybridMultilevel"/>
    <w:tmpl w:val="ACE0B28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426441BD"/>
    <w:multiLevelType w:val="hybridMultilevel"/>
    <w:tmpl w:val="5FACB824"/>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42E91525"/>
    <w:multiLevelType w:val="hybridMultilevel"/>
    <w:tmpl w:val="ACE0B28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48517FB3"/>
    <w:multiLevelType w:val="hybridMultilevel"/>
    <w:tmpl w:val="24D8E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43A79A5"/>
    <w:multiLevelType w:val="hybridMultilevel"/>
    <w:tmpl w:val="21AAB79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91A7506"/>
    <w:multiLevelType w:val="hybridMultilevel"/>
    <w:tmpl w:val="E4F419D8"/>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718D7466"/>
    <w:multiLevelType w:val="hybridMultilevel"/>
    <w:tmpl w:val="E44495E6"/>
    <w:lvl w:ilvl="0" w:tplc="A4E682CA">
      <w:start w:val="18"/>
      <w:numFmt w:val="decimal"/>
      <w:lvlText w:val="%1"/>
      <w:lvlJc w:val="left"/>
      <w:pPr>
        <w:ind w:left="720" w:hanging="360"/>
      </w:pPr>
      <w:rPr>
        <w:rFonts w:eastAsiaTheme="minorHAnsi"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7B54224A"/>
    <w:multiLevelType w:val="hybridMultilevel"/>
    <w:tmpl w:val="3B324C58"/>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7EA9618F"/>
    <w:multiLevelType w:val="hybridMultilevel"/>
    <w:tmpl w:val="F9641704"/>
    <w:lvl w:ilvl="0" w:tplc="200A0015">
      <w:start w:val="1"/>
      <w:numFmt w:val="upperLetter"/>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num w:numId="1">
    <w:abstractNumId w:val="12"/>
  </w:num>
  <w:num w:numId="2">
    <w:abstractNumId w:val="18"/>
  </w:num>
  <w:num w:numId="3">
    <w:abstractNumId w:val="6"/>
  </w:num>
  <w:num w:numId="4">
    <w:abstractNumId w:val="8"/>
  </w:num>
  <w:num w:numId="5">
    <w:abstractNumId w:val="11"/>
  </w:num>
  <w:num w:numId="6">
    <w:abstractNumId w:val="2"/>
  </w:num>
  <w:num w:numId="7">
    <w:abstractNumId w:val="0"/>
  </w:num>
  <w:num w:numId="8">
    <w:abstractNumId w:val="10"/>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3"/>
  </w:num>
  <w:num w:numId="15">
    <w:abstractNumId w:val="15"/>
  </w:num>
  <w:num w:numId="16">
    <w:abstractNumId w:val="1"/>
  </w:num>
  <w:num w:numId="17">
    <w:abstractNumId w:val="4"/>
  </w:num>
  <w:num w:numId="18">
    <w:abstractNumId w:val="16"/>
  </w:num>
  <w:num w:numId="19">
    <w:abstractNumId w:val="7"/>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AB"/>
    <w:rsid w:val="00003D09"/>
    <w:rsid w:val="00007554"/>
    <w:rsid w:val="000125DD"/>
    <w:rsid w:val="000176F6"/>
    <w:rsid w:val="00020D9C"/>
    <w:rsid w:val="00024934"/>
    <w:rsid w:val="000256FB"/>
    <w:rsid w:val="00026163"/>
    <w:rsid w:val="00026C9A"/>
    <w:rsid w:val="000277EC"/>
    <w:rsid w:val="00030D0E"/>
    <w:rsid w:val="00033B21"/>
    <w:rsid w:val="00036E38"/>
    <w:rsid w:val="00037D67"/>
    <w:rsid w:val="00044564"/>
    <w:rsid w:val="00047FBB"/>
    <w:rsid w:val="000516DF"/>
    <w:rsid w:val="00057B05"/>
    <w:rsid w:val="000648D4"/>
    <w:rsid w:val="000658EA"/>
    <w:rsid w:val="00083F65"/>
    <w:rsid w:val="00090FFE"/>
    <w:rsid w:val="00095B87"/>
    <w:rsid w:val="000A6B74"/>
    <w:rsid w:val="000B4F17"/>
    <w:rsid w:val="000C3077"/>
    <w:rsid w:val="000C310C"/>
    <w:rsid w:val="000C635C"/>
    <w:rsid w:val="000C6BC3"/>
    <w:rsid w:val="000D0714"/>
    <w:rsid w:val="000D61D6"/>
    <w:rsid w:val="000D7DDD"/>
    <w:rsid w:val="001040E1"/>
    <w:rsid w:val="0011062F"/>
    <w:rsid w:val="00115AC4"/>
    <w:rsid w:val="00132247"/>
    <w:rsid w:val="00135950"/>
    <w:rsid w:val="00135C9D"/>
    <w:rsid w:val="00135CEF"/>
    <w:rsid w:val="00145077"/>
    <w:rsid w:val="00156CFE"/>
    <w:rsid w:val="001614C2"/>
    <w:rsid w:val="00162894"/>
    <w:rsid w:val="0016327F"/>
    <w:rsid w:val="001724D5"/>
    <w:rsid w:val="00174DE2"/>
    <w:rsid w:val="00176471"/>
    <w:rsid w:val="00176FA5"/>
    <w:rsid w:val="00177CED"/>
    <w:rsid w:val="001845DA"/>
    <w:rsid w:val="00186A2E"/>
    <w:rsid w:val="001A424E"/>
    <w:rsid w:val="001A44F9"/>
    <w:rsid w:val="001A53BD"/>
    <w:rsid w:val="001B12D2"/>
    <w:rsid w:val="001B1A5F"/>
    <w:rsid w:val="001C036D"/>
    <w:rsid w:val="001C1612"/>
    <w:rsid w:val="001C2C1D"/>
    <w:rsid w:val="001C3ACC"/>
    <w:rsid w:val="001C7517"/>
    <w:rsid w:val="001C79B4"/>
    <w:rsid w:val="001D48AD"/>
    <w:rsid w:val="001E0BF6"/>
    <w:rsid w:val="001E49D0"/>
    <w:rsid w:val="001E6BAB"/>
    <w:rsid w:val="001F3D0F"/>
    <w:rsid w:val="001F4B61"/>
    <w:rsid w:val="00203CA8"/>
    <w:rsid w:val="00205FCB"/>
    <w:rsid w:val="002067F1"/>
    <w:rsid w:val="00212D24"/>
    <w:rsid w:val="0021711B"/>
    <w:rsid w:val="002332D1"/>
    <w:rsid w:val="0023741E"/>
    <w:rsid w:val="00245016"/>
    <w:rsid w:val="00250E9D"/>
    <w:rsid w:val="002520C9"/>
    <w:rsid w:val="00253128"/>
    <w:rsid w:val="002544BD"/>
    <w:rsid w:val="002546AB"/>
    <w:rsid w:val="00254CCA"/>
    <w:rsid w:val="00254D22"/>
    <w:rsid w:val="0026262D"/>
    <w:rsid w:val="00274B6E"/>
    <w:rsid w:val="00294B61"/>
    <w:rsid w:val="002A092A"/>
    <w:rsid w:val="002A362C"/>
    <w:rsid w:val="002A5A79"/>
    <w:rsid w:val="002A6352"/>
    <w:rsid w:val="002B39A2"/>
    <w:rsid w:val="002B4615"/>
    <w:rsid w:val="002B7362"/>
    <w:rsid w:val="002B7984"/>
    <w:rsid w:val="002C0FF2"/>
    <w:rsid w:val="002C3420"/>
    <w:rsid w:val="002C6C63"/>
    <w:rsid w:val="002D27B9"/>
    <w:rsid w:val="002D4BD0"/>
    <w:rsid w:val="002D552D"/>
    <w:rsid w:val="002F0B03"/>
    <w:rsid w:val="002F2306"/>
    <w:rsid w:val="002F2745"/>
    <w:rsid w:val="002F36A4"/>
    <w:rsid w:val="00301A50"/>
    <w:rsid w:val="00307E51"/>
    <w:rsid w:val="003106FB"/>
    <w:rsid w:val="00311345"/>
    <w:rsid w:val="0031283B"/>
    <w:rsid w:val="00313C09"/>
    <w:rsid w:val="00313D14"/>
    <w:rsid w:val="00316E91"/>
    <w:rsid w:val="003173BD"/>
    <w:rsid w:val="00330B46"/>
    <w:rsid w:val="0033766A"/>
    <w:rsid w:val="00337D89"/>
    <w:rsid w:val="00344314"/>
    <w:rsid w:val="003461BE"/>
    <w:rsid w:val="00355982"/>
    <w:rsid w:val="003578A0"/>
    <w:rsid w:val="00375F1F"/>
    <w:rsid w:val="00376CB4"/>
    <w:rsid w:val="00377B0C"/>
    <w:rsid w:val="00377F92"/>
    <w:rsid w:val="00381595"/>
    <w:rsid w:val="003847EC"/>
    <w:rsid w:val="003872FF"/>
    <w:rsid w:val="003946AF"/>
    <w:rsid w:val="003A0BDF"/>
    <w:rsid w:val="003B7374"/>
    <w:rsid w:val="003C735A"/>
    <w:rsid w:val="003D03D8"/>
    <w:rsid w:val="003E3B06"/>
    <w:rsid w:val="003F6690"/>
    <w:rsid w:val="003F6B4E"/>
    <w:rsid w:val="003F768F"/>
    <w:rsid w:val="00401540"/>
    <w:rsid w:val="00407FC1"/>
    <w:rsid w:val="0041124F"/>
    <w:rsid w:val="00413E9D"/>
    <w:rsid w:val="0041746B"/>
    <w:rsid w:val="00440AAB"/>
    <w:rsid w:val="004448A9"/>
    <w:rsid w:val="004450BB"/>
    <w:rsid w:val="00452084"/>
    <w:rsid w:val="00452538"/>
    <w:rsid w:val="004528A2"/>
    <w:rsid w:val="00453BA1"/>
    <w:rsid w:val="004554D2"/>
    <w:rsid w:val="0046237B"/>
    <w:rsid w:val="00462844"/>
    <w:rsid w:val="004631B7"/>
    <w:rsid w:val="004A05F2"/>
    <w:rsid w:val="004A1243"/>
    <w:rsid w:val="004A1481"/>
    <w:rsid w:val="004A3B01"/>
    <w:rsid w:val="004E74E2"/>
    <w:rsid w:val="004F0185"/>
    <w:rsid w:val="004F15C8"/>
    <w:rsid w:val="0050175E"/>
    <w:rsid w:val="00503C00"/>
    <w:rsid w:val="00511BBC"/>
    <w:rsid w:val="00513787"/>
    <w:rsid w:val="00516FB4"/>
    <w:rsid w:val="00526FCB"/>
    <w:rsid w:val="0053295F"/>
    <w:rsid w:val="0054440B"/>
    <w:rsid w:val="00547841"/>
    <w:rsid w:val="00547D7E"/>
    <w:rsid w:val="00551E64"/>
    <w:rsid w:val="005528A1"/>
    <w:rsid w:val="00554A68"/>
    <w:rsid w:val="005669A9"/>
    <w:rsid w:val="00577669"/>
    <w:rsid w:val="005809A9"/>
    <w:rsid w:val="00584217"/>
    <w:rsid w:val="005877ED"/>
    <w:rsid w:val="00590686"/>
    <w:rsid w:val="005A422B"/>
    <w:rsid w:val="005A46FC"/>
    <w:rsid w:val="005B7497"/>
    <w:rsid w:val="005C4F20"/>
    <w:rsid w:val="005D161D"/>
    <w:rsid w:val="005E67BD"/>
    <w:rsid w:val="005F08B7"/>
    <w:rsid w:val="005F0B60"/>
    <w:rsid w:val="005F3065"/>
    <w:rsid w:val="005F7D52"/>
    <w:rsid w:val="006033F9"/>
    <w:rsid w:val="00604BD4"/>
    <w:rsid w:val="00604DB6"/>
    <w:rsid w:val="00610EEC"/>
    <w:rsid w:val="0061148A"/>
    <w:rsid w:val="00624CF3"/>
    <w:rsid w:val="0062648A"/>
    <w:rsid w:val="00645394"/>
    <w:rsid w:val="00660E99"/>
    <w:rsid w:val="00662D65"/>
    <w:rsid w:val="00663842"/>
    <w:rsid w:val="00673B0A"/>
    <w:rsid w:val="00674F80"/>
    <w:rsid w:val="006816EF"/>
    <w:rsid w:val="00690129"/>
    <w:rsid w:val="0069768A"/>
    <w:rsid w:val="006A65B0"/>
    <w:rsid w:val="006C116B"/>
    <w:rsid w:val="006C3058"/>
    <w:rsid w:val="006C5084"/>
    <w:rsid w:val="006D2308"/>
    <w:rsid w:val="006F35DD"/>
    <w:rsid w:val="007010BC"/>
    <w:rsid w:val="00703193"/>
    <w:rsid w:val="007065E2"/>
    <w:rsid w:val="00717536"/>
    <w:rsid w:val="00725AD3"/>
    <w:rsid w:val="00726D1C"/>
    <w:rsid w:val="00731211"/>
    <w:rsid w:val="0073248D"/>
    <w:rsid w:val="0073671D"/>
    <w:rsid w:val="00755678"/>
    <w:rsid w:val="007625E6"/>
    <w:rsid w:val="0076323C"/>
    <w:rsid w:val="0078492C"/>
    <w:rsid w:val="00791B56"/>
    <w:rsid w:val="007A41A1"/>
    <w:rsid w:val="007B5731"/>
    <w:rsid w:val="007C509E"/>
    <w:rsid w:val="007D2370"/>
    <w:rsid w:val="007E69E3"/>
    <w:rsid w:val="007E71CA"/>
    <w:rsid w:val="007F1163"/>
    <w:rsid w:val="00803B42"/>
    <w:rsid w:val="00803BF5"/>
    <w:rsid w:val="008042D2"/>
    <w:rsid w:val="00820F70"/>
    <w:rsid w:val="00821DE1"/>
    <w:rsid w:val="00824AB8"/>
    <w:rsid w:val="00831A81"/>
    <w:rsid w:val="00835C5C"/>
    <w:rsid w:val="0085056D"/>
    <w:rsid w:val="00851430"/>
    <w:rsid w:val="00854725"/>
    <w:rsid w:val="00856A98"/>
    <w:rsid w:val="008614C6"/>
    <w:rsid w:val="00863DFD"/>
    <w:rsid w:val="00870F0F"/>
    <w:rsid w:val="00884F86"/>
    <w:rsid w:val="008A5F42"/>
    <w:rsid w:val="008B5357"/>
    <w:rsid w:val="008D4065"/>
    <w:rsid w:val="008D471A"/>
    <w:rsid w:val="008D6A23"/>
    <w:rsid w:val="008E2721"/>
    <w:rsid w:val="008E73A0"/>
    <w:rsid w:val="008F5358"/>
    <w:rsid w:val="008F5AED"/>
    <w:rsid w:val="008F6EA6"/>
    <w:rsid w:val="00900378"/>
    <w:rsid w:val="00903CC5"/>
    <w:rsid w:val="00910DAB"/>
    <w:rsid w:val="009227E6"/>
    <w:rsid w:val="00924B77"/>
    <w:rsid w:val="00930B13"/>
    <w:rsid w:val="0093387C"/>
    <w:rsid w:val="00941A95"/>
    <w:rsid w:val="009420A0"/>
    <w:rsid w:val="00942209"/>
    <w:rsid w:val="009577BC"/>
    <w:rsid w:val="00970472"/>
    <w:rsid w:val="0098796F"/>
    <w:rsid w:val="00993491"/>
    <w:rsid w:val="009A2917"/>
    <w:rsid w:val="009A5413"/>
    <w:rsid w:val="009B0F99"/>
    <w:rsid w:val="009B6DDE"/>
    <w:rsid w:val="009C2038"/>
    <w:rsid w:val="009C29BF"/>
    <w:rsid w:val="009C3D42"/>
    <w:rsid w:val="009C5B3A"/>
    <w:rsid w:val="009D4E35"/>
    <w:rsid w:val="009D7D55"/>
    <w:rsid w:val="009E7146"/>
    <w:rsid w:val="009F79AE"/>
    <w:rsid w:val="00A13D9D"/>
    <w:rsid w:val="00A14885"/>
    <w:rsid w:val="00A218CC"/>
    <w:rsid w:val="00A2625C"/>
    <w:rsid w:val="00A3070F"/>
    <w:rsid w:val="00A432BB"/>
    <w:rsid w:val="00A45E88"/>
    <w:rsid w:val="00A72BA4"/>
    <w:rsid w:val="00A841C2"/>
    <w:rsid w:val="00A85621"/>
    <w:rsid w:val="00A87902"/>
    <w:rsid w:val="00A946FE"/>
    <w:rsid w:val="00AA3C8F"/>
    <w:rsid w:val="00AA468F"/>
    <w:rsid w:val="00AA7D1B"/>
    <w:rsid w:val="00AB11B6"/>
    <w:rsid w:val="00AB1592"/>
    <w:rsid w:val="00AC1FBD"/>
    <w:rsid w:val="00AC69F1"/>
    <w:rsid w:val="00AD60D2"/>
    <w:rsid w:val="00AE0BCF"/>
    <w:rsid w:val="00AE3BD1"/>
    <w:rsid w:val="00AE4FE2"/>
    <w:rsid w:val="00AE509B"/>
    <w:rsid w:val="00AF03AD"/>
    <w:rsid w:val="00AF4A59"/>
    <w:rsid w:val="00AF663A"/>
    <w:rsid w:val="00B10267"/>
    <w:rsid w:val="00B15146"/>
    <w:rsid w:val="00B26A78"/>
    <w:rsid w:val="00B31CEF"/>
    <w:rsid w:val="00B40641"/>
    <w:rsid w:val="00B53C0B"/>
    <w:rsid w:val="00B56E93"/>
    <w:rsid w:val="00B633A3"/>
    <w:rsid w:val="00B663E5"/>
    <w:rsid w:val="00B67CB3"/>
    <w:rsid w:val="00B71751"/>
    <w:rsid w:val="00B73D2E"/>
    <w:rsid w:val="00B76FAF"/>
    <w:rsid w:val="00BA022A"/>
    <w:rsid w:val="00BA264D"/>
    <w:rsid w:val="00BA2CB5"/>
    <w:rsid w:val="00BB019F"/>
    <w:rsid w:val="00BB3EAC"/>
    <w:rsid w:val="00BB45D3"/>
    <w:rsid w:val="00BC13BA"/>
    <w:rsid w:val="00C14C3D"/>
    <w:rsid w:val="00C20D29"/>
    <w:rsid w:val="00C214BF"/>
    <w:rsid w:val="00C31BD2"/>
    <w:rsid w:val="00C35578"/>
    <w:rsid w:val="00C35FB2"/>
    <w:rsid w:val="00C41A65"/>
    <w:rsid w:val="00C44C36"/>
    <w:rsid w:val="00C65415"/>
    <w:rsid w:val="00C65C75"/>
    <w:rsid w:val="00C729A1"/>
    <w:rsid w:val="00C72B25"/>
    <w:rsid w:val="00C72C29"/>
    <w:rsid w:val="00C772F7"/>
    <w:rsid w:val="00C80E64"/>
    <w:rsid w:val="00C82585"/>
    <w:rsid w:val="00CB08B8"/>
    <w:rsid w:val="00CB0CF2"/>
    <w:rsid w:val="00CB271E"/>
    <w:rsid w:val="00CB3F0A"/>
    <w:rsid w:val="00CB626B"/>
    <w:rsid w:val="00CB7165"/>
    <w:rsid w:val="00CB7D6C"/>
    <w:rsid w:val="00CC1891"/>
    <w:rsid w:val="00CC5122"/>
    <w:rsid w:val="00CF0026"/>
    <w:rsid w:val="00CF21CD"/>
    <w:rsid w:val="00CF6ED2"/>
    <w:rsid w:val="00D0089E"/>
    <w:rsid w:val="00D23051"/>
    <w:rsid w:val="00D31D11"/>
    <w:rsid w:val="00D33B8F"/>
    <w:rsid w:val="00D4241B"/>
    <w:rsid w:val="00D52972"/>
    <w:rsid w:val="00D57819"/>
    <w:rsid w:val="00D84AF0"/>
    <w:rsid w:val="00D87ABB"/>
    <w:rsid w:val="00D9012E"/>
    <w:rsid w:val="00D9654E"/>
    <w:rsid w:val="00D97461"/>
    <w:rsid w:val="00DB74AF"/>
    <w:rsid w:val="00DC5110"/>
    <w:rsid w:val="00DD3D62"/>
    <w:rsid w:val="00DD428E"/>
    <w:rsid w:val="00DD5715"/>
    <w:rsid w:val="00DE2DB6"/>
    <w:rsid w:val="00E14211"/>
    <w:rsid w:val="00E40EBA"/>
    <w:rsid w:val="00E44E6B"/>
    <w:rsid w:val="00E472D4"/>
    <w:rsid w:val="00E602A1"/>
    <w:rsid w:val="00E63B20"/>
    <w:rsid w:val="00E66E6A"/>
    <w:rsid w:val="00E72176"/>
    <w:rsid w:val="00E9513C"/>
    <w:rsid w:val="00E97318"/>
    <w:rsid w:val="00EA0D67"/>
    <w:rsid w:val="00EA166D"/>
    <w:rsid w:val="00EA4B7D"/>
    <w:rsid w:val="00EB095E"/>
    <w:rsid w:val="00EB3AE8"/>
    <w:rsid w:val="00EC2819"/>
    <w:rsid w:val="00EC740E"/>
    <w:rsid w:val="00ED207A"/>
    <w:rsid w:val="00EE1C36"/>
    <w:rsid w:val="00EE6A99"/>
    <w:rsid w:val="00EE7C1D"/>
    <w:rsid w:val="00EF3362"/>
    <w:rsid w:val="00F12721"/>
    <w:rsid w:val="00F17BD9"/>
    <w:rsid w:val="00F21799"/>
    <w:rsid w:val="00F2528A"/>
    <w:rsid w:val="00F25F10"/>
    <w:rsid w:val="00F362C1"/>
    <w:rsid w:val="00F37AE5"/>
    <w:rsid w:val="00F5733F"/>
    <w:rsid w:val="00F60E5F"/>
    <w:rsid w:val="00F620E1"/>
    <w:rsid w:val="00F75362"/>
    <w:rsid w:val="00F83BAA"/>
    <w:rsid w:val="00F94C7F"/>
    <w:rsid w:val="00F96C07"/>
    <w:rsid w:val="00FA33A3"/>
    <w:rsid w:val="00FA54CF"/>
    <w:rsid w:val="00FB042A"/>
    <w:rsid w:val="00FB0565"/>
    <w:rsid w:val="00FB7B0F"/>
    <w:rsid w:val="00FC0599"/>
    <w:rsid w:val="00FC4044"/>
    <w:rsid w:val="00FC6143"/>
    <w:rsid w:val="00FD01AF"/>
    <w:rsid w:val="00FD2498"/>
    <w:rsid w:val="00FD3694"/>
    <w:rsid w:val="00FD6955"/>
    <w:rsid w:val="00FE31CB"/>
    <w:rsid w:val="00FF4FE0"/>
    <w:rsid w:val="00FF64D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AB"/>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link w:val="Ttulo1Car"/>
    <w:uiPriority w:val="9"/>
    <w:qFormat/>
    <w:rsid w:val="00AE0BCF"/>
    <w:pPr>
      <w:spacing w:before="100" w:beforeAutospacing="1" w:after="100" w:afterAutospacing="1" w:line="264" w:lineRule="atLeast"/>
      <w:outlineLvl w:val="0"/>
    </w:pPr>
    <w:rPr>
      <w:b/>
      <w:bCs/>
      <w:kern w:val="36"/>
      <w:sz w:val="36"/>
      <w:szCs w:val="36"/>
      <w:lang w:val="es-VE" w:eastAsia="es-VE"/>
    </w:rPr>
  </w:style>
  <w:style w:type="paragraph" w:styleId="Ttulo2">
    <w:name w:val="heading 2"/>
    <w:basedOn w:val="Normal"/>
    <w:next w:val="Normal"/>
    <w:link w:val="Ttulo2Car"/>
    <w:uiPriority w:val="9"/>
    <w:semiHidden/>
    <w:unhideWhenUsed/>
    <w:qFormat/>
    <w:rsid w:val="004112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2DB6"/>
    <w:rPr>
      <w:color w:val="0000FF"/>
      <w:u w:val="single"/>
    </w:rPr>
  </w:style>
  <w:style w:type="character" w:customStyle="1" w:styleId="corchete-llamada1">
    <w:name w:val="corchete-llamada1"/>
    <w:basedOn w:val="Fuentedeprrafopredeter"/>
    <w:rsid w:val="00DE2DB6"/>
    <w:rPr>
      <w:vanish/>
      <w:webHidden w:val="0"/>
      <w:specVanish w:val="0"/>
    </w:rPr>
  </w:style>
  <w:style w:type="table" w:styleId="Tablaconcuadrcula">
    <w:name w:val="Table Grid"/>
    <w:basedOn w:val="Tablanormal"/>
    <w:uiPriority w:val="59"/>
    <w:rsid w:val="00417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3F65"/>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F65"/>
    <w:rPr>
      <w:rFonts w:ascii="Tahoma" w:eastAsia="Times New Roman" w:hAnsi="Tahoma" w:cs="Tahoma"/>
      <w:sz w:val="16"/>
      <w:szCs w:val="16"/>
      <w:lang w:val="es-ES_tradnl" w:eastAsia="es-ES"/>
    </w:rPr>
  </w:style>
  <w:style w:type="paragraph" w:styleId="Epgrafe">
    <w:name w:val="caption"/>
    <w:basedOn w:val="Normal"/>
    <w:next w:val="Normal"/>
    <w:uiPriority w:val="35"/>
    <w:unhideWhenUsed/>
    <w:qFormat/>
    <w:rsid w:val="003106FB"/>
    <w:pPr>
      <w:spacing w:after="200"/>
    </w:pPr>
    <w:rPr>
      <w:b/>
      <w:bCs/>
      <w:color w:val="4F81BD" w:themeColor="accent1"/>
      <w:sz w:val="18"/>
      <w:szCs w:val="18"/>
    </w:rPr>
  </w:style>
  <w:style w:type="table" w:customStyle="1" w:styleId="Listamedia11">
    <w:name w:val="Lista media 11"/>
    <w:basedOn w:val="Tablanormal"/>
    <w:uiPriority w:val="65"/>
    <w:rsid w:val="0038159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Default">
    <w:name w:val="Default"/>
    <w:rsid w:val="003D03D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461BE"/>
    <w:pPr>
      <w:ind w:left="720"/>
      <w:contextualSpacing/>
    </w:pPr>
  </w:style>
  <w:style w:type="character" w:customStyle="1" w:styleId="Ttulo1Car">
    <w:name w:val="Título 1 Car"/>
    <w:basedOn w:val="Fuentedeprrafopredeter"/>
    <w:link w:val="Ttulo1"/>
    <w:uiPriority w:val="9"/>
    <w:rsid w:val="00AE0BCF"/>
    <w:rPr>
      <w:rFonts w:ascii="Times New Roman" w:eastAsia="Times New Roman" w:hAnsi="Times New Roman" w:cs="Times New Roman"/>
      <w:b/>
      <w:bCs/>
      <w:kern w:val="36"/>
      <w:sz w:val="36"/>
      <w:szCs w:val="36"/>
      <w:lang w:eastAsia="es-VE"/>
    </w:rPr>
  </w:style>
  <w:style w:type="paragraph" w:customStyle="1" w:styleId="Pa4">
    <w:name w:val="Pa4"/>
    <w:basedOn w:val="Default"/>
    <w:next w:val="Default"/>
    <w:uiPriority w:val="99"/>
    <w:rsid w:val="00B26A78"/>
    <w:pPr>
      <w:spacing w:line="561" w:lineRule="atLeast"/>
    </w:pPr>
    <w:rPr>
      <w:rFonts w:ascii="Trade Gothic LT Std Light" w:hAnsi="Trade Gothic LT Std Light" w:cstheme="minorBidi"/>
      <w:color w:val="auto"/>
    </w:rPr>
  </w:style>
  <w:style w:type="character" w:customStyle="1" w:styleId="A5">
    <w:name w:val="A5"/>
    <w:uiPriority w:val="99"/>
    <w:rsid w:val="00B26A78"/>
    <w:rPr>
      <w:rFonts w:ascii="Minion Pro SmBd" w:hAnsi="Minion Pro SmBd" w:cs="Minion Pro SmBd"/>
      <w:b/>
      <w:bCs/>
      <w:color w:val="000000"/>
      <w:sz w:val="22"/>
      <w:szCs w:val="22"/>
    </w:rPr>
  </w:style>
  <w:style w:type="character" w:customStyle="1" w:styleId="A6">
    <w:name w:val="A6"/>
    <w:uiPriority w:val="99"/>
    <w:rsid w:val="00B26A78"/>
    <w:rPr>
      <w:rFonts w:ascii="Minion Pro SmBd" w:hAnsi="Minion Pro SmBd" w:cs="Minion Pro SmBd"/>
      <w:b/>
      <w:bCs/>
      <w:color w:val="000000"/>
      <w:sz w:val="16"/>
      <w:szCs w:val="16"/>
    </w:rPr>
  </w:style>
  <w:style w:type="character" w:customStyle="1" w:styleId="A9">
    <w:name w:val="A9"/>
    <w:uiPriority w:val="99"/>
    <w:rsid w:val="00B26A78"/>
    <w:rPr>
      <w:rFonts w:cs="Optima LT Std"/>
      <w:b/>
      <w:bCs/>
      <w:color w:val="000000"/>
      <w:sz w:val="14"/>
      <w:szCs w:val="14"/>
    </w:rPr>
  </w:style>
  <w:style w:type="character" w:customStyle="1" w:styleId="Ttulo2Car">
    <w:name w:val="Título 2 Car"/>
    <w:basedOn w:val="Fuentedeprrafopredeter"/>
    <w:link w:val="Ttulo2"/>
    <w:uiPriority w:val="9"/>
    <w:semiHidden/>
    <w:rsid w:val="0041124F"/>
    <w:rPr>
      <w:rFonts w:asciiTheme="majorHAnsi" w:eastAsiaTheme="majorEastAsia" w:hAnsiTheme="majorHAnsi" w:cstheme="majorBidi"/>
      <w:b/>
      <w:bCs/>
      <w:color w:val="4F81BD" w:themeColor="accent1"/>
      <w:sz w:val="26"/>
      <w:szCs w:val="26"/>
      <w:lang w:val="es-ES_tradnl" w:eastAsia="es-ES"/>
    </w:rPr>
  </w:style>
  <w:style w:type="character" w:styleId="Textoennegrita">
    <w:name w:val="Strong"/>
    <w:basedOn w:val="Fuentedeprrafopredeter"/>
    <w:uiPriority w:val="22"/>
    <w:qFormat/>
    <w:rsid w:val="0041124F"/>
    <w:rPr>
      <w:b/>
      <w:bCs/>
    </w:rPr>
  </w:style>
  <w:style w:type="paragraph" w:styleId="Sinespaciado">
    <w:name w:val="No Spacing"/>
    <w:uiPriority w:val="1"/>
    <w:qFormat/>
    <w:rsid w:val="00FC4044"/>
    <w:pPr>
      <w:spacing w:after="0" w:line="240" w:lineRule="auto"/>
    </w:pPr>
    <w:rPr>
      <w:rFonts w:ascii="Times New Roman" w:eastAsia="Times New Roman" w:hAnsi="Times New Roman" w:cs="Times New Roman"/>
      <w:sz w:val="24"/>
      <w:szCs w:val="24"/>
      <w:lang w:val="es-ES_tradnl" w:eastAsia="es-ES"/>
    </w:rPr>
  </w:style>
  <w:style w:type="paragraph" w:styleId="Ttulo">
    <w:name w:val="Title"/>
    <w:basedOn w:val="Normal"/>
    <w:next w:val="Normal"/>
    <w:link w:val="TtuloCar"/>
    <w:uiPriority w:val="10"/>
    <w:qFormat/>
    <w:rsid w:val="00FC40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4044"/>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tulo10">
    <w:name w:val="Título1"/>
    <w:basedOn w:val="Fuentedeprrafopredeter"/>
    <w:rsid w:val="005A422B"/>
  </w:style>
  <w:style w:type="character" w:customStyle="1" w:styleId="eid2239246">
    <w:name w:val="e_id2239246"/>
    <w:basedOn w:val="Fuentedeprrafopredeter"/>
    <w:rsid w:val="005A422B"/>
  </w:style>
  <w:style w:type="character" w:customStyle="1" w:styleId="eid2187921">
    <w:name w:val="e_id2187921"/>
    <w:basedOn w:val="Fuentedeprrafopredeter"/>
    <w:rsid w:val="005A422B"/>
  </w:style>
  <w:style w:type="character" w:customStyle="1" w:styleId="eid2288372">
    <w:name w:val="e_id2288372"/>
    <w:basedOn w:val="Fuentedeprrafopredeter"/>
    <w:rsid w:val="005A422B"/>
  </w:style>
  <w:style w:type="character" w:customStyle="1" w:styleId="eid2288406">
    <w:name w:val="e_id2288406"/>
    <w:basedOn w:val="Fuentedeprrafopredeter"/>
    <w:rsid w:val="005A422B"/>
  </w:style>
  <w:style w:type="character" w:customStyle="1" w:styleId="eid2288440">
    <w:name w:val="e_id2288440"/>
    <w:basedOn w:val="Fuentedeprrafopredeter"/>
    <w:rsid w:val="005A422B"/>
  </w:style>
  <w:style w:type="paragraph" w:styleId="Encabezado">
    <w:name w:val="header"/>
    <w:basedOn w:val="Normal"/>
    <w:link w:val="EncabezadoCar"/>
    <w:uiPriority w:val="99"/>
    <w:semiHidden/>
    <w:unhideWhenUsed/>
    <w:rsid w:val="003B7374"/>
    <w:pPr>
      <w:tabs>
        <w:tab w:val="center" w:pos="4419"/>
        <w:tab w:val="right" w:pos="8838"/>
      </w:tabs>
    </w:pPr>
  </w:style>
  <w:style w:type="character" w:customStyle="1" w:styleId="EncabezadoCar">
    <w:name w:val="Encabezado Car"/>
    <w:basedOn w:val="Fuentedeprrafopredeter"/>
    <w:link w:val="Encabezado"/>
    <w:uiPriority w:val="99"/>
    <w:semiHidden/>
    <w:rsid w:val="003B7374"/>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semiHidden/>
    <w:unhideWhenUsed/>
    <w:rsid w:val="003B7374"/>
    <w:pPr>
      <w:tabs>
        <w:tab w:val="center" w:pos="4419"/>
        <w:tab w:val="right" w:pos="8838"/>
      </w:tabs>
    </w:pPr>
  </w:style>
  <w:style w:type="character" w:customStyle="1" w:styleId="PiedepginaCar">
    <w:name w:val="Pie de página Car"/>
    <w:basedOn w:val="Fuentedeprrafopredeter"/>
    <w:link w:val="Piedepgina"/>
    <w:uiPriority w:val="99"/>
    <w:semiHidden/>
    <w:rsid w:val="003B7374"/>
    <w:rPr>
      <w:rFonts w:ascii="Times New Roman" w:eastAsia="Times New Roman" w:hAnsi="Times New Roman" w:cs="Times New Roman"/>
      <w:sz w:val="24"/>
      <w:szCs w:val="24"/>
      <w:lang w:val="es-ES_tradnl" w:eastAsia="es-ES"/>
    </w:rPr>
  </w:style>
  <w:style w:type="paragraph" w:styleId="Textoindependiente">
    <w:name w:val="Body Text"/>
    <w:basedOn w:val="Normal"/>
    <w:link w:val="TextoindependienteCar"/>
    <w:rsid w:val="0073248D"/>
    <w:pPr>
      <w:spacing w:after="120"/>
    </w:pPr>
    <w:rPr>
      <w:lang w:val="es-ES"/>
    </w:rPr>
  </w:style>
  <w:style w:type="character" w:customStyle="1" w:styleId="TextoindependienteCar">
    <w:name w:val="Texto independiente Car"/>
    <w:basedOn w:val="Fuentedeprrafopredeter"/>
    <w:link w:val="Textoindependiente"/>
    <w:rsid w:val="0073248D"/>
    <w:rPr>
      <w:rFonts w:ascii="Times New Roman" w:eastAsia="Times New Roman" w:hAnsi="Times New Roman" w:cs="Times New Roman"/>
      <w:sz w:val="24"/>
      <w:szCs w:val="24"/>
      <w:lang w:val="es-ES" w:eastAsia="es-ES"/>
    </w:rPr>
  </w:style>
  <w:style w:type="character" w:customStyle="1" w:styleId="A8">
    <w:name w:val="A8"/>
    <w:uiPriority w:val="99"/>
    <w:rsid w:val="008D4065"/>
    <w:rPr>
      <w:rFonts w:ascii="Minion Pro" w:hAnsi="Minion Pro" w:cs="Minion Pro"/>
      <w:b/>
      <w:bCs/>
      <w:color w:val="000000"/>
      <w:sz w:val="16"/>
      <w:szCs w:val="16"/>
    </w:rPr>
  </w:style>
  <w:style w:type="character" w:customStyle="1" w:styleId="A0">
    <w:name w:val="A0"/>
    <w:uiPriority w:val="99"/>
    <w:rsid w:val="00755678"/>
    <w:rPr>
      <w:rFonts w:cs="Optima LT Std Medium"/>
      <w:color w:val="000000"/>
      <w:sz w:val="14"/>
      <w:szCs w:val="14"/>
    </w:rPr>
  </w:style>
  <w:style w:type="character" w:customStyle="1" w:styleId="nlmxref-aff">
    <w:name w:val="nlm_xref-aff"/>
    <w:basedOn w:val="Fuentedeprrafopredeter"/>
    <w:rsid w:val="00624CF3"/>
  </w:style>
  <w:style w:type="character" w:customStyle="1" w:styleId="citation-abbreviation">
    <w:name w:val="citation-abbreviation"/>
    <w:basedOn w:val="Fuentedeprrafopredeter"/>
    <w:rsid w:val="00503C00"/>
  </w:style>
  <w:style w:type="character" w:customStyle="1" w:styleId="citation-publication-date">
    <w:name w:val="citation-publication-date"/>
    <w:basedOn w:val="Fuentedeprrafopredeter"/>
    <w:rsid w:val="00503C00"/>
  </w:style>
  <w:style w:type="character" w:customStyle="1" w:styleId="citation-volume">
    <w:name w:val="citation-volume"/>
    <w:basedOn w:val="Fuentedeprrafopredeter"/>
    <w:rsid w:val="00503C00"/>
  </w:style>
  <w:style w:type="character" w:customStyle="1" w:styleId="citation-issue">
    <w:name w:val="citation-issue"/>
    <w:basedOn w:val="Fuentedeprrafopredeter"/>
    <w:rsid w:val="00503C00"/>
  </w:style>
  <w:style w:type="character" w:customStyle="1" w:styleId="citation-flpages">
    <w:name w:val="citation-flpages"/>
    <w:basedOn w:val="Fuentedeprrafopredeter"/>
    <w:rsid w:val="00503C00"/>
  </w:style>
  <w:style w:type="character" w:customStyle="1" w:styleId="doi1">
    <w:name w:val="doi1"/>
    <w:basedOn w:val="Fuentedeprrafopredeter"/>
    <w:rsid w:val="00503C00"/>
  </w:style>
  <w:style w:type="character" w:customStyle="1" w:styleId="fm-citation-ids-label">
    <w:name w:val="fm-citation-ids-label"/>
    <w:basedOn w:val="Fuentedeprrafopredeter"/>
    <w:rsid w:val="00503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AB"/>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link w:val="Ttulo1Car"/>
    <w:uiPriority w:val="9"/>
    <w:qFormat/>
    <w:rsid w:val="00AE0BCF"/>
    <w:pPr>
      <w:spacing w:before="100" w:beforeAutospacing="1" w:after="100" w:afterAutospacing="1" w:line="264" w:lineRule="atLeast"/>
      <w:outlineLvl w:val="0"/>
    </w:pPr>
    <w:rPr>
      <w:b/>
      <w:bCs/>
      <w:kern w:val="36"/>
      <w:sz w:val="36"/>
      <w:szCs w:val="36"/>
      <w:lang w:val="es-VE" w:eastAsia="es-VE"/>
    </w:rPr>
  </w:style>
  <w:style w:type="paragraph" w:styleId="Ttulo2">
    <w:name w:val="heading 2"/>
    <w:basedOn w:val="Normal"/>
    <w:next w:val="Normal"/>
    <w:link w:val="Ttulo2Car"/>
    <w:uiPriority w:val="9"/>
    <w:semiHidden/>
    <w:unhideWhenUsed/>
    <w:qFormat/>
    <w:rsid w:val="004112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2DB6"/>
    <w:rPr>
      <w:color w:val="0000FF"/>
      <w:u w:val="single"/>
    </w:rPr>
  </w:style>
  <w:style w:type="character" w:customStyle="1" w:styleId="corchete-llamada1">
    <w:name w:val="corchete-llamada1"/>
    <w:basedOn w:val="Fuentedeprrafopredeter"/>
    <w:rsid w:val="00DE2DB6"/>
    <w:rPr>
      <w:vanish/>
      <w:webHidden w:val="0"/>
      <w:specVanish w:val="0"/>
    </w:rPr>
  </w:style>
  <w:style w:type="table" w:styleId="Tablaconcuadrcula">
    <w:name w:val="Table Grid"/>
    <w:basedOn w:val="Tablanormal"/>
    <w:uiPriority w:val="59"/>
    <w:rsid w:val="00417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3F65"/>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F65"/>
    <w:rPr>
      <w:rFonts w:ascii="Tahoma" w:eastAsia="Times New Roman" w:hAnsi="Tahoma" w:cs="Tahoma"/>
      <w:sz w:val="16"/>
      <w:szCs w:val="16"/>
      <w:lang w:val="es-ES_tradnl" w:eastAsia="es-ES"/>
    </w:rPr>
  </w:style>
  <w:style w:type="paragraph" w:styleId="Epgrafe">
    <w:name w:val="caption"/>
    <w:basedOn w:val="Normal"/>
    <w:next w:val="Normal"/>
    <w:uiPriority w:val="35"/>
    <w:unhideWhenUsed/>
    <w:qFormat/>
    <w:rsid w:val="003106FB"/>
    <w:pPr>
      <w:spacing w:after="200"/>
    </w:pPr>
    <w:rPr>
      <w:b/>
      <w:bCs/>
      <w:color w:val="4F81BD" w:themeColor="accent1"/>
      <w:sz w:val="18"/>
      <w:szCs w:val="18"/>
    </w:rPr>
  </w:style>
  <w:style w:type="table" w:customStyle="1" w:styleId="Listamedia11">
    <w:name w:val="Lista media 11"/>
    <w:basedOn w:val="Tablanormal"/>
    <w:uiPriority w:val="65"/>
    <w:rsid w:val="0038159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Default">
    <w:name w:val="Default"/>
    <w:rsid w:val="003D03D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461BE"/>
    <w:pPr>
      <w:ind w:left="720"/>
      <w:contextualSpacing/>
    </w:pPr>
  </w:style>
  <w:style w:type="character" w:customStyle="1" w:styleId="Ttulo1Car">
    <w:name w:val="Título 1 Car"/>
    <w:basedOn w:val="Fuentedeprrafopredeter"/>
    <w:link w:val="Ttulo1"/>
    <w:uiPriority w:val="9"/>
    <w:rsid w:val="00AE0BCF"/>
    <w:rPr>
      <w:rFonts w:ascii="Times New Roman" w:eastAsia="Times New Roman" w:hAnsi="Times New Roman" w:cs="Times New Roman"/>
      <w:b/>
      <w:bCs/>
      <w:kern w:val="36"/>
      <w:sz w:val="36"/>
      <w:szCs w:val="36"/>
      <w:lang w:eastAsia="es-VE"/>
    </w:rPr>
  </w:style>
  <w:style w:type="paragraph" w:customStyle="1" w:styleId="Pa4">
    <w:name w:val="Pa4"/>
    <w:basedOn w:val="Default"/>
    <w:next w:val="Default"/>
    <w:uiPriority w:val="99"/>
    <w:rsid w:val="00B26A78"/>
    <w:pPr>
      <w:spacing w:line="561" w:lineRule="atLeast"/>
    </w:pPr>
    <w:rPr>
      <w:rFonts w:ascii="Trade Gothic LT Std Light" w:hAnsi="Trade Gothic LT Std Light" w:cstheme="minorBidi"/>
      <w:color w:val="auto"/>
    </w:rPr>
  </w:style>
  <w:style w:type="character" w:customStyle="1" w:styleId="A5">
    <w:name w:val="A5"/>
    <w:uiPriority w:val="99"/>
    <w:rsid w:val="00B26A78"/>
    <w:rPr>
      <w:rFonts w:ascii="Minion Pro SmBd" w:hAnsi="Minion Pro SmBd" w:cs="Minion Pro SmBd"/>
      <w:b/>
      <w:bCs/>
      <w:color w:val="000000"/>
      <w:sz w:val="22"/>
      <w:szCs w:val="22"/>
    </w:rPr>
  </w:style>
  <w:style w:type="character" w:customStyle="1" w:styleId="A6">
    <w:name w:val="A6"/>
    <w:uiPriority w:val="99"/>
    <w:rsid w:val="00B26A78"/>
    <w:rPr>
      <w:rFonts w:ascii="Minion Pro SmBd" w:hAnsi="Minion Pro SmBd" w:cs="Minion Pro SmBd"/>
      <w:b/>
      <w:bCs/>
      <w:color w:val="000000"/>
      <w:sz w:val="16"/>
      <w:szCs w:val="16"/>
    </w:rPr>
  </w:style>
  <w:style w:type="character" w:customStyle="1" w:styleId="A9">
    <w:name w:val="A9"/>
    <w:uiPriority w:val="99"/>
    <w:rsid w:val="00B26A78"/>
    <w:rPr>
      <w:rFonts w:cs="Optima LT Std"/>
      <w:b/>
      <w:bCs/>
      <w:color w:val="000000"/>
      <w:sz w:val="14"/>
      <w:szCs w:val="14"/>
    </w:rPr>
  </w:style>
  <w:style w:type="character" w:customStyle="1" w:styleId="Ttulo2Car">
    <w:name w:val="Título 2 Car"/>
    <w:basedOn w:val="Fuentedeprrafopredeter"/>
    <w:link w:val="Ttulo2"/>
    <w:uiPriority w:val="9"/>
    <w:semiHidden/>
    <w:rsid w:val="0041124F"/>
    <w:rPr>
      <w:rFonts w:asciiTheme="majorHAnsi" w:eastAsiaTheme="majorEastAsia" w:hAnsiTheme="majorHAnsi" w:cstheme="majorBidi"/>
      <w:b/>
      <w:bCs/>
      <w:color w:val="4F81BD" w:themeColor="accent1"/>
      <w:sz w:val="26"/>
      <w:szCs w:val="26"/>
      <w:lang w:val="es-ES_tradnl" w:eastAsia="es-ES"/>
    </w:rPr>
  </w:style>
  <w:style w:type="character" w:styleId="Textoennegrita">
    <w:name w:val="Strong"/>
    <w:basedOn w:val="Fuentedeprrafopredeter"/>
    <w:uiPriority w:val="22"/>
    <w:qFormat/>
    <w:rsid w:val="0041124F"/>
    <w:rPr>
      <w:b/>
      <w:bCs/>
    </w:rPr>
  </w:style>
  <w:style w:type="paragraph" w:styleId="Sinespaciado">
    <w:name w:val="No Spacing"/>
    <w:uiPriority w:val="1"/>
    <w:qFormat/>
    <w:rsid w:val="00FC4044"/>
    <w:pPr>
      <w:spacing w:after="0" w:line="240" w:lineRule="auto"/>
    </w:pPr>
    <w:rPr>
      <w:rFonts w:ascii="Times New Roman" w:eastAsia="Times New Roman" w:hAnsi="Times New Roman" w:cs="Times New Roman"/>
      <w:sz w:val="24"/>
      <w:szCs w:val="24"/>
      <w:lang w:val="es-ES_tradnl" w:eastAsia="es-ES"/>
    </w:rPr>
  </w:style>
  <w:style w:type="paragraph" w:styleId="Ttulo">
    <w:name w:val="Title"/>
    <w:basedOn w:val="Normal"/>
    <w:next w:val="Normal"/>
    <w:link w:val="TtuloCar"/>
    <w:uiPriority w:val="10"/>
    <w:qFormat/>
    <w:rsid w:val="00FC40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4044"/>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tulo10">
    <w:name w:val="Título1"/>
    <w:basedOn w:val="Fuentedeprrafopredeter"/>
    <w:rsid w:val="005A422B"/>
  </w:style>
  <w:style w:type="character" w:customStyle="1" w:styleId="eid2239246">
    <w:name w:val="e_id2239246"/>
    <w:basedOn w:val="Fuentedeprrafopredeter"/>
    <w:rsid w:val="005A422B"/>
  </w:style>
  <w:style w:type="character" w:customStyle="1" w:styleId="eid2187921">
    <w:name w:val="e_id2187921"/>
    <w:basedOn w:val="Fuentedeprrafopredeter"/>
    <w:rsid w:val="005A422B"/>
  </w:style>
  <w:style w:type="character" w:customStyle="1" w:styleId="eid2288372">
    <w:name w:val="e_id2288372"/>
    <w:basedOn w:val="Fuentedeprrafopredeter"/>
    <w:rsid w:val="005A422B"/>
  </w:style>
  <w:style w:type="character" w:customStyle="1" w:styleId="eid2288406">
    <w:name w:val="e_id2288406"/>
    <w:basedOn w:val="Fuentedeprrafopredeter"/>
    <w:rsid w:val="005A422B"/>
  </w:style>
  <w:style w:type="character" w:customStyle="1" w:styleId="eid2288440">
    <w:name w:val="e_id2288440"/>
    <w:basedOn w:val="Fuentedeprrafopredeter"/>
    <w:rsid w:val="005A422B"/>
  </w:style>
  <w:style w:type="paragraph" w:styleId="Encabezado">
    <w:name w:val="header"/>
    <w:basedOn w:val="Normal"/>
    <w:link w:val="EncabezadoCar"/>
    <w:uiPriority w:val="99"/>
    <w:semiHidden/>
    <w:unhideWhenUsed/>
    <w:rsid w:val="003B7374"/>
    <w:pPr>
      <w:tabs>
        <w:tab w:val="center" w:pos="4419"/>
        <w:tab w:val="right" w:pos="8838"/>
      </w:tabs>
    </w:pPr>
  </w:style>
  <w:style w:type="character" w:customStyle="1" w:styleId="EncabezadoCar">
    <w:name w:val="Encabezado Car"/>
    <w:basedOn w:val="Fuentedeprrafopredeter"/>
    <w:link w:val="Encabezado"/>
    <w:uiPriority w:val="99"/>
    <w:semiHidden/>
    <w:rsid w:val="003B7374"/>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semiHidden/>
    <w:unhideWhenUsed/>
    <w:rsid w:val="003B7374"/>
    <w:pPr>
      <w:tabs>
        <w:tab w:val="center" w:pos="4419"/>
        <w:tab w:val="right" w:pos="8838"/>
      </w:tabs>
    </w:pPr>
  </w:style>
  <w:style w:type="character" w:customStyle="1" w:styleId="PiedepginaCar">
    <w:name w:val="Pie de página Car"/>
    <w:basedOn w:val="Fuentedeprrafopredeter"/>
    <w:link w:val="Piedepgina"/>
    <w:uiPriority w:val="99"/>
    <w:semiHidden/>
    <w:rsid w:val="003B7374"/>
    <w:rPr>
      <w:rFonts w:ascii="Times New Roman" w:eastAsia="Times New Roman" w:hAnsi="Times New Roman" w:cs="Times New Roman"/>
      <w:sz w:val="24"/>
      <w:szCs w:val="24"/>
      <w:lang w:val="es-ES_tradnl" w:eastAsia="es-ES"/>
    </w:rPr>
  </w:style>
  <w:style w:type="paragraph" w:styleId="Textoindependiente">
    <w:name w:val="Body Text"/>
    <w:basedOn w:val="Normal"/>
    <w:link w:val="TextoindependienteCar"/>
    <w:rsid w:val="0073248D"/>
    <w:pPr>
      <w:spacing w:after="120"/>
    </w:pPr>
    <w:rPr>
      <w:lang w:val="es-ES"/>
    </w:rPr>
  </w:style>
  <w:style w:type="character" w:customStyle="1" w:styleId="TextoindependienteCar">
    <w:name w:val="Texto independiente Car"/>
    <w:basedOn w:val="Fuentedeprrafopredeter"/>
    <w:link w:val="Textoindependiente"/>
    <w:rsid w:val="0073248D"/>
    <w:rPr>
      <w:rFonts w:ascii="Times New Roman" w:eastAsia="Times New Roman" w:hAnsi="Times New Roman" w:cs="Times New Roman"/>
      <w:sz w:val="24"/>
      <w:szCs w:val="24"/>
      <w:lang w:val="es-ES" w:eastAsia="es-ES"/>
    </w:rPr>
  </w:style>
  <w:style w:type="character" w:customStyle="1" w:styleId="A8">
    <w:name w:val="A8"/>
    <w:uiPriority w:val="99"/>
    <w:rsid w:val="008D4065"/>
    <w:rPr>
      <w:rFonts w:ascii="Minion Pro" w:hAnsi="Minion Pro" w:cs="Minion Pro"/>
      <w:b/>
      <w:bCs/>
      <w:color w:val="000000"/>
      <w:sz w:val="16"/>
      <w:szCs w:val="16"/>
    </w:rPr>
  </w:style>
  <w:style w:type="character" w:customStyle="1" w:styleId="A0">
    <w:name w:val="A0"/>
    <w:uiPriority w:val="99"/>
    <w:rsid w:val="00755678"/>
    <w:rPr>
      <w:rFonts w:cs="Optima LT Std Medium"/>
      <w:color w:val="000000"/>
      <w:sz w:val="14"/>
      <w:szCs w:val="14"/>
    </w:rPr>
  </w:style>
  <w:style w:type="character" w:customStyle="1" w:styleId="nlmxref-aff">
    <w:name w:val="nlm_xref-aff"/>
    <w:basedOn w:val="Fuentedeprrafopredeter"/>
    <w:rsid w:val="00624CF3"/>
  </w:style>
  <w:style w:type="character" w:customStyle="1" w:styleId="citation-abbreviation">
    <w:name w:val="citation-abbreviation"/>
    <w:basedOn w:val="Fuentedeprrafopredeter"/>
    <w:rsid w:val="00503C00"/>
  </w:style>
  <w:style w:type="character" w:customStyle="1" w:styleId="citation-publication-date">
    <w:name w:val="citation-publication-date"/>
    <w:basedOn w:val="Fuentedeprrafopredeter"/>
    <w:rsid w:val="00503C00"/>
  </w:style>
  <w:style w:type="character" w:customStyle="1" w:styleId="citation-volume">
    <w:name w:val="citation-volume"/>
    <w:basedOn w:val="Fuentedeprrafopredeter"/>
    <w:rsid w:val="00503C00"/>
  </w:style>
  <w:style w:type="character" w:customStyle="1" w:styleId="citation-issue">
    <w:name w:val="citation-issue"/>
    <w:basedOn w:val="Fuentedeprrafopredeter"/>
    <w:rsid w:val="00503C00"/>
  </w:style>
  <w:style w:type="character" w:customStyle="1" w:styleId="citation-flpages">
    <w:name w:val="citation-flpages"/>
    <w:basedOn w:val="Fuentedeprrafopredeter"/>
    <w:rsid w:val="00503C00"/>
  </w:style>
  <w:style w:type="character" w:customStyle="1" w:styleId="doi1">
    <w:name w:val="doi1"/>
    <w:basedOn w:val="Fuentedeprrafopredeter"/>
    <w:rsid w:val="00503C00"/>
  </w:style>
  <w:style w:type="character" w:customStyle="1" w:styleId="fm-citation-ids-label">
    <w:name w:val="fm-citation-ids-label"/>
    <w:basedOn w:val="Fuentedeprrafopredeter"/>
    <w:rsid w:val="0050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5952">
      <w:bodyDiv w:val="1"/>
      <w:marLeft w:val="0"/>
      <w:marRight w:val="0"/>
      <w:marTop w:val="0"/>
      <w:marBottom w:val="0"/>
      <w:divBdr>
        <w:top w:val="none" w:sz="0" w:space="0" w:color="auto"/>
        <w:left w:val="none" w:sz="0" w:space="0" w:color="auto"/>
        <w:bottom w:val="none" w:sz="0" w:space="0" w:color="auto"/>
        <w:right w:val="none" w:sz="0" w:space="0" w:color="auto"/>
      </w:divBdr>
    </w:div>
    <w:div w:id="126897742">
      <w:bodyDiv w:val="1"/>
      <w:marLeft w:val="0"/>
      <w:marRight w:val="0"/>
      <w:marTop w:val="0"/>
      <w:marBottom w:val="0"/>
      <w:divBdr>
        <w:top w:val="none" w:sz="0" w:space="0" w:color="auto"/>
        <w:left w:val="none" w:sz="0" w:space="0" w:color="auto"/>
        <w:bottom w:val="none" w:sz="0" w:space="0" w:color="auto"/>
        <w:right w:val="none" w:sz="0" w:space="0" w:color="auto"/>
      </w:divBdr>
    </w:div>
    <w:div w:id="133302156">
      <w:bodyDiv w:val="1"/>
      <w:marLeft w:val="0"/>
      <w:marRight w:val="0"/>
      <w:marTop w:val="0"/>
      <w:marBottom w:val="0"/>
      <w:divBdr>
        <w:top w:val="none" w:sz="0" w:space="0" w:color="auto"/>
        <w:left w:val="none" w:sz="0" w:space="0" w:color="auto"/>
        <w:bottom w:val="none" w:sz="0" w:space="0" w:color="auto"/>
        <w:right w:val="none" w:sz="0" w:space="0" w:color="auto"/>
      </w:divBdr>
    </w:div>
    <w:div w:id="172380440">
      <w:bodyDiv w:val="1"/>
      <w:marLeft w:val="0"/>
      <w:marRight w:val="0"/>
      <w:marTop w:val="0"/>
      <w:marBottom w:val="0"/>
      <w:divBdr>
        <w:top w:val="none" w:sz="0" w:space="0" w:color="auto"/>
        <w:left w:val="none" w:sz="0" w:space="0" w:color="auto"/>
        <w:bottom w:val="none" w:sz="0" w:space="0" w:color="auto"/>
        <w:right w:val="none" w:sz="0" w:space="0" w:color="auto"/>
      </w:divBdr>
      <w:divsChild>
        <w:div w:id="1081292073">
          <w:marLeft w:val="0"/>
          <w:marRight w:val="0"/>
          <w:marTop w:val="0"/>
          <w:marBottom w:val="0"/>
          <w:divBdr>
            <w:top w:val="none" w:sz="0" w:space="0" w:color="auto"/>
            <w:left w:val="none" w:sz="0" w:space="0" w:color="auto"/>
            <w:bottom w:val="none" w:sz="0" w:space="0" w:color="auto"/>
            <w:right w:val="none" w:sz="0" w:space="0" w:color="auto"/>
          </w:divBdr>
          <w:divsChild>
            <w:div w:id="301154317">
              <w:marLeft w:val="0"/>
              <w:marRight w:val="0"/>
              <w:marTop w:val="0"/>
              <w:marBottom w:val="0"/>
              <w:divBdr>
                <w:top w:val="none" w:sz="0" w:space="0" w:color="auto"/>
                <w:left w:val="none" w:sz="0" w:space="0" w:color="auto"/>
                <w:bottom w:val="none" w:sz="0" w:space="0" w:color="auto"/>
                <w:right w:val="none" w:sz="0" w:space="0" w:color="auto"/>
              </w:divBdr>
              <w:divsChild>
                <w:div w:id="1023749067">
                  <w:marLeft w:val="0"/>
                  <w:marRight w:val="-6084"/>
                  <w:marTop w:val="0"/>
                  <w:marBottom w:val="0"/>
                  <w:divBdr>
                    <w:top w:val="none" w:sz="0" w:space="0" w:color="auto"/>
                    <w:left w:val="none" w:sz="0" w:space="0" w:color="auto"/>
                    <w:bottom w:val="none" w:sz="0" w:space="0" w:color="auto"/>
                    <w:right w:val="none" w:sz="0" w:space="0" w:color="auto"/>
                  </w:divBdr>
                  <w:divsChild>
                    <w:div w:id="1477642078">
                      <w:marLeft w:val="0"/>
                      <w:marRight w:val="5604"/>
                      <w:marTop w:val="0"/>
                      <w:marBottom w:val="0"/>
                      <w:divBdr>
                        <w:top w:val="none" w:sz="0" w:space="0" w:color="auto"/>
                        <w:left w:val="none" w:sz="0" w:space="0" w:color="auto"/>
                        <w:bottom w:val="none" w:sz="0" w:space="0" w:color="auto"/>
                        <w:right w:val="none" w:sz="0" w:space="0" w:color="auto"/>
                      </w:divBdr>
                      <w:divsChild>
                        <w:div w:id="1496412267">
                          <w:marLeft w:val="0"/>
                          <w:marRight w:val="0"/>
                          <w:marTop w:val="0"/>
                          <w:marBottom w:val="0"/>
                          <w:divBdr>
                            <w:top w:val="none" w:sz="0" w:space="0" w:color="auto"/>
                            <w:left w:val="none" w:sz="0" w:space="0" w:color="auto"/>
                            <w:bottom w:val="none" w:sz="0" w:space="0" w:color="auto"/>
                            <w:right w:val="none" w:sz="0" w:space="0" w:color="auto"/>
                          </w:divBdr>
                          <w:divsChild>
                            <w:div w:id="1086997187">
                              <w:marLeft w:val="0"/>
                              <w:marRight w:val="0"/>
                              <w:marTop w:val="120"/>
                              <w:marBottom w:val="360"/>
                              <w:divBdr>
                                <w:top w:val="none" w:sz="0" w:space="0" w:color="auto"/>
                                <w:left w:val="none" w:sz="0" w:space="0" w:color="auto"/>
                                <w:bottom w:val="none" w:sz="0" w:space="0" w:color="auto"/>
                                <w:right w:val="none" w:sz="0" w:space="0" w:color="auto"/>
                              </w:divBdr>
                              <w:divsChild>
                                <w:div w:id="1593926652">
                                  <w:marLeft w:val="0"/>
                                  <w:marRight w:val="0"/>
                                  <w:marTop w:val="0"/>
                                  <w:marBottom w:val="0"/>
                                  <w:divBdr>
                                    <w:top w:val="none" w:sz="0" w:space="0" w:color="auto"/>
                                    <w:left w:val="none" w:sz="0" w:space="0" w:color="auto"/>
                                    <w:bottom w:val="none" w:sz="0" w:space="0" w:color="auto"/>
                                    <w:right w:val="none" w:sz="0" w:space="0" w:color="auto"/>
                                  </w:divBdr>
                                </w:div>
                                <w:div w:id="16173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049160">
      <w:bodyDiv w:val="1"/>
      <w:marLeft w:val="0"/>
      <w:marRight w:val="0"/>
      <w:marTop w:val="0"/>
      <w:marBottom w:val="0"/>
      <w:divBdr>
        <w:top w:val="none" w:sz="0" w:space="0" w:color="auto"/>
        <w:left w:val="none" w:sz="0" w:space="0" w:color="auto"/>
        <w:bottom w:val="none" w:sz="0" w:space="0" w:color="auto"/>
        <w:right w:val="none" w:sz="0" w:space="0" w:color="auto"/>
      </w:divBdr>
      <w:divsChild>
        <w:div w:id="1120146884">
          <w:marLeft w:val="0"/>
          <w:marRight w:val="1"/>
          <w:marTop w:val="0"/>
          <w:marBottom w:val="0"/>
          <w:divBdr>
            <w:top w:val="none" w:sz="0" w:space="0" w:color="auto"/>
            <w:left w:val="none" w:sz="0" w:space="0" w:color="auto"/>
            <w:bottom w:val="none" w:sz="0" w:space="0" w:color="auto"/>
            <w:right w:val="none" w:sz="0" w:space="0" w:color="auto"/>
          </w:divBdr>
          <w:divsChild>
            <w:div w:id="1596402082">
              <w:marLeft w:val="295"/>
              <w:marRight w:val="0"/>
              <w:marTop w:val="0"/>
              <w:marBottom w:val="0"/>
              <w:divBdr>
                <w:top w:val="none" w:sz="0" w:space="0" w:color="auto"/>
                <w:left w:val="none" w:sz="0" w:space="0" w:color="auto"/>
                <w:bottom w:val="none" w:sz="0" w:space="0" w:color="auto"/>
                <w:right w:val="none" w:sz="0" w:space="0" w:color="auto"/>
              </w:divBdr>
              <w:divsChild>
                <w:div w:id="796795515">
                  <w:marLeft w:val="0"/>
                  <w:marRight w:val="0"/>
                  <w:marTop w:val="0"/>
                  <w:marBottom w:val="0"/>
                  <w:divBdr>
                    <w:top w:val="none" w:sz="0" w:space="0" w:color="auto"/>
                    <w:left w:val="none" w:sz="0" w:space="0" w:color="auto"/>
                    <w:bottom w:val="none" w:sz="0" w:space="0" w:color="auto"/>
                    <w:right w:val="none" w:sz="0" w:space="0" w:color="auto"/>
                  </w:divBdr>
                  <w:divsChild>
                    <w:div w:id="1421025363">
                      <w:marLeft w:val="0"/>
                      <w:marRight w:val="0"/>
                      <w:marTop w:val="0"/>
                      <w:marBottom w:val="0"/>
                      <w:divBdr>
                        <w:top w:val="none" w:sz="0" w:space="0" w:color="auto"/>
                        <w:left w:val="none" w:sz="0" w:space="0" w:color="auto"/>
                        <w:bottom w:val="none" w:sz="0" w:space="0" w:color="auto"/>
                        <w:right w:val="none" w:sz="0" w:space="0" w:color="auto"/>
                      </w:divBdr>
                      <w:divsChild>
                        <w:div w:id="905795182">
                          <w:marLeft w:val="0"/>
                          <w:marRight w:val="0"/>
                          <w:marTop w:val="0"/>
                          <w:marBottom w:val="0"/>
                          <w:divBdr>
                            <w:top w:val="none" w:sz="0" w:space="0" w:color="auto"/>
                            <w:left w:val="none" w:sz="0" w:space="0" w:color="auto"/>
                            <w:bottom w:val="none" w:sz="0" w:space="0" w:color="auto"/>
                            <w:right w:val="none" w:sz="0" w:space="0" w:color="auto"/>
                          </w:divBdr>
                          <w:divsChild>
                            <w:div w:id="1474634296">
                              <w:marLeft w:val="0"/>
                              <w:marRight w:val="0"/>
                              <w:marTop w:val="0"/>
                              <w:marBottom w:val="0"/>
                              <w:divBdr>
                                <w:top w:val="none" w:sz="0" w:space="0" w:color="auto"/>
                                <w:left w:val="none" w:sz="0" w:space="0" w:color="auto"/>
                                <w:bottom w:val="none" w:sz="0" w:space="0" w:color="auto"/>
                                <w:right w:val="none" w:sz="0" w:space="0" w:color="auto"/>
                              </w:divBdr>
                            </w:div>
                            <w:div w:id="494997773">
                              <w:marLeft w:val="0"/>
                              <w:marRight w:val="0"/>
                              <w:marTop w:val="0"/>
                              <w:marBottom w:val="0"/>
                              <w:divBdr>
                                <w:top w:val="none" w:sz="0" w:space="0" w:color="auto"/>
                                <w:left w:val="none" w:sz="0" w:space="0" w:color="auto"/>
                                <w:bottom w:val="none" w:sz="0" w:space="0" w:color="auto"/>
                                <w:right w:val="none" w:sz="0" w:space="0" w:color="auto"/>
                              </w:divBdr>
                              <w:divsChild>
                                <w:div w:id="1435632431">
                                  <w:marLeft w:val="0"/>
                                  <w:marRight w:val="0"/>
                                  <w:marTop w:val="0"/>
                                  <w:marBottom w:val="0"/>
                                  <w:divBdr>
                                    <w:top w:val="none" w:sz="0" w:space="0" w:color="auto"/>
                                    <w:left w:val="none" w:sz="0" w:space="0" w:color="auto"/>
                                    <w:bottom w:val="none" w:sz="0" w:space="0" w:color="auto"/>
                                    <w:right w:val="none" w:sz="0" w:space="0" w:color="auto"/>
                                  </w:divBdr>
                                  <w:divsChild>
                                    <w:div w:id="12692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327">
                              <w:marLeft w:val="0"/>
                              <w:marRight w:val="0"/>
                              <w:marTop w:val="0"/>
                              <w:marBottom w:val="0"/>
                              <w:divBdr>
                                <w:top w:val="none" w:sz="0" w:space="0" w:color="auto"/>
                                <w:left w:val="none" w:sz="0" w:space="0" w:color="auto"/>
                                <w:bottom w:val="none" w:sz="0" w:space="0" w:color="auto"/>
                                <w:right w:val="none" w:sz="0" w:space="0" w:color="auto"/>
                              </w:divBdr>
                              <w:divsChild>
                                <w:div w:id="1967664271">
                                  <w:marLeft w:val="0"/>
                                  <w:marRight w:val="0"/>
                                  <w:marTop w:val="0"/>
                                  <w:marBottom w:val="0"/>
                                  <w:divBdr>
                                    <w:top w:val="none" w:sz="0" w:space="0" w:color="auto"/>
                                    <w:left w:val="none" w:sz="0" w:space="0" w:color="auto"/>
                                    <w:bottom w:val="none" w:sz="0" w:space="0" w:color="auto"/>
                                    <w:right w:val="none" w:sz="0" w:space="0" w:color="auto"/>
                                  </w:divBdr>
                                  <w:divsChild>
                                    <w:div w:id="7183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5035">
                              <w:marLeft w:val="0"/>
                              <w:marRight w:val="0"/>
                              <w:marTop w:val="0"/>
                              <w:marBottom w:val="0"/>
                              <w:divBdr>
                                <w:top w:val="none" w:sz="0" w:space="0" w:color="auto"/>
                                <w:left w:val="none" w:sz="0" w:space="0" w:color="auto"/>
                                <w:bottom w:val="none" w:sz="0" w:space="0" w:color="auto"/>
                                <w:right w:val="none" w:sz="0" w:space="0" w:color="auto"/>
                              </w:divBdr>
                              <w:divsChild>
                                <w:div w:id="1317760658">
                                  <w:marLeft w:val="0"/>
                                  <w:marRight w:val="0"/>
                                  <w:marTop w:val="0"/>
                                  <w:marBottom w:val="0"/>
                                  <w:divBdr>
                                    <w:top w:val="none" w:sz="0" w:space="0" w:color="auto"/>
                                    <w:left w:val="none" w:sz="0" w:space="0" w:color="auto"/>
                                    <w:bottom w:val="none" w:sz="0" w:space="0" w:color="auto"/>
                                    <w:right w:val="none" w:sz="0" w:space="0" w:color="auto"/>
                                  </w:divBdr>
                                  <w:divsChild>
                                    <w:div w:id="12854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0">
                              <w:marLeft w:val="0"/>
                              <w:marRight w:val="0"/>
                              <w:marTop w:val="0"/>
                              <w:marBottom w:val="0"/>
                              <w:divBdr>
                                <w:top w:val="none" w:sz="0" w:space="0" w:color="auto"/>
                                <w:left w:val="none" w:sz="0" w:space="0" w:color="auto"/>
                                <w:bottom w:val="none" w:sz="0" w:space="0" w:color="auto"/>
                                <w:right w:val="none" w:sz="0" w:space="0" w:color="auto"/>
                              </w:divBdr>
                              <w:divsChild>
                                <w:div w:id="747381431">
                                  <w:marLeft w:val="0"/>
                                  <w:marRight w:val="0"/>
                                  <w:marTop w:val="0"/>
                                  <w:marBottom w:val="0"/>
                                  <w:divBdr>
                                    <w:top w:val="none" w:sz="0" w:space="0" w:color="auto"/>
                                    <w:left w:val="none" w:sz="0" w:space="0" w:color="auto"/>
                                    <w:bottom w:val="none" w:sz="0" w:space="0" w:color="auto"/>
                                    <w:right w:val="none" w:sz="0" w:space="0" w:color="auto"/>
                                  </w:divBdr>
                                  <w:divsChild>
                                    <w:div w:id="3662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0252">
                              <w:marLeft w:val="0"/>
                              <w:marRight w:val="0"/>
                              <w:marTop w:val="0"/>
                              <w:marBottom w:val="0"/>
                              <w:divBdr>
                                <w:top w:val="none" w:sz="0" w:space="0" w:color="auto"/>
                                <w:left w:val="none" w:sz="0" w:space="0" w:color="auto"/>
                                <w:bottom w:val="none" w:sz="0" w:space="0" w:color="auto"/>
                                <w:right w:val="none" w:sz="0" w:space="0" w:color="auto"/>
                              </w:divBdr>
                              <w:divsChild>
                                <w:div w:id="1085805614">
                                  <w:marLeft w:val="0"/>
                                  <w:marRight w:val="0"/>
                                  <w:marTop w:val="0"/>
                                  <w:marBottom w:val="0"/>
                                  <w:divBdr>
                                    <w:top w:val="none" w:sz="0" w:space="0" w:color="auto"/>
                                    <w:left w:val="none" w:sz="0" w:space="0" w:color="auto"/>
                                    <w:bottom w:val="none" w:sz="0" w:space="0" w:color="auto"/>
                                    <w:right w:val="none" w:sz="0" w:space="0" w:color="auto"/>
                                  </w:divBdr>
                                  <w:divsChild>
                                    <w:div w:id="350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230030">
      <w:bodyDiv w:val="1"/>
      <w:marLeft w:val="0"/>
      <w:marRight w:val="0"/>
      <w:marTop w:val="0"/>
      <w:marBottom w:val="0"/>
      <w:divBdr>
        <w:top w:val="none" w:sz="0" w:space="0" w:color="auto"/>
        <w:left w:val="none" w:sz="0" w:space="0" w:color="auto"/>
        <w:bottom w:val="none" w:sz="0" w:space="0" w:color="auto"/>
        <w:right w:val="none" w:sz="0" w:space="0" w:color="auto"/>
      </w:divBdr>
      <w:divsChild>
        <w:div w:id="258609564">
          <w:marLeft w:val="0"/>
          <w:marRight w:val="0"/>
          <w:marTop w:val="0"/>
          <w:marBottom w:val="0"/>
          <w:divBdr>
            <w:top w:val="none" w:sz="0" w:space="0" w:color="auto"/>
            <w:left w:val="none" w:sz="0" w:space="0" w:color="auto"/>
            <w:bottom w:val="none" w:sz="0" w:space="0" w:color="auto"/>
            <w:right w:val="none" w:sz="0" w:space="0" w:color="auto"/>
          </w:divBdr>
          <w:divsChild>
            <w:div w:id="1145900427">
              <w:marLeft w:val="0"/>
              <w:marRight w:val="0"/>
              <w:marTop w:val="0"/>
              <w:marBottom w:val="0"/>
              <w:divBdr>
                <w:top w:val="none" w:sz="0" w:space="0" w:color="auto"/>
                <w:left w:val="none" w:sz="0" w:space="0" w:color="auto"/>
                <w:bottom w:val="none" w:sz="0" w:space="0" w:color="auto"/>
                <w:right w:val="none" w:sz="0" w:space="0" w:color="auto"/>
              </w:divBdr>
              <w:divsChild>
                <w:div w:id="1407992038">
                  <w:marLeft w:val="0"/>
                  <w:marRight w:val="0"/>
                  <w:marTop w:val="0"/>
                  <w:marBottom w:val="0"/>
                  <w:divBdr>
                    <w:top w:val="none" w:sz="0" w:space="0" w:color="auto"/>
                    <w:left w:val="none" w:sz="0" w:space="0" w:color="auto"/>
                    <w:bottom w:val="none" w:sz="0" w:space="0" w:color="auto"/>
                    <w:right w:val="none" w:sz="0" w:space="0" w:color="auto"/>
                  </w:divBdr>
                  <w:divsChild>
                    <w:div w:id="775439987">
                      <w:marLeft w:val="0"/>
                      <w:marRight w:val="0"/>
                      <w:marTop w:val="0"/>
                      <w:marBottom w:val="0"/>
                      <w:divBdr>
                        <w:top w:val="none" w:sz="0" w:space="0" w:color="auto"/>
                        <w:left w:val="none" w:sz="0" w:space="0" w:color="auto"/>
                        <w:bottom w:val="none" w:sz="0" w:space="0" w:color="auto"/>
                        <w:right w:val="none" w:sz="0" w:space="0" w:color="auto"/>
                      </w:divBdr>
                      <w:divsChild>
                        <w:div w:id="642463148">
                          <w:marLeft w:val="0"/>
                          <w:marRight w:val="0"/>
                          <w:marTop w:val="0"/>
                          <w:marBottom w:val="0"/>
                          <w:divBdr>
                            <w:top w:val="none" w:sz="0" w:space="0" w:color="auto"/>
                            <w:left w:val="none" w:sz="0" w:space="0" w:color="auto"/>
                            <w:bottom w:val="none" w:sz="0" w:space="0" w:color="auto"/>
                            <w:right w:val="none" w:sz="0" w:space="0" w:color="auto"/>
                          </w:divBdr>
                          <w:divsChild>
                            <w:div w:id="1870486105">
                              <w:marLeft w:val="0"/>
                              <w:marRight w:val="0"/>
                              <w:marTop w:val="0"/>
                              <w:marBottom w:val="0"/>
                              <w:divBdr>
                                <w:top w:val="none" w:sz="0" w:space="0" w:color="auto"/>
                                <w:left w:val="none" w:sz="0" w:space="0" w:color="auto"/>
                                <w:bottom w:val="none" w:sz="0" w:space="0" w:color="auto"/>
                                <w:right w:val="none" w:sz="0" w:space="0" w:color="auto"/>
                              </w:divBdr>
                              <w:divsChild>
                                <w:div w:id="1596665852">
                                  <w:marLeft w:val="0"/>
                                  <w:marRight w:val="0"/>
                                  <w:marTop w:val="0"/>
                                  <w:marBottom w:val="0"/>
                                  <w:divBdr>
                                    <w:top w:val="none" w:sz="0" w:space="0" w:color="auto"/>
                                    <w:left w:val="none" w:sz="0" w:space="0" w:color="auto"/>
                                    <w:bottom w:val="none" w:sz="0" w:space="0" w:color="auto"/>
                                    <w:right w:val="none" w:sz="0" w:space="0" w:color="auto"/>
                                  </w:divBdr>
                                  <w:divsChild>
                                    <w:div w:id="1332685585">
                                      <w:marLeft w:val="0"/>
                                      <w:marRight w:val="0"/>
                                      <w:marTop w:val="0"/>
                                      <w:marBottom w:val="0"/>
                                      <w:divBdr>
                                        <w:top w:val="none" w:sz="0" w:space="0" w:color="auto"/>
                                        <w:left w:val="none" w:sz="0" w:space="0" w:color="auto"/>
                                        <w:bottom w:val="none" w:sz="0" w:space="0" w:color="auto"/>
                                        <w:right w:val="none" w:sz="0" w:space="0" w:color="auto"/>
                                      </w:divBdr>
                                      <w:divsChild>
                                        <w:div w:id="296759625">
                                          <w:marLeft w:val="0"/>
                                          <w:marRight w:val="0"/>
                                          <w:marTop w:val="0"/>
                                          <w:marBottom w:val="0"/>
                                          <w:divBdr>
                                            <w:top w:val="none" w:sz="0" w:space="0" w:color="auto"/>
                                            <w:left w:val="none" w:sz="0" w:space="0" w:color="auto"/>
                                            <w:bottom w:val="none" w:sz="0" w:space="0" w:color="auto"/>
                                            <w:right w:val="none" w:sz="0" w:space="0" w:color="auto"/>
                                          </w:divBdr>
                                          <w:divsChild>
                                            <w:div w:id="39592299">
                                              <w:marLeft w:val="0"/>
                                              <w:marRight w:val="0"/>
                                              <w:marTop w:val="0"/>
                                              <w:marBottom w:val="0"/>
                                              <w:divBdr>
                                                <w:top w:val="none" w:sz="0" w:space="0" w:color="auto"/>
                                                <w:left w:val="none" w:sz="0" w:space="0" w:color="auto"/>
                                                <w:bottom w:val="none" w:sz="0" w:space="0" w:color="auto"/>
                                                <w:right w:val="none" w:sz="0" w:space="0" w:color="auto"/>
                                              </w:divBdr>
                                              <w:divsChild>
                                                <w:div w:id="1307082340">
                                                  <w:marLeft w:val="0"/>
                                                  <w:marRight w:val="0"/>
                                                  <w:marTop w:val="0"/>
                                                  <w:marBottom w:val="0"/>
                                                  <w:divBdr>
                                                    <w:top w:val="none" w:sz="0" w:space="0" w:color="auto"/>
                                                    <w:left w:val="none" w:sz="0" w:space="0" w:color="auto"/>
                                                    <w:bottom w:val="none" w:sz="0" w:space="0" w:color="auto"/>
                                                    <w:right w:val="none" w:sz="0" w:space="0" w:color="auto"/>
                                                  </w:divBdr>
                                                  <w:divsChild>
                                                    <w:div w:id="758672398">
                                                      <w:marLeft w:val="0"/>
                                                      <w:marRight w:val="0"/>
                                                      <w:marTop w:val="0"/>
                                                      <w:marBottom w:val="0"/>
                                                      <w:divBdr>
                                                        <w:top w:val="none" w:sz="0" w:space="0" w:color="auto"/>
                                                        <w:left w:val="none" w:sz="0" w:space="0" w:color="auto"/>
                                                        <w:bottom w:val="none" w:sz="0" w:space="0" w:color="auto"/>
                                                        <w:right w:val="none" w:sz="0" w:space="0" w:color="auto"/>
                                                      </w:divBdr>
                                                    </w:div>
                                                    <w:div w:id="106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9142">
                                              <w:marLeft w:val="0"/>
                                              <w:marRight w:val="0"/>
                                              <w:marTop w:val="0"/>
                                              <w:marBottom w:val="0"/>
                                              <w:divBdr>
                                                <w:top w:val="none" w:sz="0" w:space="0" w:color="auto"/>
                                                <w:left w:val="none" w:sz="0" w:space="0" w:color="auto"/>
                                                <w:bottom w:val="none" w:sz="0" w:space="0" w:color="auto"/>
                                                <w:right w:val="none" w:sz="0" w:space="0" w:color="auto"/>
                                              </w:divBdr>
                                              <w:divsChild>
                                                <w:div w:id="1856069516">
                                                  <w:marLeft w:val="0"/>
                                                  <w:marRight w:val="0"/>
                                                  <w:marTop w:val="0"/>
                                                  <w:marBottom w:val="0"/>
                                                  <w:divBdr>
                                                    <w:top w:val="none" w:sz="0" w:space="0" w:color="auto"/>
                                                    <w:left w:val="none" w:sz="0" w:space="0" w:color="auto"/>
                                                    <w:bottom w:val="none" w:sz="0" w:space="0" w:color="auto"/>
                                                    <w:right w:val="none" w:sz="0" w:space="0" w:color="auto"/>
                                                  </w:divBdr>
                                                  <w:divsChild>
                                                    <w:div w:id="3002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45319">
                                      <w:marLeft w:val="0"/>
                                      <w:marRight w:val="0"/>
                                      <w:marTop w:val="0"/>
                                      <w:marBottom w:val="0"/>
                                      <w:divBdr>
                                        <w:top w:val="none" w:sz="0" w:space="0" w:color="auto"/>
                                        <w:left w:val="none" w:sz="0" w:space="0" w:color="auto"/>
                                        <w:bottom w:val="none" w:sz="0" w:space="0" w:color="auto"/>
                                        <w:right w:val="none" w:sz="0" w:space="0" w:color="auto"/>
                                      </w:divBdr>
                                      <w:divsChild>
                                        <w:div w:id="9048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490028">
      <w:bodyDiv w:val="1"/>
      <w:marLeft w:val="0"/>
      <w:marRight w:val="0"/>
      <w:marTop w:val="0"/>
      <w:marBottom w:val="0"/>
      <w:divBdr>
        <w:top w:val="none" w:sz="0" w:space="0" w:color="auto"/>
        <w:left w:val="none" w:sz="0" w:space="0" w:color="auto"/>
        <w:bottom w:val="none" w:sz="0" w:space="0" w:color="auto"/>
        <w:right w:val="none" w:sz="0" w:space="0" w:color="auto"/>
      </w:divBdr>
      <w:divsChild>
        <w:div w:id="1596672020">
          <w:marLeft w:val="0"/>
          <w:marRight w:val="0"/>
          <w:marTop w:val="0"/>
          <w:marBottom w:val="0"/>
          <w:divBdr>
            <w:top w:val="none" w:sz="0" w:space="0" w:color="auto"/>
            <w:left w:val="none" w:sz="0" w:space="0" w:color="auto"/>
            <w:bottom w:val="none" w:sz="0" w:space="0" w:color="auto"/>
            <w:right w:val="none" w:sz="0" w:space="0" w:color="auto"/>
          </w:divBdr>
          <w:divsChild>
            <w:div w:id="126440309">
              <w:marLeft w:val="0"/>
              <w:marRight w:val="0"/>
              <w:marTop w:val="100"/>
              <w:marBottom w:val="100"/>
              <w:divBdr>
                <w:top w:val="none" w:sz="0" w:space="0" w:color="auto"/>
                <w:left w:val="none" w:sz="0" w:space="0" w:color="auto"/>
                <w:bottom w:val="none" w:sz="0" w:space="0" w:color="auto"/>
                <w:right w:val="none" w:sz="0" w:space="0" w:color="auto"/>
              </w:divBdr>
              <w:divsChild>
                <w:div w:id="1138759758">
                  <w:marLeft w:val="-96"/>
                  <w:marRight w:val="0"/>
                  <w:marTop w:val="0"/>
                  <w:marBottom w:val="0"/>
                  <w:divBdr>
                    <w:top w:val="none" w:sz="0" w:space="0" w:color="auto"/>
                    <w:left w:val="none" w:sz="0" w:space="0" w:color="auto"/>
                    <w:bottom w:val="none" w:sz="0" w:space="0" w:color="auto"/>
                    <w:right w:val="none" w:sz="0" w:space="0" w:color="auto"/>
                  </w:divBdr>
                  <w:divsChild>
                    <w:div w:id="1082335880">
                      <w:marLeft w:val="0"/>
                      <w:marRight w:val="-96"/>
                      <w:marTop w:val="0"/>
                      <w:marBottom w:val="0"/>
                      <w:divBdr>
                        <w:top w:val="none" w:sz="0" w:space="0" w:color="auto"/>
                        <w:left w:val="none" w:sz="0" w:space="0" w:color="auto"/>
                        <w:bottom w:val="none" w:sz="0" w:space="0" w:color="auto"/>
                        <w:right w:val="none" w:sz="0" w:space="0" w:color="auto"/>
                      </w:divBdr>
                      <w:divsChild>
                        <w:div w:id="1146972519">
                          <w:marLeft w:val="0"/>
                          <w:marRight w:val="0"/>
                          <w:marTop w:val="0"/>
                          <w:marBottom w:val="0"/>
                          <w:divBdr>
                            <w:top w:val="none" w:sz="0" w:space="0" w:color="auto"/>
                            <w:left w:val="none" w:sz="0" w:space="0" w:color="auto"/>
                            <w:bottom w:val="none" w:sz="0" w:space="0" w:color="auto"/>
                            <w:right w:val="none" w:sz="0" w:space="0" w:color="auto"/>
                          </w:divBdr>
                          <w:divsChild>
                            <w:div w:id="473303743">
                              <w:marLeft w:val="0"/>
                              <w:marRight w:val="0"/>
                              <w:marTop w:val="0"/>
                              <w:marBottom w:val="0"/>
                              <w:divBdr>
                                <w:top w:val="none" w:sz="0" w:space="0" w:color="auto"/>
                                <w:left w:val="none" w:sz="0" w:space="0" w:color="auto"/>
                                <w:bottom w:val="none" w:sz="0" w:space="0" w:color="auto"/>
                                <w:right w:val="none" w:sz="0" w:space="0" w:color="auto"/>
                              </w:divBdr>
                              <w:divsChild>
                                <w:div w:id="913244531">
                                  <w:marLeft w:val="0"/>
                                  <w:marRight w:val="0"/>
                                  <w:marTop w:val="0"/>
                                  <w:marBottom w:val="0"/>
                                  <w:divBdr>
                                    <w:top w:val="none" w:sz="0" w:space="0" w:color="auto"/>
                                    <w:left w:val="none" w:sz="0" w:space="0" w:color="auto"/>
                                    <w:bottom w:val="none" w:sz="0" w:space="0" w:color="auto"/>
                                    <w:right w:val="none" w:sz="0" w:space="0" w:color="auto"/>
                                  </w:divBdr>
                                  <w:divsChild>
                                    <w:div w:id="1110509340">
                                      <w:marLeft w:val="0"/>
                                      <w:marRight w:val="0"/>
                                      <w:marTop w:val="0"/>
                                      <w:marBottom w:val="0"/>
                                      <w:divBdr>
                                        <w:top w:val="none" w:sz="0" w:space="0" w:color="auto"/>
                                        <w:left w:val="none" w:sz="0" w:space="0" w:color="auto"/>
                                        <w:bottom w:val="none" w:sz="0" w:space="0" w:color="auto"/>
                                        <w:right w:val="none" w:sz="0" w:space="0" w:color="auto"/>
                                      </w:divBdr>
                                      <w:divsChild>
                                        <w:div w:id="500122110">
                                          <w:marLeft w:val="0"/>
                                          <w:marRight w:val="0"/>
                                          <w:marTop w:val="0"/>
                                          <w:marBottom w:val="0"/>
                                          <w:divBdr>
                                            <w:top w:val="none" w:sz="0" w:space="0" w:color="auto"/>
                                            <w:left w:val="none" w:sz="0" w:space="0" w:color="auto"/>
                                            <w:bottom w:val="none" w:sz="0" w:space="0" w:color="auto"/>
                                            <w:right w:val="none" w:sz="0" w:space="0" w:color="auto"/>
                                          </w:divBdr>
                                          <w:divsChild>
                                            <w:div w:id="910506144">
                                              <w:marLeft w:val="0"/>
                                              <w:marRight w:val="0"/>
                                              <w:marTop w:val="0"/>
                                              <w:marBottom w:val="0"/>
                                              <w:divBdr>
                                                <w:top w:val="none" w:sz="0" w:space="0" w:color="auto"/>
                                                <w:left w:val="none" w:sz="0" w:space="0" w:color="auto"/>
                                                <w:bottom w:val="none" w:sz="0" w:space="0" w:color="auto"/>
                                                <w:right w:val="none" w:sz="0" w:space="0" w:color="auto"/>
                                              </w:divBdr>
                                            </w:div>
                                            <w:div w:id="1779059211">
                                              <w:marLeft w:val="0"/>
                                              <w:marRight w:val="0"/>
                                              <w:marTop w:val="0"/>
                                              <w:marBottom w:val="0"/>
                                              <w:divBdr>
                                                <w:top w:val="none" w:sz="0" w:space="0" w:color="auto"/>
                                                <w:left w:val="none" w:sz="0" w:space="0" w:color="auto"/>
                                                <w:bottom w:val="none" w:sz="0" w:space="0" w:color="auto"/>
                                                <w:right w:val="none" w:sz="0" w:space="0" w:color="auto"/>
                                              </w:divBdr>
                                            </w:div>
                                            <w:div w:id="6982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381309">
      <w:bodyDiv w:val="1"/>
      <w:marLeft w:val="0"/>
      <w:marRight w:val="0"/>
      <w:marTop w:val="0"/>
      <w:marBottom w:val="0"/>
      <w:divBdr>
        <w:top w:val="none" w:sz="0" w:space="0" w:color="auto"/>
        <w:left w:val="none" w:sz="0" w:space="0" w:color="auto"/>
        <w:bottom w:val="none" w:sz="0" w:space="0" w:color="auto"/>
        <w:right w:val="none" w:sz="0" w:space="0" w:color="auto"/>
      </w:divBdr>
    </w:div>
    <w:div w:id="1781995185">
      <w:bodyDiv w:val="1"/>
      <w:marLeft w:val="0"/>
      <w:marRight w:val="0"/>
      <w:marTop w:val="0"/>
      <w:marBottom w:val="0"/>
      <w:divBdr>
        <w:top w:val="none" w:sz="0" w:space="0" w:color="auto"/>
        <w:left w:val="none" w:sz="0" w:space="0" w:color="auto"/>
        <w:bottom w:val="none" w:sz="0" w:space="0" w:color="auto"/>
        <w:right w:val="none" w:sz="0" w:space="0" w:color="auto"/>
      </w:divBdr>
      <w:divsChild>
        <w:div w:id="2052261574">
          <w:marLeft w:val="0"/>
          <w:marRight w:val="0"/>
          <w:marTop w:val="0"/>
          <w:marBottom w:val="0"/>
          <w:divBdr>
            <w:top w:val="none" w:sz="0" w:space="0" w:color="auto"/>
            <w:left w:val="none" w:sz="0" w:space="0" w:color="auto"/>
            <w:bottom w:val="none" w:sz="0" w:space="0" w:color="auto"/>
            <w:right w:val="none" w:sz="0" w:space="0" w:color="auto"/>
          </w:divBdr>
          <w:divsChild>
            <w:div w:id="330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17355">
      <w:bodyDiv w:val="1"/>
      <w:marLeft w:val="0"/>
      <w:marRight w:val="0"/>
      <w:marTop w:val="0"/>
      <w:marBottom w:val="0"/>
      <w:divBdr>
        <w:top w:val="none" w:sz="0" w:space="0" w:color="auto"/>
        <w:left w:val="none" w:sz="0" w:space="0" w:color="auto"/>
        <w:bottom w:val="none" w:sz="0" w:space="0" w:color="auto"/>
        <w:right w:val="none" w:sz="0" w:space="0" w:color="auto"/>
      </w:divBdr>
      <w:divsChild>
        <w:div w:id="433941291">
          <w:marLeft w:val="0"/>
          <w:marRight w:val="0"/>
          <w:marTop w:val="0"/>
          <w:marBottom w:val="0"/>
          <w:divBdr>
            <w:top w:val="none" w:sz="0" w:space="0" w:color="auto"/>
            <w:left w:val="none" w:sz="0" w:space="0" w:color="auto"/>
            <w:bottom w:val="none" w:sz="0" w:space="0" w:color="auto"/>
            <w:right w:val="none" w:sz="0" w:space="0" w:color="auto"/>
          </w:divBdr>
          <w:divsChild>
            <w:div w:id="298196514">
              <w:marLeft w:val="0"/>
              <w:marRight w:val="0"/>
              <w:marTop w:val="100"/>
              <w:marBottom w:val="100"/>
              <w:divBdr>
                <w:top w:val="none" w:sz="0" w:space="0" w:color="auto"/>
                <w:left w:val="none" w:sz="0" w:space="0" w:color="auto"/>
                <w:bottom w:val="none" w:sz="0" w:space="0" w:color="auto"/>
                <w:right w:val="none" w:sz="0" w:space="0" w:color="auto"/>
              </w:divBdr>
              <w:divsChild>
                <w:div w:id="109322296">
                  <w:marLeft w:val="-96"/>
                  <w:marRight w:val="0"/>
                  <w:marTop w:val="0"/>
                  <w:marBottom w:val="0"/>
                  <w:divBdr>
                    <w:top w:val="none" w:sz="0" w:space="0" w:color="auto"/>
                    <w:left w:val="none" w:sz="0" w:space="0" w:color="auto"/>
                    <w:bottom w:val="none" w:sz="0" w:space="0" w:color="auto"/>
                    <w:right w:val="none" w:sz="0" w:space="0" w:color="auto"/>
                  </w:divBdr>
                  <w:divsChild>
                    <w:div w:id="321082611">
                      <w:marLeft w:val="0"/>
                      <w:marRight w:val="-96"/>
                      <w:marTop w:val="0"/>
                      <w:marBottom w:val="0"/>
                      <w:divBdr>
                        <w:top w:val="none" w:sz="0" w:space="0" w:color="auto"/>
                        <w:left w:val="none" w:sz="0" w:space="0" w:color="auto"/>
                        <w:bottom w:val="none" w:sz="0" w:space="0" w:color="auto"/>
                        <w:right w:val="none" w:sz="0" w:space="0" w:color="auto"/>
                      </w:divBdr>
                      <w:divsChild>
                        <w:div w:id="1832863349">
                          <w:marLeft w:val="0"/>
                          <w:marRight w:val="0"/>
                          <w:marTop w:val="0"/>
                          <w:marBottom w:val="0"/>
                          <w:divBdr>
                            <w:top w:val="none" w:sz="0" w:space="0" w:color="auto"/>
                            <w:left w:val="none" w:sz="0" w:space="0" w:color="auto"/>
                            <w:bottom w:val="none" w:sz="0" w:space="0" w:color="auto"/>
                            <w:right w:val="none" w:sz="0" w:space="0" w:color="auto"/>
                          </w:divBdr>
                          <w:divsChild>
                            <w:div w:id="183248561">
                              <w:marLeft w:val="0"/>
                              <w:marRight w:val="0"/>
                              <w:marTop w:val="0"/>
                              <w:marBottom w:val="0"/>
                              <w:divBdr>
                                <w:top w:val="none" w:sz="0" w:space="0" w:color="auto"/>
                                <w:left w:val="none" w:sz="0" w:space="0" w:color="auto"/>
                                <w:bottom w:val="none" w:sz="0" w:space="0" w:color="auto"/>
                                <w:right w:val="none" w:sz="0" w:space="0" w:color="auto"/>
                              </w:divBdr>
                              <w:divsChild>
                                <w:div w:id="1651979978">
                                  <w:marLeft w:val="0"/>
                                  <w:marRight w:val="0"/>
                                  <w:marTop w:val="0"/>
                                  <w:marBottom w:val="0"/>
                                  <w:divBdr>
                                    <w:top w:val="none" w:sz="0" w:space="0" w:color="auto"/>
                                    <w:left w:val="none" w:sz="0" w:space="0" w:color="auto"/>
                                    <w:bottom w:val="none" w:sz="0" w:space="0" w:color="auto"/>
                                    <w:right w:val="none" w:sz="0" w:space="0" w:color="auto"/>
                                  </w:divBdr>
                                  <w:divsChild>
                                    <w:div w:id="119959419">
                                      <w:marLeft w:val="0"/>
                                      <w:marRight w:val="0"/>
                                      <w:marTop w:val="0"/>
                                      <w:marBottom w:val="0"/>
                                      <w:divBdr>
                                        <w:top w:val="none" w:sz="0" w:space="0" w:color="auto"/>
                                        <w:left w:val="none" w:sz="0" w:space="0" w:color="auto"/>
                                        <w:bottom w:val="none" w:sz="0" w:space="0" w:color="auto"/>
                                        <w:right w:val="none" w:sz="0" w:space="0" w:color="auto"/>
                                      </w:divBdr>
                                      <w:divsChild>
                                        <w:div w:id="1679694653">
                                          <w:marLeft w:val="0"/>
                                          <w:marRight w:val="0"/>
                                          <w:marTop w:val="0"/>
                                          <w:marBottom w:val="0"/>
                                          <w:divBdr>
                                            <w:top w:val="none" w:sz="0" w:space="0" w:color="auto"/>
                                            <w:left w:val="none" w:sz="0" w:space="0" w:color="auto"/>
                                            <w:bottom w:val="none" w:sz="0" w:space="0" w:color="auto"/>
                                            <w:right w:val="none" w:sz="0" w:space="0" w:color="auto"/>
                                          </w:divBdr>
                                          <w:divsChild>
                                            <w:div w:id="1041245269">
                                              <w:marLeft w:val="0"/>
                                              <w:marRight w:val="0"/>
                                              <w:marTop w:val="0"/>
                                              <w:marBottom w:val="0"/>
                                              <w:divBdr>
                                                <w:top w:val="none" w:sz="0" w:space="0" w:color="auto"/>
                                                <w:left w:val="none" w:sz="0" w:space="0" w:color="auto"/>
                                                <w:bottom w:val="none" w:sz="0" w:space="0" w:color="auto"/>
                                                <w:right w:val="none" w:sz="0" w:space="0" w:color="auto"/>
                                              </w:divBdr>
                                              <w:divsChild>
                                                <w:div w:id="19357420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5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ncbi.nlm.nih.gov/pubmed?term=%22Chapel%20H%22%5BAuthor%5D" TargetMode="External"/><Relationship Id="rId26" Type="http://schemas.openxmlformats.org/officeDocument/2006/relationships/hyperlink" Target="http://www.ncbi.nlm.nih.gov/pubmed?term=%22Wedgwood%20J%22%5BAuthor%5D" TargetMode="External"/><Relationship Id="rId3" Type="http://schemas.openxmlformats.org/officeDocument/2006/relationships/styles" Target="styles.xml"/><Relationship Id="rId21" Type="http://schemas.openxmlformats.org/officeDocument/2006/relationships/hyperlink" Target="http://www.ncbi.nlm.nih.gov/pubmed?term=%22Hammartr%C3%B6m%20L%22%5BAuthor%5D" TargetMode="External"/><Relationship Id="rId34" Type="http://schemas.openxmlformats.org/officeDocument/2006/relationships/hyperlink" Target="http://www.ncbi.nlm.nih.gov/sites/entrez?cmd=search&amp;db=PubMed&amp;term=%20Hedestam%2BGB%5bauth%5d"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ncbi.nlm.nih.gov/pubmed?term=%22Fischer%20A%22%5BAuthor%5D" TargetMode="External"/><Relationship Id="rId25" Type="http://schemas.openxmlformats.org/officeDocument/2006/relationships/hyperlink" Target="http://www.ncbi.nlm.nih.gov/pubmed?term=%22Seger%20R%22%5BAuthor%5D" TargetMode="External"/><Relationship Id="rId33" Type="http://schemas.openxmlformats.org/officeDocument/2006/relationships/hyperlink" Target="http://www.ncbi.nlm.nih.gov/sites/entrez?cmd=search&amp;db=PubMed&amp;term=%20Smed-S%26%23x000f6%3Brensen%2BA%5bauth%5d" TargetMode="External"/><Relationship Id="rId2" Type="http://schemas.openxmlformats.org/officeDocument/2006/relationships/numbering" Target="numbering.xml"/><Relationship Id="rId16" Type="http://schemas.openxmlformats.org/officeDocument/2006/relationships/hyperlink" Target="http://www.who.int/wer" TargetMode="External"/><Relationship Id="rId20" Type="http://schemas.openxmlformats.org/officeDocument/2006/relationships/hyperlink" Target="http://www.ncbi.nlm.nih.gov/pubmed?term=%22Etzioni%20A%22%5BAuthor%5D" TargetMode="External"/><Relationship Id="rId29" Type="http://schemas.openxmlformats.org/officeDocument/2006/relationships/hyperlink" Target="http://www.ncbi.nlm.nih.gov/sites/entrez?cmd=search&amp;db=PubMed&amp;term=%20Sandgren%2BKJ%5bauth%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ncbi.nlm.nih.gov/pubmed?term=%22Roifman%20C%22%5BAuthor%5D" TargetMode="External"/><Relationship Id="rId32" Type="http://schemas.openxmlformats.org/officeDocument/2006/relationships/hyperlink" Target="http://www.ncbi.nlm.nih.gov/sites/entrez?cmd=search&amp;db=PubMed&amp;term=%20Sundling%2BC%5bauth%5d"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ncbi.nlm.nih.gov/pubmed?term=%22Puck%20J%22%5BAuthor%5D" TargetMode="External"/><Relationship Id="rId28" Type="http://schemas.openxmlformats.org/officeDocument/2006/relationships/hyperlink" Target="http://www.ncbi.nlm.nih.gov/sites/entrez?cmd=search&amp;db=PubMed&amp;term=%20Gujer%2BC%5bauth%5d"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ncbi.nlm.nih.gov/pubmed?term=%22Cunningham-Rundles%20C%22%5BAuthor%5D" TargetMode="External"/><Relationship Id="rId31" Type="http://schemas.openxmlformats.org/officeDocument/2006/relationships/hyperlink" Target="http://www.ncbi.nlm.nih.gov/sites/entrez?cmd=search&amp;db=PubMed&amp;term=%20Adams%2BWC%5bauth%5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ncbi.nlm.nih.gov/pubmed?term=%22Nonoyama%20S%22%5BAuthor%5D" TargetMode="External"/><Relationship Id="rId27" Type="http://schemas.openxmlformats.org/officeDocument/2006/relationships/hyperlink" Target="http://www.ncbi.nlm.nih.gov/pubmed/20004777" TargetMode="External"/><Relationship Id="rId30" Type="http://schemas.openxmlformats.org/officeDocument/2006/relationships/hyperlink" Target="http://www.ncbi.nlm.nih.gov/sites/entrez?cmd=search&amp;db=PubMed&amp;term=%20Douagi%2BI%5bauth%5d" TargetMode="External"/><Relationship Id="rId35" Type="http://schemas.openxmlformats.org/officeDocument/2006/relationships/hyperlink" Target="http://www.ncbi.nlm.nih.gov/sites/entrez?cmd=search&amp;db=PubMed&amp;term=%20Lor%26%23x000e9%3B%2BK%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C65BC-98D2-476D-8EDB-96931F5E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6227</Words>
  <Characters>34251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Dugarte Minaret</dc:creator>
  <cp:lastModifiedBy>Luffi</cp:lastModifiedBy>
  <cp:revision>2</cp:revision>
  <cp:lastPrinted>2011-06-24T08:59:00Z</cp:lastPrinted>
  <dcterms:created xsi:type="dcterms:W3CDTF">2015-08-11T10:09:00Z</dcterms:created>
  <dcterms:modified xsi:type="dcterms:W3CDTF">2015-08-11T10:09:00Z</dcterms:modified>
</cp:coreProperties>
</file>