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7E" w:rsidRPr="005C46F5" w:rsidRDefault="006C6B7E" w:rsidP="006C6B7E">
      <w:pPr>
        <w:spacing w:after="0" w:line="240" w:lineRule="auto"/>
        <w:ind w:right="707"/>
        <w:contextualSpacing/>
        <w:jc w:val="center"/>
        <w:rPr>
          <w:rFonts w:cs="Arial"/>
          <w:bCs/>
          <w:sz w:val="24"/>
          <w:szCs w:val="24"/>
          <w:u w:val="single"/>
        </w:rPr>
      </w:pPr>
      <w:r>
        <w:rPr>
          <w:rFonts w:cs="Arial"/>
          <w:b/>
          <w:bCs/>
          <w:noProof/>
          <w:sz w:val="24"/>
          <w:szCs w:val="24"/>
          <w:u w:val="single"/>
          <w:lang w:val="en-US" w:eastAsia="en-US"/>
        </w:rPr>
        <w:drawing>
          <wp:inline distT="0" distB="0" distL="0" distR="0" wp14:anchorId="7CA0B18B" wp14:editId="3BC817F5">
            <wp:extent cx="742950" cy="819150"/>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742950" cy="819150"/>
                    </a:xfrm>
                    <a:prstGeom prst="rect">
                      <a:avLst/>
                    </a:prstGeom>
                    <a:noFill/>
                    <a:ln w="9525">
                      <a:noFill/>
                      <a:miter lim="800000"/>
                      <a:headEnd/>
                      <a:tailEnd/>
                    </a:ln>
                  </pic:spPr>
                </pic:pic>
              </a:graphicData>
            </a:graphic>
          </wp:inline>
        </w:drawing>
      </w:r>
      <w:r>
        <w:rPr>
          <w:rFonts w:cs="Arial"/>
          <w:b/>
          <w:bCs/>
          <w:sz w:val="24"/>
          <w:szCs w:val="24"/>
          <w:u w:val="single"/>
        </w:rPr>
        <w:t xml:space="preserve"> </w:t>
      </w:r>
      <w:r w:rsidRPr="0028674B">
        <w:rPr>
          <w:rFonts w:cs="Arial"/>
          <w:b/>
          <w:bCs/>
          <w:u w:val="single"/>
        </w:rPr>
        <w:t xml:space="preserve">Acta Odont. Venez. </w:t>
      </w:r>
      <w:proofErr w:type="spellStart"/>
      <w:r w:rsidRPr="0028674B">
        <w:rPr>
          <w:rFonts w:cs="Arial"/>
          <w:b/>
          <w:bCs/>
          <w:u w:val="single"/>
        </w:rPr>
        <w:t>Vol</w:t>
      </w:r>
      <w:proofErr w:type="spellEnd"/>
      <w:r w:rsidRPr="0028674B">
        <w:rPr>
          <w:rFonts w:cs="Arial"/>
          <w:b/>
          <w:bCs/>
          <w:u w:val="single"/>
        </w:rPr>
        <w:t xml:space="preserve"> </w:t>
      </w:r>
      <w:r w:rsidR="0028674B" w:rsidRPr="0028674B">
        <w:rPr>
          <w:rFonts w:cs="Arial"/>
          <w:b/>
          <w:bCs/>
          <w:u w:val="single"/>
        </w:rPr>
        <w:t>57 Nº</w:t>
      </w:r>
      <w:r w:rsidRPr="0028674B">
        <w:rPr>
          <w:rFonts w:cs="Arial"/>
          <w:b/>
          <w:bCs/>
          <w:u w:val="single"/>
        </w:rPr>
        <w:t xml:space="preserve"> </w:t>
      </w:r>
      <w:r w:rsidR="0028674B" w:rsidRPr="0028674B">
        <w:rPr>
          <w:rFonts w:cs="Arial"/>
          <w:b/>
          <w:bCs/>
          <w:u w:val="single"/>
        </w:rPr>
        <w:t xml:space="preserve">2 </w:t>
      </w:r>
      <w:bookmarkStart w:id="0" w:name="_GoBack"/>
      <w:bookmarkEnd w:id="0"/>
      <w:r w:rsidR="0028674B" w:rsidRPr="0028674B">
        <w:rPr>
          <w:rFonts w:cs="Arial"/>
          <w:b/>
          <w:bCs/>
          <w:u w:val="single"/>
        </w:rPr>
        <w:t>AÑO 2019</w:t>
      </w:r>
      <w:r w:rsidRPr="0028674B">
        <w:rPr>
          <w:rFonts w:cs="Arial"/>
          <w:b/>
          <w:bCs/>
          <w:u w:val="single"/>
        </w:rPr>
        <w:t>_</w:t>
      </w:r>
      <w:r w:rsidR="0028674B" w:rsidRPr="0028674B">
        <w:rPr>
          <w:rFonts w:cs="Arial"/>
          <w:b/>
          <w:bCs/>
          <w:u w:val="single"/>
        </w:rPr>
        <w:t>TRABAJO CIENCIFICO ORIGINAL</w:t>
      </w:r>
    </w:p>
    <w:p w:rsidR="00831CAD" w:rsidRDefault="00831CAD"/>
    <w:p w:rsidR="006C6B7E" w:rsidRDefault="006C6B7E"/>
    <w:p w:rsidR="006C6B7E" w:rsidRPr="006C6B7E" w:rsidRDefault="006C6B7E" w:rsidP="006C6B7E">
      <w:pPr>
        <w:spacing w:line="360" w:lineRule="auto"/>
        <w:rPr>
          <w:rFonts w:cstheme="minorHAnsi"/>
          <w:b/>
        </w:rPr>
      </w:pPr>
      <w:r w:rsidRPr="006C6B7E">
        <w:rPr>
          <w:rFonts w:cstheme="minorHAnsi"/>
          <w:b/>
        </w:rPr>
        <w:t xml:space="preserve">ANÁLISIS ÉTICO-LEGAL DE LA PRESCRIPCIÓN MEDICAMENTOSA EN LA ODONTOLOGIA- UNA INVESTIGATÍON DE LOS PRECEPTOS FORMALES. </w:t>
      </w:r>
    </w:p>
    <w:p w:rsidR="006C6B7E" w:rsidRPr="006C6B7E" w:rsidRDefault="006C6B7E" w:rsidP="006C6B7E">
      <w:pPr>
        <w:spacing w:before="240"/>
        <w:rPr>
          <w:rFonts w:cstheme="minorHAnsi"/>
          <w:b/>
          <w:shd w:val="clear" w:color="auto" w:fill="FFFFFF"/>
          <w:lang w:val="en-US"/>
        </w:rPr>
      </w:pPr>
      <w:r w:rsidRPr="006C6B7E">
        <w:rPr>
          <w:rFonts w:cstheme="minorHAnsi"/>
          <w:b/>
          <w:shd w:val="clear" w:color="auto" w:fill="FFFFFF"/>
          <w:lang w:val="en-US"/>
        </w:rPr>
        <w:t>ETHICAL-LEGAL ANALYSIS OF DENTAL DRUG PRESCRIPTIONS- AN INVESTIGATION OF FORMAL PRECEPTS.</w:t>
      </w:r>
    </w:p>
    <w:p w:rsidR="006C6B7E" w:rsidRPr="00B9642F" w:rsidRDefault="006C6B7E" w:rsidP="006C6B7E">
      <w:pPr>
        <w:pStyle w:val="Sangradetextonormal"/>
        <w:jc w:val="right"/>
        <w:rPr>
          <w:rFonts w:ascii="Calibri" w:hAnsi="Calibri" w:cs="Tahoma"/>
          <w:lang w:val="es-ES_tradnl"/>
        </w:rPr>
      </w:pPr>
      <w:r w:rsidRPr="00211685">
        <w:rPr>
          <w:rFonts w:ascii="Calibri" w:hAnsi="Calibri" w:cs="Tahoma"/>
          <w:i/>
          <w:lang w:val="es-ES_tradnl"/>
        </w:rPr>
        <w:t>Recibido para Arbitraje</w:t>
      </w:r>
      <w:r>
        <w:rPr>
          <w:rFonts w:ascii="Calibri" w:hAnsi="Calibri" w:cs="Tahoma"/>
          <w:lang w:val="es-ES_tradnl"/>
        </w:rPr>
        <w:t xml:space="preserve">: </w:t>
      </w:r>
      <w:r>
        <w:rPr>
          <w:rFonts w:ascii="Calibri" w:hAnsi="Calibri" w:cs="Tahoma"/>
          <w:sz w:val="22"/>
          <w:szCs w:val="22"/>
          <w:lang w:val="es-ES_tradnl"/>
        </w:rPr>
        <w:t>29/04/2019</w:t>
      </w:r>
    </w:p>
    <w:p w:rsidR="006C6B7E" w:rsidRDefault="006C6B7E" w:rsidP="006C6B7E">
      <w:pPr>
        <w:spacing w:line="360" w:lineRule="auto"/>
        <w:jc w:val="right"/>
        <w:rPr>
          <w:rFonts w:asciiTheme="majorHAnsi" w:eastAsia="Arial" w:hAnsiTheme="majorHAnsi" w:cstheme="majorHAnsi"/>
          <w:lang w:val="es-VE"/>
        </w:rPr>
      </w:pPr>
      <w:r w:rsidRPr="0006365B">
        <w:rPr>
          <w:rFonts w:asciiTheme="majorHAnsi" w:eastAsia="Arial" w:hAnsiTheme="majorHAnsi" w:cstheme="majorHAnsi"/>
          <w:i/>
          <w:sz w:val="24"/>
          <w:szCs w:val="24"/>
          <w:lang w:val="es-VE"/>
        </w:rPr>
        <w:t xml:space="preserve">Aprobado para su publicación: </w:t>
      </w:r>
      <w:r w:rsidRPr="0006365B">
        <w:rPr>
          <w:rFonts w:asciiTheme="majorHAnsi" w:eastAsia="Arial" w:hAnsiTheme="majorHAnsi" w:cstheme="majorHAnsi"/>
          <w:b/>
          <w:lang w:val="es-VE"/>
        </w:rPr>
        <w:t xml:space="preserve"> </w:t>
      </w:r>
      <w:r>
        <w:rPr>
          <w:rFonts w:asciiTheme="majorHAnsi" w:eastAsia="Arial" w:hAnsiTheme="majorHAnsi" w:cstheme="majorHAnsi"/>
          <w:lang w:val="es-VE"/>
        </w:rPr>
        <w:t>08/12</w:t>
      </w:r>
      <w:r w:rsidRPr="0006365B">
        <w:rPr>
          <w:rFonts w:asciiTheme="majorHAnsi" w:eastAsia="Arial" w:hAnsiTheme="majorHAnsi" w:cstheme="majorHAnsi"/>
          <w:lang w:val="es-VE"/>
        </w:rPr>
        <w:t>/2019</w:t>
      </w:r>
    </w:p>
    <w:p w:rsidR="006C6B7E" w:rsidRDefault="006C6B7E" w:rsidP="006C6B7E">
      <w:pPr>
        <w:pStyle w:val="Sangradetextonormal"/>
        <w:ind w:left="0"/>
        <w:rPr>
          <w:rFonts w:asciiTheme="minorHAnsi" w:hAnsiTheme="minorHAnsi" w:cstheme="minorHAnsi"/>
          <w:sz w:val="22"/>
          <w:szCs w:val="22"/>
          <w:lang w:val="es-VE"/>
        </w:rPr>
      </w:pPr>
      <w:r w:rsidRPr="007A47F1">
        <w:rPr>
          <w:rFonts w:asciiTheme="minorHAnsi" w:hAnsiTheme="minorHAnsi" w:cstheme="minorHAnsi"/>
          <w:b/>
          <w:sz w:val="22"/>
          <w:szCs w:val="22"/>
          <w:lang w:val="es-VE"/>
        </w:rPr>
        <w:t xml:space="preserve">Clea Adas Saliba </w:t>
      </w:r>
      <w:r w:rsidR="007A47F1" w:rsidRPr="007A47F1">
        <w:rPr>
          <w:rFonts w:asciiTheme="minorHAnsi" w:hAnsiTheme="minorHAnsi" w:cstheme="minorHAnsi"/>
          <w:b/>
          <w:sz w:val="22"/>
          <w:szCs w:val="22"/>
          <w:lang w:val="es-VE"/>
        </w:rPr>
        <w:t>Garbin</w:t>
      </w:r>
      <w:r w:rsidR="007A47F1">
        <w:rPr>
          <w:rFonts w:asciiTheme="minorHAnsi" w:hAnsiTheme="minorHAnsi" w:cstheme="minorHAnsi"/>
          <w:b/>
          <w:sz w:val="22"/>
          <w:szCs w:val="22"/>
          <w:lang w:val="es-VE"/>
        </w:rPr>
        <w:t xml:space="preserve">. </w:t>
      </w:r>
      <w:r w:rsidR="007A47F1" w:rsidRPr="007A47F1">
        <w:rPr>
          <w:rFonts w:asciiTheme="minorHAnsi" w:hAnsiTheme="minorHAnsi" w:cstheme="minorHAnsi"/>
          <w:sz w:val="22"/>
          <w:szCs w:val="22"/>
          <w:lang w:val="es-VE"/>
        </w:rPr>
        <w:t>Facultad de Odontología de Araçatuba, Departamento de Odontología Infantil y Social, Universidad Estadual Paulista Júlio de Mesquita Filho-FOA/UNESP, Brasil.</w:t>
      </w:r>
    </w:p>
    <w:p w:rsidR="007A47F1" w:rsidRPr="007A47F1" w:rsidRDefault="007A47F1" w:rsidP="006C6B7E">
      <w:pPr>
        <w:pStyle w:val="Sangradetextonormal"/>
        <w:ind w:left="0"/>
        <w:rPr>
          <w:rFonts w:asciiTheme="minorHAnsi" w:hAnsiTheme="minorHAnsi" w:cstheme="minorHAnsi"/>
          <w:sz w:val="22"/>
          <w:szCs w:val="22"/>
          <w:vertAlign w:val="superscript"/>
          <w:lang w:val="es-VE"/>
        </w:rPr>
      </w:pPr>
    </w:p>
    <w:p w:rsidR="006C6B7E" w:rsidRDefault="006C6B7E" w:rsidP="006C6B7E">
      <w:pPr>
        <w:pStyle w:val="Encabezado"/>
        <w:rPr>
          <w:rFonts w:asciiTheme="minorHAnsi" w:hAnsiTheme="minorHAnsi" w:cstheme="minorHAnsi"/>
          <w:sz w:val="22"/>
          <w:szCs w:val="22"/>
          <w:lang w:val="es-VE"/>
        </w:rPr>
      </w:pPr>
      <w:r w:rsidRPr="007A47F1">
        <w:rPr>
          <w:rFonts w:asciiTheme="minorHAnsi" w:hAnsiTheme="minorHAnsi" w:cstheme="minorHAnsi"/>
          <w:b/>
          <w:sz w:val="22"/>
          <w:szCs w:val="22"/>
          <w:lang w:val="es-VE"/>
        </w:rPr>
        <w:t>Julia Arruda Batista</w:t>
      </w:r>
      <w:r w:rsidR="007A47F1" w:rsidRPr="007A47F1">
        <w:rPr>
          <w:rFonts w:asciiTheme="minorHAnsi" w:hAnsiTheme="minorHAnsi" w:cstheme="minorHAnsi"/>
          <w:b/>
          <w:sz w:val="22"/>
          <w:szCs w:val="22"/>
          <w:lang w:val="es-VE"/>
        </w:rPr>
        <w:t xml:space="preserve">. </w:t>
      </w:r>
      <w:r w:rsidR="007A47F1" w:rsidRPr="007A47F1">
        <w:rPr>
          <w:rFonts w:asciiTheme="minorHAnsi" w:hAnsiTheme="minorHAnsi" w:cstheme="minorHAnsi"/>
          <w:sz w:val="22"/>
          <w:szCs w:val="22"/>
          <w:lang w:val="es-VE"/>
        </w:rPr>
        <w:t xml:space="preserve">Facultad de Odontología de Araçatuba, Departamento de Odontología Infantil y Social, Universidad Estadual Paulista Júlio de </w:t>
      </w:r>
      <w:proofErr w:type="spellStart"/>
      <w:r w:rsidR="007A47F1" w:rsidRPr="007A47F1">
        <w:rPr>
          <w:rFonts w:asciiTheme="minorHAnsi" w:hAnsiTheme="minorHAnsi" w:cstheme="minorHAnsi"/>
          <w:sz w:val="22"/>
          <w:szCs w:val="22"/>
          <w:lang w:val="es-VE"/>
        </w:rPr>
        <w:t>Mesquita</w:t>
      </w:r>
      <w:proofErr w:type="spellEnd"/>
      <w:r w:rsidR="007A47F1" w:rsidRPr="007A47F1">
        <w:rPr>
          <w:rFonts w:asciiTheme="minorHAnsi" w:hAnsiTheme="minorHAnsi" w:cstheme="minorHAnsi"/>
          <w:sz w:val="22"/>
          <w:szCs w:val="22"/>
          <w:lang w:val="es-VE"/>
        </w:rPr>
        <w:t xml:space="preserve"> </w:t>
      </w:r>
      <w:proofErr w:type="spellStart"/>
      <w:r w:rsidR="007A47F1" w:rsidRPr="007A47F1">
        <w:rPr>
          <w:rFonts w:asciiTheme="minorHAnsi" w:hAnsiTheme="minorHAnsi" w:cstheme="minorHAnsi"/>
          <w:sz w:val="22"/>
          <w:szCs w:val="22"/>
          <w:lang w:val="es-VE"/>
        </w:rPr>
        <w:t>Filho</w:t>
      </w:r>
      <w:proofErr w:type="spellEnd"/>
      <w:r w:rsidR="007A47F1" w:rsidRPr="007A47F1">
        <w:rPr>
          <w:rFonts w:asciiTheme="minorHAnsi" w:hAnsiTheme="minorHAnsi" w:cstheme="minorHAnsi"/>
          <w:sz w:val="22"/>
          <w:szCs w:val="22"/>
          <w:lang w:val="es-VE"/>
        </w:rPr>
        <w:t>-FOA/UNESP, Brasil.</w:t>
      </w:r>
    </w:p>
    <w:p w:rsidR="00C91FBE" w:rsidRDefault="00C91FBE" w:rsidP="006C6B7E">
      <w:pPr>
        <w:pStyle w:val="Encabezado"/>
        <w:rPr>
          <w:rFonts w:asciiTheme="minorHAnsi" w:hAnsiTheme="minorHAnsi" w:cstheme="minorHAnsi"/>
          <w:sz w:val="22"/>
          <w:szCs w:val="22"/>
          <w:lang w:val="es-VE"/>
        </w:rPr>
      </w:pPr>
    </w:p>
    <w:p w:rsidR="00C91FBE" w:rsidRPr="00C91FBE" w:rsidRDefault="00C91FBE" w:rsidP="006C6B7E">
      <w:pPr>
        <w:pStyle w:val="Encabezado"/>
        <w:rPr>
          <w:rFonts w:asciiTheme="minorHAnsi" w:hAnsiTheme="minorHAnsi" w:cstheme="minorHAnsi"/>
          <w:b/>
          <w:sz w:val="22"/>
          <w:szCs w:val="22"/>
          <w:lang w:val="es-VE"/>
        </w:rPr>
      </w:pPr>
      <w:r w:rsidRPr="00C91FBE">
        <w:rPr>
          <w:rFonts w:asciiTheme="minorHAnsi" w:hAnsiTheme="minorHAnsi" w:cstheme="minorHAnsi"/>
          <w:b/>
          <w:color w:val="000000" w:themeColor="text1"/>
          <w:sz w:val="22"/>
          <w:szCs w:val="22"/>
          <w:shd w:val="clear" w:color="auto" w:fill="FFFFFF"/>
        </w:rPr>
        <w:t xml:space="preserve">Maria Elizabeth Penã </w:t>
      </w:r>
      <w:proofErr w:type="spellStart"/>
      <w:r w:rsidRPr="00C91FBE">
        <w:rPr>
          <w:rFonts w:asciiTheme="minorHAnsi" w:hAnsiTheme="minorHAnsi" w:cstheme="minorHAnsi"/>
          <w:b/>
          <w:color w:val="000000" w:themeColor="text1"/>
          <w:sz w:val="22"/>
          <w:szCs w:val="22"/>
          <w:shd w:val="clear" w:color="auto" w:fill="FFFFFF"/>
        </w:rPr>
        <w:t>Tellez</w:t>
      </w:r>
      <w:proofErr w:type="spellEnd"/>
      <w:r>
        <w:rPr>
          <w:rFonts w:asciiTheme="minorHAnsi" w:hAnsiTheme="minorHAnsi" w:cstheme="minorHAnsi"/>
          <w:b/>
          <w:color w:val="000000" w:themeColor="text1"/>
          <w:sz w:val="22"/>
          <w:szCs w:val="22"/>
          <w:shd w:val="clear" w:color="auto" w:fill="FFFFFF"/>
        </w:rPr>
        <w:t xml:space="preserve">. </w:t>
      </w:r>
      <w:r w:rsidRPr="007A47F1">
        <w:rPr>
          <w:rFonts w:asciiTheme="minorHAnsi" w:hAnsiTheme="minorHAnsi" w:cstheme="minorHAnsi"/>
          <w:sz w:val="22"/>
          <w:szCs w:val="22"/>
          <w:lang w:val="es-VE"/>
        </w:rPr>
        <w:t xml:space="preserve">Facultad de Odontología de </w:t>
      </w:r>
      <w:proofErr w:type="spellStart"/>
      <w:r w:rsidRPr="007A47F1">
        <w:rPr>
          <w:rFonts w:asciiTheme="minorHAnsi" w:hAnsiTheme="minorHAnsi" w:cstheme="minorHAnsi"/>
          <w:sz w:val="22"/>
          <w:szCs w:val="22"/>
          <w:lang w:val="es-VE"/>
        </w:rPr>
        <w:t>Araçatuba</w:t>
      </w:r>
      <w:proofErr w:type="spellEnd"/>
      <w:r w:rsidRPr="007A47F1">
        <w:rPr>
          <w:rFonts w:asciiTheme="minorHAnsi" w:hAnsiTheme="minorHAnsi" w:cstheme="minorHAnsi"/>
          <w:sz w:val="22"/>
          <w:szCs w:val="22"/>
          <w:lang w:val="es-VE"/>
        </w:rPr>
        <w:t xml:space="preserve">, Departamento de Odontología Infantil y Social, Universidad Estadual Paulista </w:t>
      </w:r>
      <w:proofErr w:type="spellStart"/>
      <w:r w:rsidRPr="007A47F1">
        <w:rPr>
          <w:rFonts w:asciiTheme="minorHAnsi" w:hAnsiTheme="minorHAnsi" w:cstheme="minorHAnsi"/>
          <w:sz w:val="22"/>
          <w:szCs w:val="22"/>
          <w:lang w:val="es-VE"/>
        </w:rPr>
        <w:t>Júlio</w:t>
      </w:r>
      <w:proofErr w:type="spellEnd"/>
      <w:r w:rsidRPr="007A47F1">
        <w:rPr>
          <w:rFonts w:asciiTheme="minorHAnsi" w:hAnsiTheme="minorHAnsi" w:cstheme="minorHAnsi"/>
          <w:sz w:val="22"/>
          <w:szCs w:val="22"/>
          <w:lang w:val="es-VE"/>
        </w:rPr>
        <w:t xml:space="preserve"> de </w:t>
      </w:r>
      <w:proofErr w:type="spellStart"/>
      <w:r w:rsidRPr="007A47F1">
        <w:rPr>
          <w:rFonts w:asciiTheme="minorHAnsi" w:hAnsiTheme="minorHAnsi" w:cstheme="minorHAnsi"/>
          <w:sz w:val="22"/>
          <w:szCs w:val="22"/>
          <w:lang w:val="es-VE"/>
        </w:rPr>
        <w:t>Mesquita</w:t>
      </w:r>
      <w:proofErr w:type="spellEnd"/>
      <w:r w:rsidRPr="007A47F1">
        <w:rPr>
          <w:rFonts w:asciiTheme="minorHAnsi" w:hAnsiTheme="minorHAnsi" w:cstheme="minorHAnsi"/>
          <w:sz w:val="22"/>
          <w:szCs w:val="22"/>
          <w:lang w:val="es-VE"/>
        </w:rPr>
        <w:t xml:space="preserve"> </w:t>
      </w:r>
      <w:proofErr w:type="spellStart"/>
      <w:r w:rsidRPr="007A47F1">
        <w:rPr>
          <w:rFonts w:asciiTheme="minorHAnsi" w:hAnsiTheme="minorHAnsi" w:cstheme="minorHAnsi"/>
          <w:sz w:val="22"/>
          <w:szCs w:val="22"/>
          <w:lang w:val="es-VE"/>
        </w:rPr>
        <w:t>Filho</w:t>
      </w:r>
      <w:proofErr w:type="spellEnd"/>
      <w:r w:rsidRPr="007A47F1">
        <w:rPr>
          <w:rFonts w:asciiTheme="minorHAnsi" w:hAnsiTheme="minorHAnsi" w:cstheme="minorHAnsi"/>
          <w:sz w:val="22"/>
          <w:szCs w:val="22"/>
          <w:lang w:val="es-VE"/>
        </w:rPr>
        <w:t>-FOA/UNESP, Brasil.</w:t>
      </w:r>
    </w:p>
    <w:p w:rsidR="007A47F1" w:rsidRPr="007A47F1" w:rsidRDefault="007A47F1" w:rsidP="006C6B7E">
      <w:pPr>
        <w:pStyle w:val="Encabezado"/>
        <w:rPr>
          <w:rFonts w:asciiTheme="minorHAnsi" w:hAnsiTheme="minorHAnsi" w:cstheme="minorHAnsi"/>
          <w:b/>
          <w:sz w:val="22"/>
          <w:szCs w:val="22"/>
          <w:lang w:val="es-VE"/>
        </w:rPr>
      </w:pPr>
    </w:p>
    <w:p w:rsidR="006C6B7E" w:rsidRDefault="006C6B7E" w:rsidP="006C6B7E">
      <w:pPr>
        <w:pStyle w:val="Encabezado"/>
        <w:rPr>
          <w:rFonts w:asciiTheme="minorHAnsi" w:hAnsiTheme="minorHAnsi" w:cstheme="minorHAnsi"/>
          <w:sz w:val="22"/>
          <w:szCs w:val="22"/>
          <w:lang w:val="es-VE"/>
        </w:rPr>
      </w:pPr>
      <w:r w:rsidRPr="007A47F1">
        <w:rPr>
          <w:rFonts w:asciiTheme="minorHAnsi" w:hAnsiTheme="minorHAnsi" w:cstheme="minorHAnsi"/>
          <w:b/>
          <w:sz w:val="22"/>
          <w:szCs w:val="22"/>
          <w:lang w:val="es-VE"/>
        </w:rPr>
        <w:t>Artênio José Saliba Garbin</w:t>
      </w:r>
      <w:r w:rsidR="007A47F1" w:rsidRPr="007A47F1">
        <w:rPr>
          <w:rFonts w:asciiTheme="minorHAnsi" w:hAnsiTheme="minorHAnsi" w:cstheme="minorHAnsi"/>
          <w:b/>
          <w:sz w:val="22"/>
          <w:szCs w:val="22"/>
          <w:lang w:val="es-VE"/>
        </w:rPr>
        <w:t xml:space="preserve">. </w:t>
      </w:r>
      <w:r w:rsidR="007A47F1" w:rsidRPr="007A47F1">
        <w:rPr>
          <w:rFonts w:asciiTheme="minorHAnsi" w:hAnsiTheme="minorHAnsi" w:cstheme="minorHAnsi"/>
          <w:sz w:val="22"/>
          <w:szCs w:val="22"/>
          <w:lang w:val="es-VE"/>
        </w:rPr>
        <w:t>Estudiante Medicina em Centro Universitario Salesiano Católico Auxilium. Araçatuba, San Paulo, Brasil.</w:t>
      </w:r>
    </w:p>
    <w:p w:rsidR="007A47F1" w:rsidRPr="007A47F1" w:rsidRDefault="007A47F1" w:rsidP="006C6B7E">
      <w:pPr>
        <w:pStyle w:val="Encabezado"/>
        <w:rPr>
          <w:rFonts w:asciiTheme="minorHAnsi" w:hAnsiTheme="minorHAnsi" w:cstheme="minorHAnsi"/>
          <w:b/>
          <w:sz w:val="22"/>
          <w:szCs w:val="22"/>
          <w:lang w:val="es-VE"/>
        </w:rPr>
      </w:pPr>
    </w:p>
    <w:p w:rsidR="006C6B7E" w:rsidRDefault="006C6B7E" w:rsidP="006C6B7E">
      <w:pPr>
        <w:pStyle w:val="Textoindependiente3"/>
        <w:spacing w:after="0" w:line="240" w:lineRule="auto"/>
        <w:rPr>
          <w:rFonts w:asciiTheme="minorHAnsi" w:hAnsiTheme="minorHAnsi" w:cstheme="minorHAnsi"/>
          <w:color w:val="auto"/>
          <w:sz w:val="22"/>
          <w:szCs w:val="22"/>
        </w:rPr>
      </w:pPr>
      <w:r w:rsidRPr="007A47F1">
        <w:rPr>
          <w:rFonts w:asciiTheme="minorHAnsi" w:hAnsiTheme="minorHAnsi" w:cstheme="minorHAnsi"/>
          <w:b/>
          <w:color w:val="auto"/>
          <w:sz w:val="22"/>
          <w:szCs w:val="22"/>
        </w:rPr>
        <w:t>Artênio Jose Isper Garbin</w:t>
      </w:r>
      <w:r w:rsidR="007A47F1" w:rsidRPr="007A47F1">
        <w:rPr>
          <w:rFonts w:asciiTheme="minorHAnsi" w:hAnsiTheme="minorHAnsi" w:cstheme="minorHAnsi"/>
          <w:b/>
          <w:color w:val="auto"/>
          <w:sz w:val="22"/>
          <w:szCs w:val="22"/>
        </w:rPr>
        <w:t xml:space="preserve">. </w:t>
      </w:r>
      <w:r w:rsidR="007A47F1" w:rsidRPr="007A47F1">
        <w:rPr>
          <w:rFonts w:asciiTheme="minorHAnsi" w:hAnsiTheme="minorHAnsi" w:cstheme="minorHAnsi"/>
          <w:color w:val="auto"/>
          <w:sz w:val="22"/>
          <w:szCs w:val="22"/>
        </w:rPr>
        <w:t>Facultad de Odontología de Araçatuba, Departamento de Odontología Infantil y Social, Universidad Estadual Paulista Júlio de Mesquita Filho-FOA/UNESP, Brasil.</w:t>
      </w:r>
    </w:p>
    <w:p w:rsidR="007A47F1" w:rsidRPr="007A47F1" w:rsidRDefault="007A47F1" w:rsidP="006C6B7E">
      <w:pPr>
        <w:pStyle w:val="Textoindependiente3"/>
        <w:spacing w:after="0" w:line="240" w:lineRule="auto"/>
        <w:rPr>
          <w:rFonts w:asciiTheme="minorHAnsi" w:hAnsiTheme="minorHAnsi" w:cstheme="minorHAnsi"/>
          <w:b/>
          <w:color w:val="auto"/>
          <w:sz w:val="22"/>
          <w:szCs w:val="22"/>
        </w:rPr>
      </w:pPr>
    </w:p>
    <w:p w:rsidR="006C6B7E" w:rsidRDefault="006C6B7E" w:rsidP="006C6B7E">
      <w:pPr>
        <w:pStyle w:val="Textoindependiente3"/>
        <w:spacing w:after="0" w:line="240" w:lineRule="auto"/>
        <w:rPr>
          <w:rFonts w:asciiTheme="minorHAnsi" w:hAnsiTheme="minorHAnsi" w:cstheme="minorHAnsi"/>
          <w:color w:val="auto"/>
          <w:sz w:val="22"/>
          <w:szCs w:val="22"/>
        </w:rPr>
      </w:pPr>
      <w:r w:rsidRPr="007A47F1">
        <w:rPr>
          <w:rFonts w:asciiTheme="minorHAnsi" w:hAnsiTheme="minorHAnsi" w:cstheme="minorHAnsi"/>
          <w:b/>
          <w:color w:val="auto"/>
          <w:sz w:val="22"/>
          <w:szCs w:val="22"/>
          <w:shd w:val="clear" w:color="auto" w:fill="FFFFFF"/>
        </w:rPr>
        <w:t>Tania Adas Saliba</w:t>
      </w:r>
      <w:r w:rsidR="007A47F1" w:rsidRPr="007A47F1">
        <w:rPr>
          <w:rFonts w:asciiTheme="minorHAnsi" w:hAnsiTheme="minorHAnsi" w:cstheme="minorHAnsi"/>
          <w:b/>
          <w:color w:val="auto"/>
          <w:sz w:val="22"/>
          <w:szCs w:val="22"/>
          <w:shd w:val="clear" w:color="auto" w:fill="FFFFFF"/>
        </w:rPr>
        <w:t xml:space="preserve">. </w:t>
      </w:r>
      <w:r w:rsidR="007A47F1" w:rsidRPr="007A47F1">
        <w:rPr>
          <w:rFonts w:asciiTheme="minorHAnsi" w:hAnsiTheme="minorHAnsi" w:cstheme="minorHAnsi"/>
          <w:color w:val="auto"/>
          <w:sz w:val="22"/>
          <w:szCs w:val="22"/>
        </w:rPr>
        <w:t>Facultad de Odontología de Araçatuba, Departamento de Odontología Infantil y Social, Universidad Estadual Paulista Júlio de Mesquita Filho-FOA/UNESP, Brasil.</w:t>
      </w:r>
    </w:p>
    <w:p w:rsidR="007A47F1" w:rsidRPr="007A47F1" w:rsidRDefault="007A47F1" w:rsidP="006C6B7E">
      <w:pPr>
        <w:pStyle w:val="Textoindependiente3"/>
        <w:spacing w:after="0" w:line="240" w:lineRule="auto"/>
        <w:rPr>
          <w:rFonts w:asciiTheme="minorHAnsi" w:hAnsiTheme="minorHAnsi" w:cstheme="minorHAnsi"/>
          <w:color w:val="auto"/>
          <w:sz w:val="22"/>
          <w:szCs w:val="22"/>
          <w:vertAlign w:val="superscript"/>
        </w:rPr>
      </w:pPr>
    </w:p>
    <w:p w:rsidR="007A47F1" w:rsidRDefault="007A47F1" w:rsidP="007A47F1">
      <w:pPr>
        <w:spacing w:after="0"/>
        <w:rPr>
          <w:rFonts w:asciiTheme="majorHAnsi" w:hAnsiTheme="majorHAnsi"/>
          <w:b/>
        </w:rPr>
      </w:pPr>
      <w:r w:rsidRPr="00DB7E2D">
        <w:rPr>
          <w:rFonts w:asciiTheme="majorHAnsi" w:hAnsiTheme="majorHAnsi"/>
          <w:b/>
        </w:rPr>
        <w:t>Autor de correspondencia:</w:t>
      </w:r>
    </w:p>
    <w:p w:rsidR="007A47F1" w:rsidRDefault="007A47F1" w:rsidP="007A47F1">
      <w:pPr>
        <w:spacing w:after="0"/>
        <w:rPr>
          <w:rFonts w:asciiTheme="majorHAnsi" w:hAnsiTheme="majorHAnsi"/>
          <w:b/>
        </w:rPr>
      </w:pPr>
    </w:p>
    <w:p w:rsidR="007A47F1" w:rsidRPr="007A47F1" w:rsidRDefault="007A47F1" w:rsidP="007A47F1">
      <w:pPr>
        <w:spacing w:after="0"/>
        <w:rPr>
          <w:rFonts w:asciiTheme="minorHAnsi" w:hAnsiTheme="minorHAnsi" w:cstheme="minorHAnsi"/>
          <w:b/>
        </w:rPr>
      </w:pPr>
      <w:r w:rsidRPr="007A47F1">
        <w:rPr>
          <w:rFonts w:asciiTheme="minorHAnsi" w:hAnsiTheme="minorHAnsi" w:cstheme="minorHAnsi"/>
          <w:b/>
        </w:rPr>
        <w:t>Cléa Adas Saliba Garbin</w:t>
      </w:r>
      <w:r w:rsidRPr="007A47F1">
        <w:rPr>
          <w:rFonts w:asciiTheme="minorHAnsi" w:hAnsiTheme="minorHAnsi" w:cstheme="minorHAnsi"/>
        </w:rPr>
        <w:t xml:space="preserve"> clea.saliba-garbin@foa.unesp.br</w:t>
      </w:r>
      <w:r>
        <w:rPr>
          <w:rFonts w:asciiTheme="minorHAnsi" w:hAnsiTheme="minorHAnsi" w:cstheme="minorHAnsi"/>
        </w:rPr>
        <w:t>.</w:t>
      </w:r>
      <w:r w:rsidRPr="007A47F1">
        <w:rPr>
          <w:rFonts w:asciiTheme="minorHAnsi" w:hAnsiTheme="minorHAnsi" w:cstheme="minorHAnsi"/>
        </w:rPr>
        <w:t xml:space="preserve">  </w:t>
      </w:r>
      <w:r w:rsidRPr="007A47F1">
        <w:rPr>
          <w:rFonts w:asciiTheme="minorHAnsi" w:hAnsiTheme="minorHAnsi" w:cstheme="minorHAnsi"/>
          <w:b/>
        </w:rPr>
        <w:t>Julia Arruda Batista</w:t>
      </w:r>
      <w:r w:rsidRPr="007A47F1">
        <w:rPr>
          <w:rFonts w:asciiTheme="minorHAnsi" w:hAnsiTheme="minorHAnsi" w:cstheme="minorHAnsi"/>
        </w:rPr>
        <w:t xml:space="preserve"> </w:t>
      </w:r>
      <w:r w:rsidRPr="007A47F1">
        <w:rPr>
          <w:rStyle w:val="Hipervnculo"/>
          <w:rFonts w:asciiTheme="minorHAnsi" w:hAnsiTheme="minorHAnsi" w:cstheme="minorHAnsi"/>
          <w:color w:val="auto"/>
          <w:u w:val="none"/>
        </w:rPr>
        <w:t>jarrudabaptista@gmail.com</w:t>
      </w:r>
    </w:p>
    <w:p w:rsidR="006C6B7E" w:rsidRDefault="006C6B7E" w:rsidP="006C6B7E">
      <w:pPr>
        <w:pStyle w:val="HTMLconformatoprevio"/>
        <w:shd w:val="clear" w:color="auto" w:fill="FFFFFF"/>
        <w:jc w:val="both"/>
        <w:rPr>
          <w:rFonts w:asciiTheme="minorHAnsi" w:hAnsiTheme="minorHAnsi" w:cstheme="minorHAnsi"/>
          <w:color w:val="212121"/>
          <w:sz w:val="24"/>
          <w:szCs w:val="24"/>
        </w:rPr>
      </w:pPr>
    </w:p>
    <w:p w:rsidR="008A3757" w:rsidRPr="008A3757" w:rsidRDefault="008A3757" w:rsidP="006C6B7E">
      <w:pPr>
        <w:pStyle w:val="HTMLconformatoprevio"/>
        <w:shd w:val="clear" w:color="auto" w:fill="FFFFFF"/>
        <w:jc w:val="both"/>
        <w:rPr>
          <w:rFonts w:asciiTheme="minorHAnsi" w:hAnsiTheme="minorHAnsi" w:cstheme="minorHAnsi"/>
          <w:b/>
          <w:color w:val="212121"/>
          <w:sz w:val="24"/>
          <w:szCs w:val="24"/>
        </w:rPr>
      </w:pPr>
      <w:r w:rsidRPr="008A3757">
        <w:rPr>
          <w:rFonts w:asciiTheme="minorHAnsi" w:hAnsiTheme="minorHAnsi" w:cstheme="minorHAnsi"/>
          <w:b/>
          <w:color w:val="212121"/>
          <w:sz w:val="24"/>
          <w:szCs w:val="24"/>
        </w:rPr>
        <w:t xml:space="preserve">Resumen </w:t>
      </w:r>
    </w:p>
    <w:p w:rsidR="008A3757" w:rsidRPr="00A95A7F" w:rsidRDefault="008A3757" w:rsidP="006C6B7E">
      <w:pPr>
        <w:pStyle w:val="HTMLconformatoprevio"/>
        <w:shd w:val="clear" w:color="auto" w:fill="FFFFFF"/>
        <w:jc w:val="both"/>
        <w:rPr>
          <w:rFonts w:asciiTheme="minorHAnsi" w:hAnsiTheme="minorHAnsi" w:cstheme="minorHAnsi"/>
          <w:color w:val="212121"/>
          <w:sz w:val="24"/>
          <w:szCs w:val="24"/>
        </w:rPr>
      </w:pPr>
    </w:p>
    <w:p w:rsidR="006C6B7E" w:rsidRPr="00A95A7F"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 xml:space="preserve">La receta odontológica es un documento imprescindible en la conducción de tratamientos y resguardo profesional en lo que se refiere a los litigios judiciales. </w:t>
      </w:r>
      <w:proofErr w:type="spellStart"/>
      <w:proofErr w:type="gramStart"/>
      <w:r w:rsidRPr="00A95A7F">
        <w:rPr>
          <w:rFonts w:asciiTheme="minorHAnsi" w:hAnsiTheme="minorHAnsi" w:cstheme="minorHAnsi"/>
          <w:color w:val="212121"/>
          <w:sz w:val="24"/>
          <w:szCs w:val="24"/>
        </w:rPr>
        <w:t>Objetivo:El</w:t>
      </w:r>
      <w:proofErr w:type="spellEnd"/>
      <w:proofErr w:type="gramEnd"/>
      <w:r w:rsidRPr="00A95A7F">
        <w:rPr>
          <w:rFonts w:asciiTheme="minorHAnsi" w:hAnsiTheme="minorHAnsi" w:cstheme="minorHAnsi"/>
          <w:color w:val="212121"/>
          <w:sz w:val="24"/>
          <w:szCs w:val="24"/>
        </w:rPr>
        <w:t xml:space="preserve"> objetivo fue analizar las prescripciones medicamentosas y verificar entre las especialidades los posibles </w:t>
      </w:r>
      <w:r w:rsidRPr="00A95A7F">
        <w:rPr>
          <w:rFonts w:asciiTheme="minorHAnsi" w:hAnsiTheme="minorHAnsi" w:cstheme="minorHAnsi"/>
          <w:color w:val="212121"/>
          <w:sz w:val="24"/>
          <w:szCs w:val="24"/>
        </w:rPr>
        <w:lastRenderedPageBreak/>
        <w:t xml:space="preserve">equívocos en el comercio de recetas odontológicas. </w:t>
      </w:r>
      <w:r w:rsidRPr="00897354">
        <w:rPr>
          <w:rFonts w:asciiTheme="minorHAnsi" w:hAnsiTheme="minorHAnsi" w:cstheme="minorHAnsi"/>
          <w:color w:val="333333"/>
          <w:sz w:val="24"/>
          <w:szCs w:val="24"/>
          <w:shd w:val="clear" w:color="auto" w:fill="FFFFFF"/>
        </w:rPr>
        <w:t>Materiales y Métodos:</w:t>
      </w:r>
      <w:r w:rsidRPr="00A95A7F">
        <w:rPr>
          <w:rFonts w:asciiTheme="minorHAnsi" w:hAnsiTheme="minorHAnsi" w:cstheme="minorHAnsi"/>
          <w:color w:val="212121"/>
          <w:sz w:val="24"/>
          <w:szCs w:val="24"/>
        </w:rPr>
        <w:t xml:space="preserve"> Se trata de un estudio transversal, descriptivo y cuantitativo. Participaron del estudio, 176 cirujanos-dentistas especialistas de una institución de enseñanza superior pública. Para la conducción del estudio se entregó un recetario a fin de que una prescripción medicamentosa fuera elaborada de la forma que los profesionales juzguen apropiada y luego el análisis de las variables fundamentales del documento fue realizado de acuerdo con la legislación pertinente. Para el análisis de los datos se utilizó el software </w:t>
      </w:r>
      <w:proofErr w:type="spellStart"/>
      <w:r w:rsidRPr="00A95A7F">
        <w:rPr>
          <w:rFonts w:asciiTheme="minorHAnsi" w:hAnsiTheme="minorHAnsi" w:cstheme="minorHAnsi"/>
          <w:color w:val="212121"/>
          <w:sz w:val="24"/>
          <w:szCs w:val="24"/>
        </w:rPr>
        <w:t>Epi</w:t>
      </w:r>
      <w:proofErr w:type="spellEnd"/>
      <w:r w:rsidRPr="00A95A7F">
        <w:rPr>
          <w:rFonts w:asciiTheme="minorHAnsi" w:hAnsiTheme="minorHAnsi" w:cstheme="minorHAnsi"/>
          <w:color w:val="212121"/>
          <w:sz w:val="24"/>
          <w:szCs w:val="24"/>
        </w:rPr>
        <w:t xml:space="preserve"> Info7.2, y el Test Binomial fue empleado para que se realizara una comparación de los documentos entre las especialidades. Resultados: En los ingresos de los profesionales, se notó que en el 56,82% no presentaban el sello al pie del documento, mientras que el 63,54% de las prescripciones no fueron fechadas. En el 47,72% de las prescripciones, la identificación del paciente no fue verificada, así como el uso del fármaco no fue mencionado en el 69,96%. Se verificó también entre los especialistas que sólo el 17,31% elaboró ​​el documento de acuerdo con los preceptos formales. </w:t>
      </w:r>
      <w:proofErr w:type="spellStart"/>
      <w:r w:rsidRPr="00A95A7F">
        <w:rPr>
          <w:rFonts w:asciiTheme="minorHAnsi" w:hAnsiTheme="minorHAnsi" w:cstheme="minorHAnsi"/>
          <w:color w:val="212121"/>
          <w:sz w:val="24"/>
          <w:szCs w:val="24"/>
        </w:rPr>
        <w:t>Conclusíon</w:t>
      </w:r>
      <w:proofErr w:type="spellEnd"/>
      <w:r w:rsidRPr="00A95A7F">
        <w:rPr>
          <w:rFonts w:asciiTheme="minorHAnsi" w:hAnsiTheme="minorHAnsi" w:cstheme="minorHAnsi"/>
          <w:color w:val="212121"/>
          <w:sz w:val="24"/>
          <w:szCs w:val="24"/>
        </w:rPr>
        <w:t>: Se concluye que una gran parte de los cirujanos-dentistas mediante la ausencia de alguna variable del documento, desatendieron tanto a aspectos éticos-legales, como técnico-farmacológicos, quedando vulnerables a las acciones jurídicas</w:t>
      </w:r>
    </w:p>
    <w:p w:rsidR="006C6B7E" w:rsidRPr="00A95A7F" w:rsidRDefault="006C6B7E" w:rsidP="006C6B7E">
      <w:pPr>
        <w:pStyle w:val="HTMLconformatoprevio"/>
        <w:shd w:val="clear" w:color="auto" w:fill="FFFFFF"/>
        <w:jc w:val="both"/>
        <w:rPr>
          <w:rFonts w:asciiTheme="minorHAnsi" w:hAnsiTheme="minorHAnsi" w:cstheme="minorHAnsi"/>
          <w:color w:val="212121"/>
          <w:sz w:val="24"/>
          <w:szCs w:val="24"/>
        </w:rPr>
      </w:pPr>
    </w:p>
    <w:p w:rsidR="006C6B7E" w:rsidRPr="00897354" w:rsidRDefault="006C6B7E" w:rsidP="006C6B7E">
      <w:pPr>
        <w:pStyle w:val="HTMLconformatoprevio"/>
        <w:shd w:val="clear" w:color="auto" w:fill="FFFFFF"/>
        <w:spacing w:line="480" w:lineRule="auto"/>
        <w:jc w:val="both"/>
        <w:rPr>
          <w:rFonts w:asciiTheme="minorHAnsi" w:hAnsiTheme="minorHAnsi" w:cstheme="minorHAnsi"/>
          <w:sz w:val="24"/>
          <w:szCs w:val="24"/>
        </w:rPr>
      </w:pPr>
      <w:r w:rsidRPr="00897354">
        <w:rPr>
          <w:rFonts w:asciiTheme="minorHAnsi" w:hAnsiTheme="minorHAnsi" w:cstheme="minorHAnsi"/>
          <w:b/>
          <w:sz w:val="24"/>
          <w:szCs w:val="24"/>
        </w:rPr>
        <w:t>Palabras clave:</w:t>
      </w:r>
      <w:r w:rsidRPr="00897354">
        <w:rPr>
          <w:rFonts w:asciiTheme="minorHAnsi" w:hAnsiTheme="minorHAnsi" w:cstheme="minorHAnsi"/>
          <w:sz w:val="24"/>
          <w:szCs w:val="24"/>
        </w:rPr>
        <w:t xml:space="preserve"> Receta; Práctica Profesional; Documento</w:t>
      </w:r>
    </w:p>
    <w:p w:rsidR="006C6B7E" w:rsidRPr="00A95A7F" w:rsidRDefault="006C6B7E" w:rsidP="006C6B7E">
      <w:pPr>
        <w:spacing w:after="0" w:line="240" w:lineRule="auto"/>
        <w:jc w:val="both"/>
        <w:rPr>
          <w:rFonts w:cstheme="minorHAnsi"/>
          <w:sz w:val="24"/>
          <w:szCs w:val="24"/>
          <w:lang w:val="en-US"/>
        </w:rPr>
      </w:pPr>
    </w:p>
    <w:p w:rsidR="006C6B7E" w:rsidRPr="00A95A7F" w:rsidRDefault="006C6B7E" w:rsidP="006C6B7E">
      <w:pPr>
        <w:spacing w:after="0" w:line="240" w:lineRule="auto"/>
        <w:jc w:val="both"/>
        <w:rPr>
          <w:rFonts w:cstheme="minorHAnsi"/>
          <w:sz w:val="24"/>
          <w:szCs w:val="24"/>
          <w:lang w:val="en-US"/>
        </w:rPr>
      </w:pPr>
      <w:r w:rsidRPr="00A95A7F">
        <w:rPr>
          <w:rFonts w:cstheme="minorHAnsi"/>
          <w:sz w:val="24"/>
          <w:szCs w:val="24"/>
          <w:lang w:val="en-US"/>
        </w:rPr>
        <w:t>Dental prescription is an indispensable document in the conduct of treatments and professional protection in relation to judicial litigation.</w:t>
      </w:r>
      <w:r w:rsidRPr="00897354">
        <w:rPr>
          <w:rFonts w:cstheme="minorHAnsi"/>
          <w:sz w:val="24"/>
          <w:szCs w:val="24"/>
          <w:lang w:val="en-US"/>
        </w:rPr>
        <w:t xml:space="preserve"> </w:t>
      </w:r>
      <w:r w:rsidRPr="00A95A7F">
        <w:rPr>
          <w:rFonts w:cstheme="minorHAnsi"/>
          <w:sz w:val="24"/>
          <w:szCs w:val="24"/>
          <w:lang w:val="en-US"/>
        </w:rPr>
        <w:t xml:space="preserve">Objective: The objective was to analyze the medication prescriptions and to verify among the specialties the possible misunderstandings in the documentation of the document. Materials and Methods: This is a cross-sectional, descriptive and quantitative study. </w:t>
      </w:r>
      <w:proofErr w:type="gramStart"/>
      <w:r w:rsidRPr="00A95A7F">
        <w:rPr>
          <w:rFonts w:cstheme="minorHAnsi"/>
          <w:sz w:val="24"/>
          <w:szCs w:val="24"/>
          <w:lang w:val="en-US"/>
        </w:rPr>
        <w:t>A total of 176</w:t>
      </w:r>
      <w:proofErr w:type="gramEnd"/>
      <w:r w:rsidRPr="00A95A7F">
        <w:rPr>
          <w:rFonts w:cstheme="minorHAnsi"/>
          <w:sz w:val="24"/>
          <w:szCs w:val="24"/>
          <w:lang w:val="en-US"/>
        </w:rPr>
        <w:t xml:space="preserve"> specialist dental surgeons from a public higher education institution participated in the study. To conduct the study, a prescription </w:t>
      </w:r>
      <w:proofErr w:type="gramStart"/>
      <w:r w:rsidRPr="00A95A7F">
        <w:rPr>
          <w:rFonts w:cstheme="minorHAnsi"/>
          <w:sz w:val="24"/>
          <w:szCs w:val="24"/>
          <w:lang w:val="en-US"/>
        </w:rPr>
        <w:t>was delivered</w:t>
      </w:r>
      <w:proofErr w:type="gramEnd"/>
      <w:r w:rsidRPr="00A95A7F">
        <w:rPr>
          <w:rFonts w:cstheme="minorHAnsi"/>
          <w:sz w:val="24"/>
          <w:szCs w:val="24"/>
          <w:lang w:val="en-US"/>
        </w:rPr>
        <w:t xml:space="preserve"> so that a prescription drug was prepared in a way that the professionals considered appropriate and then, the analysis of the fundamental variables of the document was performed according to the relevant legislation. The Epi Info7.2 software </w:t>
      </w:r>
      <w:proofErr w:type="gramStart"/>
      <w:r w:rsidRPr="00A95A7F">
        <w:rPr>
          <w:rFonts w:cstheme="minorHAnsi"/>
          <w:sz w:val="24"/>
          <w:szCs w:val="24"/>
          <w:lang w:val="en-US"/>
        </w:rPr>
        <w:t>was used</w:t>
      </w:r>
      <w:proofErr w:type="gramEnd"/>
      <w:r w:rsidRPr="00A95A7F">
        <w:rPr>
          <w:rFonts w:cstheme="minorHAnsi"/>
          <w:sz w:val="24"/>
          <w:szCs w:val="24"/>
          <w:lang w:val="en-US"/>
        </w:rPr>
        <w:t xml:space="preserve"> to analyze the data, and the Binomial Test was used to compare the documents among the specialties.</w:t>
      </w:r>
      <w:r w:rsidRPr="00897354">
        <w:rPr>
          <w:rFonts w:cstheme="minorHAnsi"/>
          <w:sz w:val="24"/>
          <w:szCs w:val="24"/>
          <w:lang w:val="en-US"/>
        </w:rPr>
        <w:t xml:space="preserve"> </w:t>
      </w:r>
      <w:r w:rsidRPr="00A95A7F">
        <w:rPr>
          <w:rFonts w:cstheme="minorHAnsi"/>
          <w:sz w:val="24"/>
          <w:szCs w:val="24"/>
          <w:lang w:val="en-US"/>
        </w:rPr>
        <w:t xml:space="preserve">Results: In the revenues generated by professionals, it </w:t>
      </w:r>
      <w:proofErr w:type="gramStart"/>
      <w:r w:rsidRPr="00A95A7F">
        <w:rPr>
          <w:rFonts w:cstheme="minorHAnsi"/>
          <w:sz w:val="24"/>
          <w:szCs w:val="24"/>
          <w:lang w:val="en-US"/>
        </w:rPr>
        <w:t>was noted</w:t>
      </w:r>
      <w:proofErr w:type="gramEnd"/>
      <w:r w:rsidRPr="00A95A7F">
        <w:rPr>
          <w:rFonts w:cstheme="minorHAnsi"/>
          <w:sz w:val="24"/>
          <w:szCs w:val="24"/>
          <w:lang w:val="en-US"/>
        </w:rPr>
        <w:t xml:space="preserve"> that in 56.82% they did not have the stamp in the footer of the document, while 63.54% of the prescriptions were not dated. In 47.72% of the prescriptions, the patient's identification was not verified, as well as, the use of the drug was not mentioned in 69.96%. It </w:t>
      </w:r>
      <w:proofErr w:type="gramStart"/>
      <w:r w:rsidRPr="00A95A7F">
        <w:rPr>
          <w:rFonts w:cstheme="minorHAnsi"/>
          <w:sz w:val="24"/>
          <w:szCs w:val="24"/>
          <w:lang w:val="en-US"/>
        </w:rPr>
        <w:t>was also verified</w:t>
      </w:r>
      <w:proofErr w:type="gramEnd"/>
      <w:r w:rsidRPr="00A95A7F">
        <w:rPr>
          <w:rFonts w:cstheme="minorHAnsi"/>
          <w:sz w:val="24"/>
          <w:szCs w:val="24"/>
          <w:lang w:val="en-US"/>
        </w:rPr>
        <w:t xml:space="preserve"> among the specialists that only 17.31% elaborated the document according to the formal precepts.</w:t>
      </w:r>
      <w:r w:rsidRPr="00897354">
        <w:rPr>
          <w:rFonts w:cstheme="minorHAnsi"/>
          <w:sz w:val="24"/>
          <w:szCs w:val="24"/>
          <w:lang w:val="en-US"/>
        </w:rPr>
        <w:t xml:space="preserve"> </w:t>
      </w:r>
      <w:r w:rsidRPr="00A95A7F">
        <w:rPr>
          <w:rFonts w:cstheme="minorHAnsi"/>
          <w:sz w:val="24"/>
          <w:szCs w:val="24"/>
          <w:lang w:val="en-US"/>
        </w:rPr>
        <w:t>Conclusion: It was concluded that a large proportion of dental surgeons, due to the lack of any variable in the document, disregarded both ethical-legal and technical-pharmacological aspects, becoming vulnerable to legal actions.</w:t>
      </w:r>
    </w:p>
    <w:p w:rsidR="006C6B7E" w:rsidRPr="00A95A7F" w:rsidRDefault="006C6B7E" w:rsidP="006C6B7E">
      <w:pPr>
        <w:spacing w:after="0" w:line="240" w:lineRule="auto"/>
        <w:jc w:val="both"/>
        <w:rPr>
          <w:rFonts w:cstheme="minorHAnsi"/>
          <w:sz w:val="24"/>
          <w:szCs w:val="24"/>
          <w:lang w:val="en-US"/>
        </w:rPr>
      </w:pPr>
    </w:p>
    <w:p w:rsidR="006C6B7E" w:rsidRPr="00A95A7F" w:rsidRDefault="006C6B7E" w:rsidP="006C6B7E">
      <w:pPr>
        <w:spacing w:after="0" w:line="240" w:lineRule="auto"/>
        <w:jc w:val="both"/>
        <w:rPr>
          <w:rFonts w:cstheme="minorHAnsi"/>
          <w:sz w:val="24"/>
          <w:szCs w:val="24"/>
          <w:lang w:val="en-US"/>
        </w:rPr>
      </w:pPr>
      <w:r w:rsidRPr="00A95A7F">
        <w:rPr>
          <w:rFonts w:cstheme="minorHAnsi"/>
          <w:b/>
          <w:sz w:val="24"/>
          <w:szCs w:val="24"/>
          <w:lang w:val="en-US"/>
        </w:rPr>
        <w:t xml:space="preserve"> Key-worlds</w:t>
      </w:r>
      <w:r w:rsidRPr="00A95A7F">
        <w:rPr>
          <w:rFonts w:cstheme="minorHAnsi"/>
          <w:sz w:val="24"/>
          <w:szCs w:val="24"/>
          <w:lang w:val="en-US"/>
        </w:rPr>
        <w:t>: Recipe; Professional Practice; Document;</w:t>
      </w:r>
    </w:p>
    <w:p w:rsidR="006C6B7E" w:rsidRPr="00897354" w:rsidRDefault="006C6B7E" w:rsidP="006C6B7E">
      <w:pPr>
        <w:rPr>
          <w:rFonts w:cstheme="minorHAnsi"/>
          <w:b/>
          <w:lang w:val="en-US"/>
        </w:rPr>
      </w:pPr>
    </w:p>
    <w:p w:rsidR="006C6B7E" w:rsidRPr="00897354" w:rsidRDefault="006C6B7E" w:rsidP="006C6B7E">
      <w:pPr>
        <w:rPr>
          <w:rFonts w:cstheme="minorHAnsi"/>
          <w:b/>
          <w:sz w:val="24"/>
          <w:szCs w:val="24"/>
        </w:rPr>
      </w:pPr>
      <w:r w:rsidRPr="00897354">
        <w:rPr>
          <w:rFonts w:cstheme="minorHAnsi"/>
          <w:b/>
          <w:sz w:val="24"/>
          <w:szCs w:val="24"/>
        </w:rPr>
        <w:t>Introducción</w:t>
      </w:r>
      <w:r w:rsidRPr="00897354">
        <w:rPr>
          <w:rFonts w:cstheme="minorHAnsi"/>
          <w:b/>
          <w:sz w:val="24"/>
          <w:szCs w:val="24"/>
        </w:rPr>
        <w:tab/>
      </w:r>
    </w:p>
    <w:p w:rsidR="006C6B7E" w:rsidRPr="00A95A7F" w:rsidRDefault="006C6B7E" w:rsidP="006C6B7E">
      <w:pPr>
        <w:pStyle w:val="HTMLconformatoprevio"/>
        <w:shd w:val="clear" w:color="auto" w:fill="FFFFFF"/>
        <w:ind w:hanging="567"/>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lastRenderedPageBreak/>
        <w:t xml:space="preserve">           El uso y selección de recursos terapéuticos en los días actuales permite el tratamiento eficaz de diversas enfermedades, preservando y restituyendo la salud de los individuos, y su consumo se materializa a través de la prescripción medicamentosa. </w:t>
      </w:r>
      <w:r w:rsidRPr="00A95A7F">
        <w:rPr>
          <w:rFonts w:asciiTheme="minorHAnsi" w:hAnsiTheme="minorHAnsi" w:cstheme="minorHAnsi"/>
          <w:color w:val="212121"/>
          <w:sz w:val="24"/>
          <w:szCs w:val="24"/>
          <w:vertAlign w:val="superscript"/>
        </w:rPr>
        <w:t>1,2,3</w:t>
      </w:r>
      <w:r w:rsidRPr="00897354">
        <w:rPr>
          <w:rFonts w:asciiTheme="minorHAnsi" w:hAnsiTheme="minorHAnsi" w:cstheme="minorHAnsi"/>
          <w:sz w:val="24"/>
          <w:szCs w:val="24"/>
        </w:rPr>
        <w:br/>
      </w:r>
      <w:r w:rsidRPr="00126113">
        <w:rPr>
          <w:rFonts w:asciiTheme="minorHAnsi" w:hAnsiTheme="minorHAnsi" w:cstheme="minorHAnsi"/>
          <w:color w:val="212121"/>
          <w:sz w:val="24"/>
          <w:szCs w:val="24"/>
          <w:shd w:val="clear" w:color="auto" w:fill="FFFFFF"/>
        </w:rPr>
        <w:t>En Brasil</w:t>
      </w:r>
      <w:r w:rsidRPr="00897354">
        <w:rPr>
          <w:rFonts w:asciiTheme="minorHAnsi" w:hAnsiTheme="minorHAnsi" w:cstheme="minorHAnsi"/>
          <w:color w:val="212121"/>
          <w:sz w:val="24"/>
          <w:szCs w:val="24"/>
          <w:shd w:val="clear" w:color="auto" w:fill="FFFFFF"/>
        </w:rPr>
        <w:t xml:space="preserve">, de acuerdo con la Ley 5.081, en el ejercicio de la profesión, los cirujanos-dentistas están legalmente habilitados a prescribir y aplicar especialidades farmacéuticas, siempre que, dispongan de uso indicado y comprobado en la odontología. </w:t>
      </w:r>
      <w:r w:rsidRPr="00A95A7F">
        <w:rPr>
          <w:rFonts w:asciiTheme="minorHAnsi" w:hAnsiTheme="minorHAnsi" w:cstheme="minorHAnsi"/>
          <w:color w:val="212121"/>
          <w:sz w:val="24"/>
          <w:szCs w:val="24"/>
        </w:rPr>
        <w:t xml:space="preserve">Definida como una orden escrita por médicos y / o cirujanos-dentistas sobre que fármaco debe ser proporcionado al paciente, y sus condiciones de uso, la prescripción medicamentosa asume un importante papel en lo que se refiere a los cuidados en el contexto de la práctica clínica. </w:t>
      </w:r>
      <w:r w:rsidRPr="00A95A7F">
        <w:rPr>
          <w:rFonts w:asciiTheme="minorHAnsi" w:hAnsiTheme="minorHAnsi" w:cstheme="minorHAnsi"/>
          <w:color w:val="212121"/>
          <w:sz w:val="24"/>
          <w:szCs w:val="24"/>
          <w:vertAlign w:val="superscript"/>
        </w:rPr>
        <w:t>4,5</w:t>
      </w:r>
    </w:p>
    <w:p w:rsidR="006C6B7E" w:rsidRPr="00897354"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 xml:space="preserve">Las recetas, así como otros documentos odontológicos, establecen un conjunto de declaraciones firmadas entre paciente-profesional, e involucran cuestiones ético-legales, sirviendo como prueba, y pueden ser utilizadas con finalidad jurídica. </w:t>
      </w:r>
      <w:r w:rsidRPr="00A95A7F">
        <w:rPr>
          <w:rFonts w:asciiTheme="minorHAnsi" w:hAnsiTheme="minorHAnsi" w:cstheme="minorHAnsi"/>
          <w:color w:val="212121"/>
          <w:sz w:val="24"/>
          <w:szCs w:val="24"/>
          <w:vertAlign w:val="superscript"/>
        </w:rPr>
        <w:t>6,7</w:t>
      </w:r>
    </w:p>
    <w:p w:rsidR="006C6B7E" w:rsidRPr="00897354"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 xml:space="preserve"> De acuerdo con los preceptos formales, las recetas odontológicas, deben presentar el nombre completo, dirección profesional, número de inscripción y especialidades inscritas ante el Consejo Federal de Odontología. Además de disponer del nombre y dirección del paciente, nombre, vía de administración y posología del fármaco, esas declaraciones deben ser legibles, fechadas y firmadas por el profesional, validando las informaciones de las recetas. </w:t>
      </w:r>
      <w:r w:rsidRPr="00A95A7F">
        <w:rPr>
          <w:rFonts w:asciiTheme="minorHAnsi" w:hAnsiTheme="minorHAnsi" w:cstheme="minorHAnsi"/>
          <w:color w:val="212121"/>
          <w:sz w:val="24"/>
          <w:szCs w:val="24"/>
          <w:vertAlign w:val="superscript"/>
        </w:rPr>
        <w:t>8</w:t>
      </w:r>
    </w:p>
    <w:p w:rsidR="006C6B7E" w:rsidRPr="00897354" w:rsidRDefault="006C6B7E" w:rsidP="006C6B7E">
      <w:pPr>
        <w:spacing w:line="240" w:lineRule="auto"/>
        <w:jc w:val="both"/>
        <w:rPr>
          <w:rFonts w:cstheme="minorHAnsi"/>
          <w:sz w:val="24"/>
          <w:szCs w:val="24"/>
        </w:rPr>
      </w:pPr>
      <w:r w:rsidRPr="00897354">
        <w:rPr>
          <w:rFonts w:cstheme="minorHAnsi"/>
          <w:color w:val="212121"/>
          <w:sz w:val="24"/>
          <w:szCs w:val="24"/>
          <w:shd w:val="clear" w:color="auto" w:fill="FFFFFF"/>
        </w:rPr>
        <w:t xml:space="preserve"> En el ámbito odontológico, estos fármacos tienen por finalidad evitar la diseminación de procesos infecciosos y / o inflamatorios, además de minimizar la sintomatología dolorosa. Por lo tanto, los cirujanos-dentistas, utilizan la prescripción de medicamentos como un medio adyuvante de su trabajo, aunque algunas especialidades prescriben en número reducido y restrictivo de clases terapéuticas. </w:t>
      </w:r>
      <w:r w:rsidRPr="00897354">
        <w:rPr>
          <w:rFonts w:cstheme="minorHAnsi"/>
          <w:color w:val="212121"/>
          <w:sz w:val="24"/>
          <w:szCs w:val="24"/>
          <w:shd w:val="clear" w:color="auto" w:fill="FFFFFF"/>
          <w:vertAlign w:val="superscript"/>
        </w:rPr>
        <w:t>4,9</w:t>
      </w:r>
    </w:p>
    <w:p w:rsidR="006C6B7E" w:rsidRPr="00897354"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 xml:space="preserve"> La falta de experiencia clínica, aliada a una formación académica deficiente, obstaculiza las dificultades de prescripción de analgésicos, antiinflamatorios y antibióticos, usualmente utilizados en la práctica odontológica, y puede inducir al profesional a fallas en la emisión de las recetas. </w:t>
      </w:r>
      <w:r w:rsidRPr="00897354">
        <w:rPr>
          <w:rFonts w:asciiTheme="minorHAnsi" w:hAnsiTheme="minorHAnsi" w:cstheme="minorHAnsi"/>
          <w:color w:val="212121"/>
          <w:sz w:val="24"/>
          <w:szCs w:val="24"/>
          <w:vertAlign w:val="superscript"/>
        </w:rPr>
        <w:t>4,10,11</w:t>
      </w:r>
    </w:p>
    <w:p w:rsidR="006C6B7E" w:rsidRPr="00897354" w:rsidRDefault="006C6B7E" w:rsidP="006C6B7E">
      <w:pPr>
        <w:pStyle w:val="HTMLconformatoprevio"/>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 xml:space="preserve">Considerando que el acto de prescribir se reviste de cuestiones éticas, legales y jurídicas, se vuelve imprescindible la adopción de medidas para el resguardo profesional, así como el establecimiento de la comunicación con el paciente, suplantando los aspectos técnicos de la odontología, en razón de una mayor concientización de la población y del acceso facilitado a la justicia a fin de minimizar el creciente número de acciones judiciales involucrando a cirujanos-dentistas. </w:t>
      </w:r>
      <w:r w:rsidRPr="00897354">
        <w:rPr>
          <w:rFonts w:asciiTheme="minorHAnsi" w:hAnsiTheme="minorHAnsi" w:cstheme="minorHAnsi"/>
          <w:color w:val="212121"/>
          <w:sz w:val="24"/>
          <w:szCs w:val="24"/>
          <w:vertAlign w:val="superscript"/>
        </w:rPr>
        <w:t>12,13</w:t>
      </w:r>
    </w:p>
    <w:p w:rsidR="006C6B7E" w:rsidRDefault="006C6B7E" w:rsidP="006C6B7E">
      <w:pPr>
        <w:pStyle w:val="HTMLconformatoprevio"/>
        <w:shd w:val="clear" w:color="auto" w:fill="FFFFFF"/>
        <w:jc w:val="both"/>
        <w:rPr>
          <w:rFonts w:asciiTheme="minorHAnsi" w:hAnsiTheme="minorHAnsi" w:cstheme="minorHAnsi"/>
          <w:color w:val="212121"/>
          <w:sz w:val="24"/>
          <w:szCs w:val="24"/>
        </w:rPr>
      </w:pPr>
      <w:r w:rsidRPr="004C6BFE">
        <w:rPr>
          <w:rFonts w:asciiTheme="minorHAnsi" w:hAnsiTheme="minorHAnsi" w:cstheme="minorHAnsi"/>
          <w:color w:val="212121"/>
          <w:sz w:val="24"/>
          <w:szCs w:val="24"/>
        </w:rPr>
        <w:t>En vista de lo expuesto, el objetivo de este estudio fue analizar las prescripciones medicamentosas, e investigar los posibles equívocos en la emisión de recetas odontológicas entre los cirujanos-dentistas especialistas.</w:t>
      </w:r>
    </w:p>
    <w:p w:rsidR="007A47F1" w:rsidRPr="006C6B7E" w:rsidRDefault="007A47F1" w:rsidP="006C6B7E">
      <w:pPr>
        <w:pStyle w:val="HTMLconformatoprevio"/>
        <w:shd w:val="clear" w:color="auto" w:fill="FFFFFF"/>
        <w:jc w:val="both"/>
        <w:rPr>
          <w:rFonts w:asciiTheme="minorHAnsi" w:hAnsiTheme="minorHAnsi" w:cstheme="minorHAnsi"/>
          <w:sz w:val="24"/>
          <w:szCs w:val="24"/>
        </w:rPr>
      </w:pPr>
    </w:p>
    <w:p w:rsidR="006C6B7E" w:rsidRPr="00897354" w:rsidRDefault="006C6B7E" w:rsidP="006C6B7E">
      <w:pPr>
        <w:spacing w:line="360" w:lineRule="auto"/>
        <w:jc w:val="both"/>
        <w:rPr>
          <w:rFonts w:cstheme="minorHAnsi"/>
          <w:b/>
          <w:sz w:val="24"/>
          <w:szCs w:val="24"/>
        </w:rPr>
      </w:pPr>
      <w:r w:rsidRPr="00897354">
        <w:rPr>
          <w:rFonts w:cstheme="minorHAnsi"/>
          <w:b/>
          <w:sz w:val="24"/>
          <w:szCs w:val="24"/>
        </w:rPr>
        <w:t xml:space="preserve">Materiales y Métodos </w:t>
      </w:r>
    </w:p>
    <w:p w:rsidR="006C6B7E" w:rsidRPr="00897354" w:rsidRDefault="006C6B7E" w:rsidP="006C6B7E">
      <w:pPr>
        <w:spacing w:line="240" w:lineRule="auto"/>
        <w:jc w:val="both"/>
        <w:rPr>
          <w:rFonts w:cstheme="minorHAnsi"/>
          <w:sz w:val="24"/>
          <w:szCs w:val="24"/>
        </w:rPr>
      </w:pPr>
      <w:r w:rsidRPr="00897354">
        <w:rPr>
          <w:rFonts w:cstheme="minorHAnsi"/>
          <w:color w:val="212121"/>
          <w:sz w:val="24"/>
          <w:szCs w:val="24"/>
          <w:shd w:val="clear" w:color="auto" w:fill="FFFFFF"/>
        </w:rPr>
        <w:t xml:space="preserve">Se trata de un estudio transversal, descriptivo y cuantitativo. </w:t>
      </w:r>
      <w:r w:rsidRPr="00A95A7F">
        <w:rPr>
          <w:rFonts w:cstheme="minorHAnsi"/>
          <w:color w:val="212121"/>
          <w:sz w:val="24"/>
          <w:szCs w:val="24"/>
        </w:rPr>
        <w:t xml:space="preserve">Participaron del estudio 176 cirujanos-dentistas de cursos de especialización de una institución de enseñanza superior pública, </w:t>
      </w:r>
      <w:r w:rsidRPr="00897354">
        <w:rPr>
          <w:rFonts w:cstheme="minorHAnsi"/>
          <w:color w:val="212121"/>
          <w:sz w:val="24"/>
          <w:szCs w:val="24"/>
          <w:shd w:val="clear" w:color="auto" w:fill="FFFFFF"/>
        </w:rPr>
        <w:t>en el período de 2015 a 2016.</w:t>
      </w:r>
      <w:r w:rsidRPr="00897354">
        <w:rPr>
          <w:rFonts w:cstheme="minorHAnsi"/>
          <w:sz w:val="24"/>
          <w:szCs w:val="24"/>
        </w:rPr>
        <w:tab/>
      </w:r>
    </w:p>
    <w:p w:rsidR="006C6B7E" w:rsidRPr="00897354" w:rsidRDefault="006C6B7E" w:rsidP="006C6B7E">
      <w:pPr>
        <w:spacing w:line="240" w:lineRule="auto"/>
        <w:jc w:val="both"/>
        <w:rPr>
          <w:rFonts w:cstheme="minorHAnsi"/>
          <w:b/>
          <w:sz w:val="24"/>
          <w:szCs w:val="24"/>
        </w:rPr>
      </w:pPr>
      <w:r w:rsidRPr="00A95A7F">
        <w:rPr>
          <w:rFonts w:cstheme="minorHAnsi"/>
          <w:color w:val="212121"/>
          <w:sz w:val="24"/>
          <w:szCs w:val="24"/>
        </w:rPr>
        <w:lastRenderedPageBreak/>
        <w:t>El estudio se llevó a cabo en dos etapas. La primera fase consistió en la entrega de una hoja en blanco para los profesionales, para que una prescripción medicamentosa se realizara de la forma que juzgasen apropiada. En la segunda fase, se verificaron las variables respetando los preceptos formales que involucran la emisión de las recetas, normalizada de acuerdo con la Ley 5.991 / 73. En razón de esto, fueron considerados como recetas incorrectas aquellas que presentaban al menos una falla en alguna variable analizada.</w:t>
      </w:r>
    </w:p>
    <w:p w:rsidR="006C6B7E" w:rsidRPr="00A95A7F" w:rsidRDefault="006C6B7E" w:rsidP="006C6B7E">
      <w:pPr>
        <w:pStyle w:val="HTMLconformatoprevio"/>
        <w:shd w:val="clear" w:color="auto" w:fill="FFFFFF"/>
        <w:jc w:val="both"/>
        <w:rPr>
          <w:rFonts w:asciiTheme="minorHAnsi" w:hAnsiTheme="minorHAnsi" w:cstheme="minorHAnsi"/>
          <w:color w:val="333333"/>
          <w:sz w:val="24"/>
          <w:szCs w:val="24"/>
          <w:shd w:val="clear" w:color="auto" w:fill="FFFFFF"/>
        </w:rPr>
      </w:pPr>
      <w:r w:rsidRPr="00A95A7F">
        <w:rPr>
          <w:rFonts w:asciiTheme="minorHAnsi" w:hAnsiTheme="minorHAnsi" w:cstheme="minorHAnsi"/>
          <w:color w:val="212121"/>
          <w:sz w:val="24"/>
          <w:szCs w:val="24"/>
        </w:rPr>
        <w:t xml:space="preserve">Todos los participantes firmaron el Documento de Consentimiento Libre y Esclarecido. La investigación fue aprobada por el Comité de Ética en Investigación Humana, obedeciendo a los estándares éticos establecidos en la resolución 466/2012 del Consejo Nacional de Salud del Ministerio de Salud del Brasil, </w:t>
      </w:r>
      <w:r w:rsidRPr="00A95A7F">
        <w:rPr>
          <w:rFonts w:asciiTheme="minorHAnsi" w:hAnsiTheme="minorHAnsi" w:cstheme="minorHAnsi"/>
          <w:color w:val="333333"/>
          <w:sz w:val="24"/>
          <w:szCs w:val="24"/>
          <w:shd w:val="clear" w:color="auto" w:fill="FFFFFF"/>
        </w:rPr>
        <w:t>y fue aprobado por el comité de ética</w:t>
      </w:r>
      <w:r w:rsidRPr="00897354">
        <w:rPr>
          <w:rFonts w:asciiTheme="minorHAnsi" w:hAnsiTheme="minorHAnsi" w:cstheme="minorHAnsi"/>
          <w:sz w:val="24"/>
          <w:szCs w:val="24"/>
        </w:rPr>
        <w:t xml:space="preserve"> </w:t>
      </w:r>
      <w:r w:rsidRPr="00A95A7F">
        <w:rPr>
          <w:rFonts w:asciiTheme="minorHAnsi" w:hAnsiTheme="minorHAnsi" w:cstheme="minorHAnsi"/>
          <w:color w:val="333333"/>
          <w:sz w:val="24"/>
          <w:szCs w:val="24"/>
          <w:shd w:val="clear" w:color="auto" w:fill="FFFFFF"/>
        </w:rPr>
        <w:t xml:space="preserve">en investigación del Facultad de Odontología de </w:t>
      </w:r>
      <w:proofErr w:type="spellStart"/>
      <w:r w:rsidRPr="00A95A7F">
        <w:rPr>
          <w:rFonts w:asciiTheme="minorHAnsi" w:hAnsiTheme="minorHAnsi" w:cstheme="minorHAnsi"/>
          <w:color w:val="333333"/>
          <w:sz w:val="24"/>
          <w:szCs w:val="24"/>
          <w:shd w:val="clear" w:color="auto" w:fill="FFFFFF"/>
        </w:rPr>
        <w:t>Araçatuba</w:t>
      </w:r>
      <w:proofErr w:type="spellEnd"/>
      <w:r w:rsidRPr="00A95A7F">
        <w:rPr>
          <w:rFonts w:asciiTheme="minorHAnsi" w:hAnsiTheme="minorHAnsi" w:cstheme="minorHAnsi"/>
          <w:color w:val="333333"/>
          <w:sz w:val="24"/>
          <w:szCs w:val="24"/>
          <w:shd w:val="clear" w:color="auto" w:fill="FFFFFF"/>
        </w:rPr>
        <w:t>, SP, Brasil en reunión ordinaria con el protocolo:</w:t>
      </w:r>
      <w:r w:rsidRPr="00A95A7F">
        <w:rPr>
          <w:rFonts w:asciiTheme="minorHAnsi" w:hAnsiTheme="minorHAnsi" w:cstheme="minorHAnsi"/>
          <w:sz w:val="24"/>
          <w:szCs w:val="24"/>
        </w:rPr>
        <w:t xml:space="preserve"> 2.522.644. </w:t>
      </w:r>
      <w:r w:rsidRPr="00A95A7F">
        <w:rPr>
          <w:rFonts w:asciiTheme="minorHAnsi" w:hAnsiTheme="minorHAnsi" w:cstheme="minorHAnsi"/>
          <w:color w:val="212121"/>
          <w:sz w:val="24"/>
          <w:szCs w:val="24"/>
        </w:rPr>
        <w:t xml:space="preserve">Para el análisis de los datos se utilizó la estadística descriptiva sumando los resultados en frecuencias absolutas y porcentuales. Además, se utilizó el Test Binomial para dos muestras independientes con un nivel de significancia del 5% utilizando el software </w:t>
      </w:r>
      <w:proofErr w:type="spellStart"/>
      <w:r w:rsidRPr="00A95A7F">
        <w:rPr>
          <w:rFonts w:asciiTheme="minorHAnsi" w:hAnsiTheme="minorHAnsi" w:cstheme="minorHAnsi"/>
          <w:color w:val="212121"/>
          <w:sz w:val="24"/>
          <w:szCs w:val="24"/>
        </w:rPr>
        <w:t>Bioestat</w:t>
      </w:r>
      <w:proofErr w:type="spellEnd"/>
      <w:r w:rsidRPr="00A95A7F">
        <w:rPr>
          <w:rFonts w:asciiTheme="minorHAnsi" w:hAnsiTheme="minorHAnsi" w:cstheme="minorHAnsi"/>
          <w:color w:val="212121"/>
          <w:sz w:val="24"/>
          <w:szCs w:val="24"/>
        </w:rPr>
        <w:t xml:space="preserve"> 5.0.8.</w:t>
      </w:r>
    </w:p>
    <w:p w:rsidR="006C6B7E" w:rsidRPr="00897354" w:rsidRDefault="006C6B7E" w:rsidP="006C6B7E">
      <w:pPr>
        <w:pStyle w:val="HTMLconformatoprevio"/>
        <w:shd w:val="clear" w:color="auto" w:fill="FFFFFF"/>
        <w:spacing w:line="480" w:lineRule="auto"/>
        <w:jc w:val="both"/>
        <w:rPr>
          <w:rFonts w:ascii="Times New Roman" w:hAnsi="Times New Roman" w:cs="Times New Roman"/>
          <w:sz w:val="24"/>
          <w:szCs w:val="24"/>
        </w:rPr>
      </w:pPr>
    </w:p>
    <w:p w:rsidR="006C6B7E" w:rsidRPr="00897354" w:rsidRDefault="006C6B7E" w:rsidP="006C6B7E">
      <w:pPr>
        <w:pStyle w:val="HTMLconformatoprevio"/>
        <w:shd w:val="clear" w:color="auto" w:fill="FFFFFF"/>
        <w:jc w:val="both"/>
        <w:rPr>
          <w:rFonts w:asciiTheme="minorHAnsi" w:hAnsiTheme="minorHAnsi" w:cstheme="minorHAnsi"/>
          <w:b/>
          <w:sz w:val="24"/>
          <w:szCs w:val="24"/>
        </w:rPr>
      </w:pPr>
      <w:r w:rsidRPr="00897354">
        <w:rPr>
          <w:rFonts w:asciiTheme="minorHAnsi" w:hAnsiTheme="minorHAnsi" w:cstheme="minorHAnsi"/>
          <w:b/>
          <w:sz w:val="24"/>
          <w:szCs w:val="24"/>
        </w:rPr>
        <w:t>Resultados</w:t>
      </w:r>
    </w:p>
    <w:p w:rsidR="006C6B7E" w:rsidRPr="00897354" w:rsidRDefault="006C6B7E" w:rsidP="006C6B7E">
      <w:pPr>
        <w:pStyle w:val="HTMLconformatoprevio"/>
        <w:shd w:val="clear" w:color="auto" w:fill="FFFFFF"/>
        <w:jc w:val="both"/>
        <w:rPr>
          <w:rFonts w:asciiTheme="minorHAnsi" w:hAnsiTheme="minorHAnsi" w:cstheme="minorHAnsi"/>
          <w:b/>
          <w:sz w:val="24"/>
          <w:szCs w:val="24"/>
        </w:rPr>
      </w:pPr>
    </w:p>
    <w:p w:rsidR="006C6B7E" w:rsidRPr="00897354"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Se notó que, del total, 145 ignoraron alguna variable del documento, mientras que sólo 31, lo hicieron de acuerdo con las normas jurídicas. (Tabla I)</w:t>
      </w:r>
    </w:p>
    <w:p w:rsidR="006C6B7E" w:rsidRPr="00897354"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En cuanto a las variables, en 79 recetas el nombre del cirujano dentista no constaba, así como, la dirección del profesional no se presentó en 83. (Tabla II). En la Tabla II, se verificó que la mayoría de los profesionales no fecharon las recetas (63,64%) y olvidaron el sello al pie del documento (58,62%).</w:t>
      </w:r>
    </w:p>
    <w:p w:rsidR="006C6B7E" w:rsidRPr="00A95A7F"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Se percibió que el número de inscripción profesional (CRO), se presentaba en el 98,30% de las recetas, así como la calificación de los profesionales. Por el análisis estadístico, con el test binomial, se verificó que no hubo asociaciones estadísticamente significantes entre los equívocos y las especialidades en la emisión de la receta odontológica. (Tabla III)</w:t>
      </w:r>
    </w:p>
    <w:p w:rsidR="006C6B7E" w:rsidRPr="007A47F1"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t>Se observó también, en relación a los datos generales del paciente, el "nombre" y la "dirección" no fueron citados en el 47,72% y el 46,02%, respectivamente, de las recetas analizados. De la misma forma, las orientaciones del profesional al paciente ("adscripción") no fueron esclarecidas en 90,91% de los documentos, sin embargo, la "posología" estaba presente en el 85,80%.</w:t>
      </w:r>
    </w:p>
    <w:p w:rsidR="006C6B7E" w:rsidRDefault="006C6B7E" w:rsidP="006C6B7E">
      <w:pPr>
        <w:pStyle w:val="HTMLconformatoprevio"/>
        <w:shd w:val="clear" w:color="auto" w:fill="FFFFFF"/>
        <w:spacing w:line="360" w:lineRule="auto"/>
        <w:rPr>
          <w:rFonts w:ascii="Times New Roman" w:hAnsi="Times New Roman" w:cs="Times New Roman"/>
          <w:b/>
          <w:color w:val="212121"/>
          <w:sz w:val="22"/>
          <w:szCs w:val="22"/>
        </w:rPr>
      </w:pPr>
    </w:p>
    <w:p w:rsidR="006C6B7E" w:rsidRPr="00A95A7F"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212121"/>
          <w:sz w:val="24"/>
          <w:szCs w:val="24"/>
          <w:lang w:eastAsia="pt-BR"/>
        </w:rPr>
      </w:pPr>
      <w:r w:rsidRPr="00A95A7F">
        <w:rPr>
          <w:rFonts w:eastAsia="Times New Roman" w:cstheme="minorHAnsi"/>
          <w:color w:val="212121"/>
          <w:sz w:val="24"/>
          <w:szCs w:val="24"/>
          <w:lang w:eastAsia="pt-BR"/>
        </w:rPr>
        <w:t>Tabla I - Distribución Absoluta y Porcentaje de la prescripción medicamentosa correcta de acuerdo con las especialidades de los cirujanos-dentistas</w:t>
      </w:r>
    </w:p>
    <w:tbl>
      <w:tblPr>
        <w:tblpPr w:leftFromText="141" w:rightFromText="141" w:vertAnchor="text" w:horzAnchor="margin" w:tblpY="207"/>
        <w:tblW w:w="8505" w:type="dxa"/>
        <w:tblLayout w:type="fixed"/>
        <w:tblLook w:val="01E0" w:firstRow="1" w:lastRow="1" w:firstColumn="1" w:lastColumn="1" w:noHBand="0" w:noVBand="0"/>
      </w:tblPr>
      <w:tblGrid>
        <w:gridCol w:w="4097"/>
        <w:gridCol w:w="2292"/>
        <w:gridCol w:w="836"/>
        <w:gridCol w:w="1139"/>
        <w:gridCol w:w="141"/>
      </w:tblGrid>
      <w:tr w:rsidR="006C6B7E" w:rsidRPr="009C2BDD" w:rsidTr="00FD577C">
        <w:trPr>
          <w:gridAfter w:val="1"/>
          <w:wAfter w:w="141" w:type="dxa"/>
          <w:trHeight w:val="30"/>
        </w:trPr>
        <w:tc>
          <w:tcPr>
            <w:tcW w:w="4097" w:type="dxa"/>
            <w:vMerge w:val="restart"/>
            <w:tcBorders>
              <w:top w:val="single" w:sz="12" w:space="0" w:color="auto"/>
            </w:tcBorders>
            <w:vAlign w:val="center"/>
          </w:tcPr>
          <w:p w:rsidR="006C6B7E" w:rsidRPr="009C2BDD" w:rsidRDefault="006C6B7E" w:rsidP="00FD577C">
            <w:pPr>
              <w:spacing w:after="0" w:line="240" w:lineRule="auto"/>
              <w:jc w:val="center"/>
              <w:rPr>
                <w:rFonts w:ascii="Times New Roman" w:hAnsi="Times New Roman" w:cs="Times New Roman"/>
                <w:b/>
                <w:szCs w:val="24"/>
              </w:rPr>
            </w:pPr>
            <w:r w:rsidRPr="00E51542">
              <w:rPr>
                <w:rFonts w:ascii="Times New Roman" w:eastAsia="Times New Roman" w:hAnsi="Times New Roman" w:cs="Times New Roman"/>
                <w:b/>
                <w:color w:val="000000"/>
                <w:sz w:val="24"/>
                <w:lang w:eastAsia="pt-BR"/>
              </w:rPr>
              <w:t>Especialización</w:t>
            </w:r>
          </w:p>
        </w:tc>
        <w:tc>
          <w:tcPr>
            <w:tcW w:w="3128" w:type="dxa"/>
            <w:gridSpan w:val="2"/>
            <w:tcBorders>
              <w:top w:val="single" w:sz="12" w:space="0" w:color="auto"/>
            </w:tcBorders>
          </w:tcPr>
          <w:p w:rsidR="006C6B7E" w:rsidRPr="009C2BDD" w:rsidRDefault="006C6B7E" w:rsidP="00FD577C">
            <w:pPr>
              <w:spacing w:after="0" w:line="240" w:lineRule="auto"/>
              <w:rPr>
                <w:rFonts w:ascii="Times New Roman" w:hAnsi="Times New Roman" w:cs="Times New Roman"/>
                <w:b/>
                <w:sz w:val="20"/>
                <w:szCs w:val="20"/>
              </w:rPr>
            </w:pPr>
            <w:r w:rsidRPr="009C2BDD">
              <w:rPr>
                <w:rFonts w:ascii="Times New Roman" w:hAnsi="Times New Roman" w:cs="Times New Roman"/>
                <w:b/>
                <w:sz w:val="20"/>
                <w:szCs w:val="20"/>
              </w:rPr>
              <w:t xml:space="preserve">       </w:t>
            </w:r>
            <w:r w:rsidRPr="00E51542">
              <w:rPr>
                <w:rFonts w:ascii="Times New Roman" w:hAnsi="Times New Roman" w:cs="Times New Roman"/>
                <w:b/>
                <w:sz w:val="20"/>
                <w:szCs w:val="20"/>
              </w:rPr>
              <w:t>Prescrip</w:t>
            </w:r>
            <w:r w:rsidRPr="00E51542">
              <w:rPr>
                <w:rFonts w:ascii="Times New Roman" w:eastAsia="Times New Roman" w:hAnsi="Times New Roman" w:cs="Times New Roman"/>
                <w:b/>
                <w:color w:val="000000"/>
                <w:sz w:val="20"/>
                <w:szCs w:val="20"/>
                <w:lang w:eastAsia="pt-BR"/>
              </w:rPr>
              <w:t>ción</w:t>
            </w:r>
            <w:r w:rsidRPr="009C2BDD">
              <w:rPr>
                <w:rFonts w:ascii="Times New Roman" w:eastAsia="Times New Roman" w:hAnsi="Times New Roman" w:cs="Times New Roman"/>
                <w:b/>
                <w:color w:val="000000"/>
                <w:sz w:val="20"/>
                <w:szCs w:val="20"/>
                <w:lang w:eastAsia="pt-BR"/>
              </w:rPr>
              <w:t xml:space="preserve"> Correcta</w:t>
            </w:r>
          </w:p>
        </w:tc>
        <w:tc>
          <w:tcPr>
            <w:tcW w:w="1139" w:type="dxa"/>
            <w:tcBorders>
              <w:top w:val="single" w:sz="12" w:space="0" w:color="auto"/>
            </w:tcBorders>
          </w:tcPr>
          <w:p w:rsidR="006C6B7E" w:rsidRPr="009C2BDD" w:rsidRDefault="006C6B7E" w:rsidP="00FD577C">
            <w:pPr>
              <w:spacing w:after="0" w:line="240" w:lineRule="auto"/>
              <w:jc w:val="center"/>
              <w:rPr>
                <w:rFonts w:ascii="Times New Roman" w:hAnsi="Times New Roman" w:cs="Times New Roman"/>
                <w:b/>
                <w:szCs w:val="24"/>
              </w:rPr>
            </w:pPr>
          </w:p>
        </w:tc>
      </w:tr>
      <w:tr w:rsidR="006C6B7E" w:rsidRPr="009C2BDD" w:rsidTr="00FD577C">
        <w:trPr>
          <w:gridAfter w:val="1"/>
          <w:wAfter w:w="141" w:type="dxa"/>
          <w:trHeight w:val="306"/>
        </w:trPr>
        <w:tc>
          <w:tcPr>
            <w:tcW w:w="4097" w:type="dxa"/>
            <w:vMerge/>
            <w:vAlign w:val="center"/>
          </w:tcPr>
          <w:p w:rsidR="006C6B7E" w:rsidRPr="009C2BDD" w:rsidRDefault="006C6B7E" w:rsidP="00FD577C">
            <w:pPr>
              <w:jc w:val="center"/>
              <w:rPr>
                <w:rFonts w:ascii="Times New Roman" w:hAnsi="Times New Roman" w:cs="Times New Roman"/>
                <w:b/>
                <w:szCs w:val="24"/>
              </w:rPr>
            </w:pPr>
          </w:p>
        </w:tc>
        <w:tc>
          <w:tcPr>
            <w:tcW w:w="3128" w:type="dxa"/>
            <w:gridSpan w:val="2"/>
          </w:tcPr>
          <w:p w:rsidR="006C6B7E" w:rsidRPr="009C2BDD" w:rsidRDefault="006C6B7E" w:rsidP="00FD577C">
            <w:pPr>
              <w:spacing w:after="0" w:line="240" w:lineRule="auto"/>
              <w:rPr>
                <w:rFonts w:ascii="Times New Roman" w:hAnsi="Times New Roman" w:cs="Times New Roman"/>
                <w:b/>
                <w:bCs/>
                <w:szCs w:val="24"/>
              </w:rPr>
            </w:pPr>
            <w:r w:rsidRPr="009C2BDD">
              <w:rPr>
                <w:rFonts w:ascii="Times New Roman" w:eastAsia="Times New Roman" w:hAnsi="Times New Roman" w:cs="Times New Roman"/>
                <w:b/>
                <w:color w:val="000000"/>
                <w:szCs w:val="24"/>
                <w:lang w:eastAsia="pt-BR"/>
              </w:rPr>
              <w:t xml:space="preserve">     Si</w:t>
            </w:r>
          </w:p>
        </w:tc>
        <w:tc>
          <w:tcPr>
            <w:tcW w:w="1139" w:type="dxa"/>
          </w:tcPr>
          <w:p w:rsidR="006C6B7E" w:rsidRPr="009C2BDD" w:rsidRDefault="006C6B7E" w:rsidP="00FD577C">
            <w:pPr>
              <w:spacing w:after="0" w:line="240" w:lineRule="auto"/>
              <w:rPr>
                <w:rFonts w:ascii="Times New Roman" w:hAnsi="Times New Roman" w:cs="Times New Roman"/>
                <w:b/>
                <w:bCs/>
                <w:szCs w:val="24"/>
              </w:rPr>
            </w:pPr>
            <w:r w:rsidRPr="009C2BDD">
              <w:rPr>
                <w:rFonts w:ascii="Times New Roman" w:eastAsia="Times New Roman" w:hAnsi="Times New Roman" w:cs="Times New Roman"/>
                <w:b/>
                <w:color w:val="000000"/>
                <w:szCs w:val="24"/>
                <w:lang w:eastAsia="pt-BR"/>
              </w:rPr>
              <w:t xml:space="preserve">   No</w:t>
            </w:r>
          </w:p>
        </w:tc>
      </w:tr>
      <w:tr w:rsidR="006C6B7E" w:rsidRPr="009C2BDD" w:rsidTr="00FD577C">
        <w:trPr>
          <w:gridAfter w:val="1"/>
          <w:wAfter w:w="141" w:type="dxa"/>
          <w:trHeight w:val="178"/>
        </w:trPr>
        <w:tc>
          <w:tcPr>
            <w:tcW w:w="4097" w:type="dxa"/>
            <w:vMerge/>
            <w:tcBorders>
              <w:bottom w:val="single" w:sz="12" w:space="0" w:color="auto"/>
            </w:tcBorders>
            <w:vAlign w:val="center"/>
          </w:tcPr>
          <w:p w:rsidR="006C6B7E" w:rsidRPr="009C2BDD" w:rsidRDefault="006C6B7E" w:rsidP="00FD577C">
            <w:pPr>
              <w:spacing w:after="0" w:line="240" w:lineRule="auto"/>
              <w:jc w:val="center"/>
              <w:rPr>
                <w:rFonts w:ascii="Times New Roman" w:hAnsi="Times New Roman" w:cs="Times New Roman"/>
                <w:b/>
                <w:bCs/>
                <w:sz w:val="18"/>
                <w:szCs w:val="24"/>
              </w:rPr>
            </w:pPr>
          </w:p>
        </w:tc>
        <w:tc>
          <w:tcPr>
            <w:tcW w:w="3128" w:type="dxa"/>
            <w:gridSpan w:val="2"/>
            <w:tcBorders>
              <w:bottom w:val="single" w:sz="12" w:space="0" w:color="auto"/>
            </w:tcBorders>
            <w:vAlign w:val="center"/>
          </w:tcPr>
          <w:p w:rsidR="006C6B7E" w:rsidRPr="009C2BDD" w:rsidRDefault="006C6B7E" w:rsidP="00FD577C">
            <w:pPr>
              <w:spacing w:after="0" w:line="240" w:lineRule="auto"/>
              <w:rPr>
                <w:rFonts w:ascii="Times New Roman" w:hAnsi="Times New Roman" w:cs="Times New Roman"/>
                <w:b/>
                <w:bCs/>
                <w:sz w:val="18"/>
                <w:szCs w:val="24"/>
              </w:rPr>
            </w:pPr>
            <w:r w:rsidRPr="009C2BDD">
              <w:rPr>
                <w:rFonts w:ascii="Times New Roman" w:hAnsi="Times New Roman" w:cs="Times New Roman"/>
                <w:b/>
                <w:bCs/>
                <w:sz w:val="18"/>
                <w:szCs w:val="24"/>
              </w:rPr>
              <w:t xml:space="preserve">   n           %                   </w:t>
            </w:r>
          </w:p>
        </w:tc>
        <w:tc>
          <w:tcPr>
            <w:tcW w:w="1139" w:type="dxa"/>
            <w:tcBorders>
              <w:bottom w:val="single" w:sz="12" w:space="0" w:color="auto"/>
            </w:tcBorders>
          </w:tcPr>
          <w:p w:rsidR="006C6B7E" w:rsidRPr="009C2BDD" w:rsidRDefault="006C6B7E" w:rsidP="00FD577C">
            <w:pPr>
              <w:spacing w:after="0" w:line="240" w:lineRule="auto"/>
              <w:rPr>
                <w:rFonts w:ascii="Times New Roman" w:hAnsi="Times New Roman" w:cs="Times New Roman"/>
                <w:b/>
                <w:bCs/>
                <w:sz w:val="18"/>
                <w:szCs w:val="24"/>
              </w:rPr>
            </w:pPr>
            <w:r w:rsidRPr="009C2BDD">
              <w:rPr>
                <w:rFonts w:ascii="Times New Roman" w:hAnsi="Times New Roman" w:cs="Times New Roman"/>
                <w:b/>
                <w:bCs/>
                <w:sz w:val="18"/>
                <w:szCs w:val="24"/>
              </w:rPr>
              <w:t>n           %</w:t>
            </w:r>
          </w:p>
        </w:tc>
      </w:tr>
      <w:tr w:rsidR="006C6B7E" w:rsidRPr="009C2BDD" w:rsidTr="00FD577C">
        <w:trPr>
          <w:trHeight w:val="223"/>
        </w:trPr>
        <w:tc>
          <w:tcPr>
            <w:tcW w:w="4097" w:type="dxa"/>
            <w:vAlign w:val="bottom"/>
          </w:tcPr>
          <w:p w:rsidR="006C6B7E" w:rsidRPr="009C2BDD" w:rsidRDefault="006C6B7E" w:rsidP="00FD577C">
            <w:pPr>
              <w:spacing w:after="0"/>
              <w:rPr>
                <w:sz w:val="18"/>
              </w:rPr>
            </w:pPr>
            <w:proofErr w:type="spellStart"/>
            <w:r w:rsidRPr="009C2BDD">
              <w:rPr>
                <w:rFonts w:ascii="Times New Roman" w:eastAsia="Times New Roman" w:hAnsi="Times New Roman" w:cs="Times New Roman"/>
                <w:color w:val="000000"/>
                <w:sz w:val="18"/>
                <w:szCs w:val="24"/>
                <w:lang w:eastAsia="pt-BR"/>
              </w:rPr>
              <w:t>Odontopediatría</w:t>
            </w:r>
            <w:proofErr w:type="spellEnd"/>
            <w:r w:rsidRPr="009C2BDD">
              <w:rPr>
                <w:rFonts w:ascii="Times New Roman" w:eastAsia="Times New Roman" w:hAnsi="Times New Roman" w:cs="Times New Roman"/>
                <w:color w:val="000000"/>
                <w:sz w:val="18"/>
                <w:szCs w:val="24"/>
                <w:lang w:eastAsia="pt-BR"/>
              </w:rPr>
              <w:t xml:space="preserve">                               </w:t>
            </w:r>
          </w:p>
          <w:p w:rsidR="006C6B7E" w:rsidRPr="009C2BDD" w:rsidRDefault="006C6B7E" w:rsidP="00FD577C">
            <w:pPr>
              <w:spacing w:after="0" w:line="240" w:lineRule="auto"/>
              <w:rPr>
                <w:rFonts w:ascii="Times New Roman" w:eastAsia="Times New Roman" w:hAnsi="Times New Roman" w:cs="Times New Roman"/>
                <w:b/>
                <w:bCs/>
                <w:color w:val="000000"/>
                <w:sz w:val="18"/>
                <w:szCs w:val="24"/>
                <w:lang w:eastAsia="pt-BR"/>
              </w:rPr>
            </w:pPr>
          </w:p>
        </w:tc>
        <w:tc>
          <w:tcPr>
            <w:tcW w:w="2292" w:type="dxa"/>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1          11,11</w:t>
            </w:r>
          </w:p>
        </w:tc>
        <w:tc>
          <w:tcPr>
            <w:tcW w:w="2116" w:type="dxa"/>
            <w:gridSpan w:val="3"/>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8          88,89</w:t>
            </w:r>
          </w:p>
        </w:tc>
      </w:tr>
      <w:tr w:rsidR="006C6B7E" w:rsidRPr="009C2BDD" w:rsidTr="00FD577C">
        <w:trPr>
          <w:trHeight w:val="223"/>
        </w:trPr>
        <w:tc>
          <w:tcPr>
            <w:tcW w:w="4097" w:type="dxa"/>
            <w:vAlign w:val="bottom"/>
          </w:tcPr>
          <w:p w:rsidR="006C6B7E" w:rsidRPr="009C2BDD" w:rsidRDefault="006C6B7E" w:rsidP="00FD577C">
            <w:pPr>
              <w:spacing w:after="0" w:line="480" w:lineRule="auto"/>
              <w:rPr>
                <w:rFonts w:ascii="Times New Roman" w:eastAsia="Times New Roman" w:hAnsi="Times New Roman" w:cs="Times New Roman"/>
                <w:color w:val="000000"/>
                <w:sz w:val="18"/>
                <w:szCs w:val="24"/>
                <w:lang w:eastAsia="pt-BR"/>
              </w:rPr>
            </w:pPr>
            <w:r w:rsidRPr="00E51542">
              <w:rPr>
                <w:rFonts w:ascii="Times New Roman" w:eastAsia="Times New Roman" w:hAnsi="Times New Roman" w:cs="Times New Roman"/>
                <w:color w:val="000000"/>
                <w:sz w:val="18"/>
                <w:szCs w:val="24"/>
                <w:lang w:eastAsia="pt-BR"/>
              </w:rPr>
              <w:lastRenderedPageBreak/>
              <w:t>Endodoncia</w:t>
            </w:r>
            <w:r w:rsidRPr="009C2BDD">
              <w:rPr>
                <w:rFonts w:ascii="Times New Roman" w:eastAsia="Times New Roman" w:hAnsi="Times New Roman" w:cs="Times New Roman"/>
                <w:color w:val="000000"/>
                <w:sz w:val="18"/>
                <w:szCs w:val="24"/>
                <w:lang w:eastAsia="pt-BR"/>
              </w:rPr>
              <w:t xml:space="preserve">                                           </w:t>
            </w:r>
          </w:p>
        </w:tc>
        <w:tc>
          <w:tcPr>
            <w:tcW w:w="2292" w:type="dxa"/>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3          14,29</w:t>
            </w:r>
          </w:p>
        </w:tc>
        <w:tc>
          <w:tcPr>
            <w:tcW w:w="2116" w:type="dxa"/>
            <w:gridSpan w:val="3"/>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18         85,71</w:t>
            </w:r>
          </w:p>
        </w:tc>
      </w:tr>
      <w:tr w:rsidR="006C6B7E" w:rsidRPr="009C2BDD" w:rsidTr="00FD577C">
        <w:trPr>
          <w:trHeight w:val="223"/>
        </w:trPr>
        <w:tc>
          <w:tcPr>
            <w:tcW w:w="4097" w:type="dxa"/>
            <w:vAlign w:val="bottom"/>
          </w:tcPr>
          <w:p w:rsidR="006C6B7E" w:rsidRPr="009C2BDD" w:rsidRDefault="006C6B7E" w:rsidP="00FD577C">
            <w:pPr>
              <w:spacing w:after="0" w:line="480" w:lineRule="auto"/>
              <w:rPr>
                <w:rFonts w:ascii="Times New Roman" w:eastAsia="Times New Roman" w:hAnsi="Times New Roman" w:cs="Times New Roman"/>
                <w:color w:val="000000"/>
                <w:sz w:val="18"/>
                <w:szCs w:val="24"/>
                <w:lang w:eastAsia="pt-BR"/>
              </w:rPr>
            </w:pPr>
            <w:r w:rsidRPr="00E51542">
              <w:rPr>
                <w:rFonts w:ascii="Times New Roman" w:eastAsia="Times New Roman" w:hAnsi="Times New Roman" w:cs="Times New Roman"/>
                <w:color w:val="000000"/>
                <w:sz w:val="18"/>
                <w:szCs w:val="24"/>
                <w:lang w:eastAsia="pt-BR"/>
              </w:rPr>
              <w:t>Ortodoncia</w:t>
            </w:r>
            <w:r w:rsidRPr="009C2BDD">
              <w:rPr>
                <w:rFonts w:ascii="Times New Roman" w:eastAsia="Times New Roman" w:hAnsi="Times New Roman" w:cs="Times New Roman"/>
                <w:color w:val="000000"/>
                <w:sz w:val="18"/>
                <w:szCs w:val="24"/>
                <w:lang w:eastAsia="pt-BR"/>
              </w:rPr>
              <w:t xml:space="preserve">                                            </w:t>
            </w:r>
          </w:p>
        </w:tc>
        <w:tc>
          <w:tcPr>
            <w:tcW w:w="2292" w:type="dxa"/>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0            0</w:t>
            </w:r>
          </w:p>
        </w:tc>
        <w:tc>
          <w:tcPr>
            <w:tcW w:w="2116" w:type="dxa"/>
            <w:gridSpan w:val="3"/>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23         100</w:t>
            </w:r>
          </w:p>
          <w:p w:rsidR="006C6B7E" w:rsidRPr="009C2BDD" w:rsidRDefault="006C6B7E" w:rsidP="00FD577C">
            <w:pPr>
              <w:spacing w:after="0" w:line="240" w:lineRule="auto"/>
              <w:ind w:left="60" w:right="60"/>
              <w:rPr>
                <w:rFonts w:ascii="Times New Roman" w:hAnsi="Times New Roman" w:cs="Times New Roman"/>
                <w:sz w:val="18"/>
                <w:szCs w:val="24"/>
              </w:rPr>
            </w:pPr>
          </w:p>
        </w:tc>
      </w:tr>
      <w:tr w:rsidR="006C6B7E" w:rsidRPr="009C2BDD" w:rsidTr="00FD577C">
        <w:trPr>
          <w:trHeight w:val="223"/>
        </w:trPr>
        <w:tc>
          <w:tcPr>
            <w:tcW w:w="4097" w:type="dxa"/>
            <w:vAlign w:val="bottom"/>
          </w:tcPr>
          <w:p w:rsidR="006C6B7E" w:rsidRPr="009C2BDD" w:rsidRDefault="006C6B7E" w:rsidP="00FD577C">
            <w:pPr>
              <w:spacing w:after="0" w:line="480" w:lineRule="auto"/>
              <w:rPr>
                <w:rFonts w:ascii="Times New Roman" w:eastAsia="Times New Roman" w:hAnsi="Times New Roman" w:cs="Times New Roman"/>
                <w:color w:val="000000"/>
                <w:sz w:val="18"/>
                <w:szCs w:val="24"/>
                <w:lang w:eastAsia="pt-BR"/>
              </w:rPr>
            </w:pPr>
            <w:proofErr w:type="spellStart"/>
            <w:r w:rsidRPr="009C2BDD">
              <w:rPr>
                <w:rFonts w:ascii="Times New Roman" w:eastAsia="Times New Roman" w:hAnsi="Times New Roman" w:cs="Times New Roman"/>
                <w:color w:val="000000"/>
                <w:sz w:val="18"/>
                <w:szCs w:val="24"/>
                <w:lang w:eastAsia="pt-BR"/>
              </w:rPr>
              <w:t>Dentística</w:t>
            </w:r>
            <w:proofErr w:type="spellEnd"/>
          </w:p>
        </w:tc>
        <w:tc>
          <w:tcPr>
            <w:tcW w:w="2292" w:type="dxa"/>
          </w:tcPr>
          <w:p w:rsidR="006C6B7E" w:rsidRPr="009C2BDD" w:rsidRDefault="006C6B7E" w:rsidP="00FD577C">
            <w:pPr>
              <w:numPr>
                <w:ilvl w:val="0"/>
                <w:numId w:val="2"/>
              </w:numPr>
              <w:spacing w:after="0" w:line="240" w:lineRule="auto"/>
              <w:ind w:right="60"/>
              <w:contextualSpacing/>
              <w:rPr>
                <w:rFonts w:ascii="Times New Roman" w:hAnsi="Times New Roman" w:cs="Times New Roman"/>
                <w:sz w:val="18"/>
                <w:szCs w:val="24"/>
              </w:rPr>
            </w:pPr>
            <w:r w:rsidRPr="009C2BDD">
              <w:rPr>
                <w:rFonts w:ascii="Times New Roman" w:hAnsi="Times New Roman" w:cs="Times New Roman"/>
                <w:sz w:val="18"/>
                <w:szCs w:val="24"/>
              </w:rPr>
              <w:t xml:space="preserve">0                                          </w:t>
            </w:r>
          </w:p>
          <w:p w:rsidR="006C6B7E" w:rsidRPr="009C2BDD" w:rsidRDefault="006C6B7E" w:rsidP="00FD577C">
            <w:pPr>
              <w:spacing w:after="0" w:line="240" w:lineRule="auto"/>
              <w:ind w:left="732" w:right="60"/>
              <w:contextualSpacing/>
              <w:rPr>
                <w:rFonts w:ascii="Times New Roman" w:hAnsi="Times New Roman" w:cs="Times New Roman"/>
                <w:sz w:val="18"/>
                <w:szCs w:val="24"/>
              </w:rPr>
            </w:pPr>
            <w:r w:rsidRPr="009C2BDD">
              <w:rPr>
                <w:rFonts w:ascii="Times New Roman" w:hAnsi="Times New Roman" w:cs="Times New Roman"/>
                <w:sz w:val="18"/>
                <w:szCs w:val="24"/>
              </w:rPr>
              <w:t xml:space="preserve">   </w:t>
            </w:r>
          </w:p>
        </w:tc>
        <w:tc>
          <w:tcPr>
            <w:tcW w:w="2116" w:type="dxa"/>
            <w:gridSpan w:val="3"/>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17         100</w:t>
            </w:r>
          </w:p>
          <w:p w:rsidR="006C6B7E" w:rsidRPr="009C2BDD" w:rsidRDefault="006C6B7E" w:rsidP="00FD577C">
            <w:pPr>
              <w:spacing w:after="0" w:line="240" w:lineRule="auto"/>
              <w:ind w:left="60" w:right="60"/>
              <w:rPr>
                <w:rFonts w:ascii="Times New Roman" w:hAnsi="Times New Roman" w:cs="Times New Roman"/>
                <w:sz w:val="18"/>
                <w:szCs w:val="24"/>
              </w:rPr>
            </w:pPr>
          </w:p>
        </w:tc>
      </w:tr>
      <w:tr w:rsidR="006C6B7E" w:rsidRPr="009C2BDD" w:rsidTr="00FD577C">
        <w:trPr>
          <w:trHeight w:val="223"/>
        </w:trPr>
        <w:tc>
          <w:tcPr>
            <w:tcW w:w="4097" w:type="dxa"/>
            <w:vAlign w:val="bottom"/>
          </w:tcPr>
          <w:p w:rsidR="006C6B7E" w:rsidRPr="009C2BDD" w:rsidRDefault="006C6B7E" w:rsidP="00FD577C">
            <w:pPr>
              <w:spacing w:after="0" w:line="48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Prótesis</w:t>
            </w:r>
          </w:p>
        </w:tc>
        <w:tc>
          <w:tcPr>
            <w:tcW w:w="2292" w:type="dxa"/>
          </w:tcPr>
          <w:p w:rsidR="006C6B7E" w:rsidRPr="009C2BDD" w:rsidRDefault="006C6B7E" w:rsidP="00FD577C">
            <w:pPr>
              <w:spacing w:after="0" w:line="240" w:lineRule="auto"/>
              <w:ind w:right="60"/>
              <w:rPr>
                <w:rFonts w:ascii="Times New Roman" w:hAnsi="Times New Roman" w:cs="Times New Roman"/>
                <w:sz w:val="18"/>
                <w:szCs w:val="24"/>
              </w:rPr>
            </w:pPr>
            <w:r w:rsidRPr="009C2BDD">
              <w:rPr>
                <w:rFonts w:ascii="Times New Roman" w:hAnsi="Times New Roman" w:cs="Times New Roman"/>
                <w:sz w:val="18"/>
                <w:szCs w:val="24"/>
              </w:rPr>
              <w:t xml:space="preserve">  12        22,64</w:t>
            </w:r>
          </w:p>
        </w:tc>
        <w:tc>
          <w:tcPr>
            <w:tcW w:w="2116" w:type="dxa"/>
            <w:gridSpan w:val="3"/>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41        77,36</w:t>
            </w:r>
          </w:p>
        </w:tc>
      </w:tr>
      <w:tr w:rsidR="006C6B7E" w:rsidRPr="009C2BDD" w:rsidTr="00FD577C">
        <w:trPr>
          <w:trHeight w:val="223"/>
        </w:trPr>
        <w:tc>
          <w:tcPr>
            <w:tcW w:w="4097" w:type="dxa"/>
            <w:tcBorders>
              <w:bottom w:val="single" w:sz="4" w:space="0" w:color="auto"/>
            </w:tcBorders>
            <w:vAlign w:val="bottom"/>
          </w:tcPr>
          <w:p w:rsidR="006C6B7E" w:rsidRPr="009C2BDD" w:rsidRDefault="006C6B7E" w:rsidP="00FD577C">
            <w:pPr>
              <w:spacing w:after="0" w:line="480" w:lineRule="auto"/>
              <w:rPr>
                <w:rFonts w:ascii="Times New Roman" w:eastAsia="Times New Roman" w:hAnsi="Times New Roman" w:cs="Times New Roman"/>
                <w:color w:val="000000"/>
                <w:sz w:val="18"/>
                <w:szCs w:val="24"/>
                <w:lang w:eastAsia="pt-BR"/>
              </w:rPr>
            </w:pPr>
            <w:proofErr w:type="spellStart"/>
            <w:r w:rsidRPr="009C2BDD">
              <w:rPr>
                <w:rFonts w:ascii="Times New Roman" w:eastAsia="Times New Roman" w:hAnsi="Times New Roman" w:cs="Times New Roman"/>
                <w:color w:val="000000"/>
                <w:sz w:val="18"/>
                <w:szCs w:val="24"/>
                <w:lang w:eastAsia="pt-BR"/>
              </w:rPr>
              <w:t>Implantología</w:t>
            </w:r>
            <w:proofErr w:type="spellEnd"/>
            <w:r w:rsidRPr="009C2BDD">
              <w:rPr>
                <w:rFonts w:ascii="Times New Roman" w:eastAsia="Times New Roman" w:hAnsi="Times New Roman" w:cs="Times New Roman"/>
                <w:color w:val="000000"/>
                <w:sz w:val="18"/>
                <w:szCs w:val="24"/>
                <w:lang w:eastAsia="pt-BR"/>
              </w:rPr>
              <w:t xml:space="preserve"> </w:t>
            </w:r>
          </w:p>
        </w:tc>
        <w:tc>
          <w:tcPr>
            <w:tcW w:w="2292" w:type="dxa"/>
            <w:tcBorders>
              <w:bottom w:val="single" w:sz="4" w:space="0" w:color="auto"/>
            </w:tcBorders>
          </w:tcPr>
          <w:p w:rsidR="006C6B7E" w:rsidRPr="009C2BDD" w:rsidRDefault="006C6B7E" w:rsidP="00FD577C">
            <w:pPr>
              <w:spacing w:after="0" w:line="240" w:lineRule="auto"/>
              <w:ind w:right="60"/>
              <w:rPr>
                <w:rFonts w:ascii="Times New Roman" w:hAnsi="Times New Roman" w:cs="Times New Roman"/>
                <w:sz w:val="18"/>
                <w:szCs w:val="24"/>
              </w:rPr>
            </w:pPr>
            <w:r w:rsidRPr="009C2BDD">
              <w:rPr>
                <w:rFonts w:ascii="Times New Roman" w:hAnsi="Times New Roman" w:cs="Times New Roman"/>
                <w:sz w:val="18"/>
                <w:szCs w:val="24"/>
              </w:rPr>
              <w:t xml:space="preserve"> 15        28,30</w:t>
            </w:r>
          </w:p>
        </w:tc>
        <w:tc>
          <w:tcPr>
            <w:tcW w:w="2116" w:type="dxa"/>
            <w:gridSpan w:val="3"/>
            <w:tcBorders>
              <w:bottom w:val="single" w:sz="4" w:space="0" w:color="auto"/>
            </w:tcBorders>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38        71,70</w:t>
            </w:r>
          </w:p>
        </w:tc>
      </w:tr>
    </w:tbl>
    <w:p w:rsidR="006C6B7E"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212121"/>
          <w:sz w:val="24"/>
          <w:lang w:eastAsia="pt-BR"/>
        </w:rPr>
      </w:pPr>
    </w:p>
    <w:p w:rsidR="006C6B7E" w:rsidRPr="00A95A7F"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212121"/>
          <w:sz w:val="24"/>
          <w:lang w:eastAsia="pt-BR"/>
        </w:rPr>
      </w:pPr>
      <w:r w:rsidRPr="00A95A7F">
        <w:rPr>
          <w:rFonts w:eastAsia="Times New Roman" w:cstheme="minorHAnsi"/>
          <w:color w:val="212121"/>
          <w:sz w:val="24"/>
          <w:lang w:eastAsia="pt-BR"/>
        </w:rPr>
        <w:t>Tabla II - Distribución Absoluta y Porcentaje de las variables constantes analizadas en las recetas odontológicos elaboradas por cirujanos-dentistas especialistas de una institución de enseñanza superior</w:t>
      </w:r>
    </w:p>
    <w:tbl>
      <w:tblPr>
        <w:tblpPr w:leftFromText="141" w:rightFromText="141" w:bottomFromText="160" w:vertAnchor="text" w:horzAnchor="margin" w:tblpXSpec="center" w:tblpY="313"/>
        <w:tblW w:w="0" w:type="dxa"/>
        <w:tblLayout w:type="fixed"/>
        <w:tblLook w:val="01E0" w:firstRow="1" w:lastRow="1" w:firstColumn="1" w:lastColumn="1" w:noHBand="0" w:noVBand="0"/>
      </w:tblPr>
      <w:tblGrid>
        <w:gridCol w:w="3262"/>
        <w:gridCol w:w="1825"/>
        <w:gridCol w:w="442"/>
        <w:gridCol w:w="1383"/>
        <w:gridCol w:w="176"/>
      </w:tblGrid>
      <w:tr w:rsidR="006C6B7E" w:rsidRPr="009C2BDD" w:rsidTr="00FD577C">
        <w:trPr>
          <w:trHeight w:val="34"/>
        </w:trPr>
        <w:tc>
          <w:tcPr>
            <w:tcW w:w="3262" w:type="dxa"/>
            <w:vMerge w:val="restart"/>
            <w:tcBorders>
              <w:top w:val="single" w:sz="12" w:space="0" w:color="auto"/>
              <w:left w:val="nil"/>
              <w:bottom w:val="single" w:sz="12" w:space="0" w:color="auto"/>
              <w:right w:val="nil"/>
            </w:tcBorders>
            <w:vAlign w:val="center"/>
            <w:hideMark/>
          </w:tcPr>
          <w:p w:rsidR="006C6B7E" w:rsidRPr="009C2BDD" w:rsidRDefault="006C6B7E" w:rsidP="00FD577C">
            <w:pPr>
              <w:spacing w:after="0" w:line="240" w:lineRule="auto"/>
              <w:jc w:val="center"/>
              <w:rPr>
                <w:rFonts w:ascii="Times New Roman" w:hAnsi="Times New Roman" w:cs="Times New Roman"/>
                <w:b/>
                <w:szCs w:val="24"/>
              </w:rPr>
            </w:pPr>
            <w:r w:rsidRPr="009C2BDD">
              <w:rPr>
                <w:rFonts w:ascii="Times New Roman" w:hAnsi="Times New Roman" w:cs="Times New Roman"/>
                <w:b/>
                <w:szCs w:val="24"/>
              </w:rPr>
              <w:t>Variables</w:t>
            </w:r>
          </w:p>
        </w:tc>
        <w:tc>
          <w:tcPr>
            <w:tcW w:w="2267" w:type="dxa"/>
            <w:gridSpan w:val="2"/>
            <w:tcBorders>
              <w:top w:val="single" w:sz="12" w:space="0" w:color="auto"/>
              <w:left w:val="nil"/>
              <w:bottom w:val="nil"/>
              <w:right w:val="nil"/>
            </w:tcBorders>
          </w:tcPr>
          <w:p w:rsidR="006C6B7E" w:rsidRPr="009C2BDD" w:rsidRDefault="006C6B7E" w:rsidP="00FD577C">
            <w:pPr>
              <w:spacing w:after="0" w:line="240" w:lineRule="auto"/>
              <w:jc w:val="center"/>
              <w:rPr>
                <w:rFonts w:ascii="Times New Roman" w:hAnsi="Times New Roman" w:cs="Times New Roman"/>
                <w:b/>
                <w:szCs w:val="24"/>
              </w:rPr>
            </w:pPr>
          </w:p>
        </w:tc>
        <w:tc>
          <w:tcPr>
            <w:tcW w:w="1559" w:type="dxa"/>
            <w:gridSpan w:val="2"/>
            <w:tcBorders>
              <w:top w:val="single" w:sz="12" w:space="0" w:color="auto"/>
              <w:left w:val="nil"/>
              <w:bottom w:val="nil"/>
              <w:right w:val="nil"/>
            </w:tcBorders>
          </w:tcPr>
          <w:p w:rsidR="006C6B7E" w:rsidRPr="009C2BDD" w:rsidRDefault="006C6B7E" w:rsidP="00FD577C">
            <w:pPr>
              <w:spacing w:after="0" w:line="240" w:lineRule="auto"/>
              <w:jc w:val="center"/>
              <w:rPr>
                <w:rFonts w:ascii="Times New Roman" w:hAnsi="Times New Roman" w:cs="Times New Roman"/>
                <w:b/>
                <w:szCs w:val="24"/>
              </w:rPr>
            </w:pPr>
          </w:p>
        </w:tc>
      </w:tr>
      <w:tr w:rsidR="006C6B7E" w:rsidRPr="009C2BDD" w:rsidTr="00FD577C">
        <w:trPr>
          <w:trHeight w:val="407"/>
        </w:trPr>
        <w:tc>
          <w:tcPr>
            <w:tcW w:w="3262" w:type="dxa"/>
            <w:vMerge/>
            <w:tcBorders>
              <w:top w:val="single" w:sz="12" w:space="0" w:color="auto"/>
              <w:left w:val="nil"/>
              <w:bottom w:val="single" w:sz="12" w:space="0" w:color="auto"/>
              <w:right w:val="nil"/>
            </w:tcBorders>
            <w:vAlign w:val="center"/>
            <w:hideMark/>
          </w:tcPr>
          <w:p w:rsidR="006C6B7E" w:rsidRPr="009C2BDD" w:rsidRDefault="006C6B7E" w:rsidP="00FD577C">
            <w:pPr>
              <w:spacing w:after="0" w:line="256" w:lineRule="auto"/>
              <w:rPr>
                <w:rFonts w:ascii="Times New Roman" w:hAnsi="Times New Roman" w:cs="Times New Roman"/>
                <w:b/>
                <w:szCs w:val="24"/>
              </w:rPr>
            </w:pPr>
          </w:p>
        </w:tc>
        <w:tc>
          <w:tcPr>
            <w:tcW w:w="2267" w:type="dxa"/>
            <w:gridSpan w:val="2"/>
            <w:hideMark/>
          </w:tcPr>
          <w:p w:rsidR="006C6B7E" w:rsidRPr="009C2BDD" w:rsidRDefault="006C6B7E" w:rsidP="00FD577C">
            <w:pPr>
              <w:spacing w:after="0" w:line="240" w:lineRule="auto"/>
              <w:jc w:val="center"/>
              <w:rPr>
                <w:rFonts w:ascii="Times New Roman" w:hAnsi="Times New Roman" w:cs="Times New Roman"/>
                <w:b/>
                <w:bCs/>
                <w:szCs w:val="24"/>
              </w:rPr>
            </w:pPr>
            <w:r w:rsidRPr="00E51542">
              <w:rPr>
                <w:rFonts w:ascii="Times New Roman" w:eastAsia="Times New Roman" w:hAnsi="Times New Roman" w:cs="Times New Roman"/>
                <w:b/>
                <w:color w:val="000000"/>
                <w:szCs w:val="24"/>
                <w:lang w:eastAsia="pt-BR"/>
              </w:rPr>
              <w:t>Presentaba</w:t>
            </w:r>
          </w:p>
        </w:tc>
        <w:tc>
          <w:tcPr>
            <w:tcW w:w="1559" w:type="dxa"/>
            <w:gridSpan w:val="2"/>
            <w:hideMark/>
          </w:tcPr>
          <w:p w:rsidR="006C6B7E" w:rsidRPr="009C2BDD" w:rsidRDefault="006C6B7E" w:rsidP="00FD577C">
            <w:pPr>
              <w:spacing w:after="0" w:line="240" w:lineRule="auto"/>
              <w:rPr>
                <w:rFonts w:ascii="Times New Roman" w:hAnsi="Times New Roman" w:cs="Times New Roman"/>
                <w:b/>
                <w:bCs/>
                <w:szCs w:val="24"/>
              </w:rPr>
            </w:pPr>
            <w:r w:rsidRPr="009C2BDD">
              <w:rPr>
                <w:rFonts w:ascii="Times New Roman" w:eastAsia="Times New Roman" w:hAnsi="Times New Roman" w:cs="Times New Roman"/>
                <w:b/>
                <w:color w:val="000000"/>
                <w:szCs w:val="24"/>
                <w:lang w:eastAsia="pt-BR"/>
              </w:rPr>
              <w:t>No Presentaba</w:t>
            </w:r>
          </w:p>
        </w:tc>
      </w:tr>
      <w:tr w:rsidR="006C6B7E" w:rsidRPr="009C2BDD" w:rsidTr="00FD577C">
        <w:trPr>
          <w:trHeight w:val="238"/>
        </w:trPr>
        <w:tc>
          <w:tcPr>
            <w:tcW w:w="3262" w:type="dxa"/>
            <w:vMerge/>
            <w:tcBorders>
              <w:top w:val="single" w:sz="12" w:space="0" w:color="auto"/>
              <w:left w:val="nil"/>
              <w:bottom w:val="single" w:sz="12" w:space="0" w:color="auto"/>
              <w:right w:val="nil"/>
            </w:tcBorders>
            <w:vAlign w:val="center"/>
            <w:hideMark/>
          </w:tcPr>
          <w:p w:rsidR="006C6B7E" w:rsidRPr="009C2BDD" w:rsidRDefault="006C6B7E" w:rsidP="00FD577C">
            <w:pPr>
              <w:spacing w:after="0" w:line="256" w:lineRule="auto"/>
              <w:rPr>
                <w:rFonts w:ascii="Times New Roman" w:hAnsi="Times New Roman" w:cs="Times New Roman"/>
                <w:b/>
                <w:szCs w:val="24"/>
              </w:rPr>
            </w:pPr>
          </w:p>
        </w:tc>
        <w:tc>
          <w:tcPr>
            <w:tcW w:w="2267" w:type="dxa"/>
            <w:gridSpan w:val="2"/>
            <w:tcBorders>
              <w:top w:val="nil"/>
              <w:left w:val="nil"/>
              <w:bottom w:val="single" w:sz="12" w:space="0" w:color="auto"/>
              <w:right w:val="nil"/>
            </w:tcBorders>
            <w:vAlign w:val="center"/>
            <w:hideMark/>
          </w:tcPr>
          <w:p w:rsidR="006C6B7E" w:rsidRPr="009C2BDD" w:rsidRDefault="006C6B7E" w:rsidP="00FD577C">
            <w:pPr>
              <w:spacing w:after="0" w:line="240" w:lineRule="auto"/>
              <w:rPr>
                <w:rFonts w:ascii="Times New Roman" w:hAnsi="Times New Roman" w:cs="Times New Roman"/>
                <w:b/>
                <w:bCs/>
                <w:sz w:val="18"/>
                <w:szCs w:val="24"/>
              </w:rPr>
            </w:pPr>
            <w:r w:rsidRPr="009C2BDD">
              <w:rPr>
                <w:rFonts w:ascii="Times New Roman" w:hAnsi="Times New Roman" w:cs="Times New Roman"/>
                <w:b/>
                <w:bCs/>
                <w:sz w:val="18"/>
                <w:szCs w:val="24"/>
              </w:rPr>
              <w:t xml:space="preserve">             n           %                   </w:t>
            </w:r>
          </w:p>
        </w:tc>
        <w:tc>
          <w:tcPr>
            <w:tcW w:w="1559" w:type="dxa"/>
            <w:gridSpan w:val="2"/>
            <w:tcBorders>
              <w:top w:val="nil"/>
              <w:left w:val="nil"/>
              <w:bottom w:val="single" w:sz="12" w:space="0" w:color="auto"/>
              <w:right w:val="nil"/>
            </w:tcBorders>
            <w:hideMark/>
          </w:tcPr>
          <w:p w:rsidR="006C6B7E" w:rsidRPr="009C2BDD" w:rsidRDefault="006C6B7E" w:rsidP="00FD577C">
            <w:pPr>
              <w:spacing w:after="0" w:line="240" w:lineRule="auto"/>
              <w:rPr>
                <w:rFonts w:ascii="Times New Roman" w:hAnsi="Times New Roman" w:cs="Times New Roman"/>
                <w:b/>
                <w:bCs/>
                <w:sz w:val="18"/>
                <w:szCs w:val="24"/>
              </w:rPr>
            </w:pPr>
            <w:r w:rsidRPr="009C2BDD">
              <w:rPr>
                <w:rFonts w:ascii="Times New Roman" w:hAnsi="Times New Roman" w:cs="Times New Roman"/>
                <w:b/>
                <w:bCs/>
                <w:sz w:val="18"/>
                <w:szCs w:val="24"/>
              </w:rPr>
              <w:t>n             %</w:t>
            </w:r>
          </w:p>
        </w:tc>
      </w:tr>
      <w:tr w:rsidR="006C6B7E" w:rsidRPr="009C2BDD" w:rsidTr="00FD577C">
        <w:trPr>
          <w:gridAfter w:val="1"/>
          <w:wAfter w:w="176" w:type="dxa"/>
          <w:trHeight w:val="517"/>
        </w:trPr>
        <w:tc>
          <w:tcPr>
            <w:tcW w:w="3262" w:type="dxa"/>
            <w:tcBorders>
              <w:top w:val="single" w:sz="12" w:space="0" w:color="auto"/>
              <w:left w:val="nil"/>
              <w:bottom w:val="nil"/>
              <w:right w:val="nil"/>
            </w:tcBorders>
            <w:vAlign w:val="bottom"/>
          </w:tcPr>
          <w:p w:rsidR="006C6B7E" w:rsidRPr="009C2BDD" w:rsidRDefault="006C6B7E" w:rsidP="00FD577C">
            <w:pPr>
              <w:spacing w:after="0" w:line="240" w:lineRule="auto"/>
              <w:rPr>
                <w:rFonts w:ascii="Times New Roman" w:eastAsia="Times New Roman" w:hAnsi="Times New Roman" w:cs="Times New Roman"/>
                <w:b/>
                <w:bCs/>
                <w:color w:val="000000"/>
                <w:sz w:val="18"/>
                <w:szCs w:val="24"/>
                <w:lang w:eastAsia="pt-BR"/>
              </w:rPr>
            </w:pPr>
            <w:r w:rsidRPr="009C2BDD">
              <w:rPr>
                <w:rFonts w:ascii="Times New Roman" w:eastAsia="Times New Roman" w:hAnsi="Times New Roman" w:cs="Times New Roman"/>
                <w:b/>
                <w:bCs/>
                <w:color w:val="000000"/>
                <w:sz w:val="18"/>
                <w:szCs w:val="24"/>
                <w:lang w:eastAsia="pt-BR"/>
              </w:rPr>
              <w:t xml:space="preserve">Encabezado de la Receta </w:t>
            </w:r>
          </w:p>
          <w:p w:rsidR="006C6B7E" w:rsidRPr="009C2BDD" w:rsidRDefault="006C6B7E" w:rsidP="00FD577C">
            <w:pPr>
              <w:spacing w:after="0" w:line="240" w:lineRule="auto"/>
              <w:rPr>
                <w:rFonts w:ascii="Times New Roman" w:eastAsia="Times New Roman" w:hAnsi="Times New Roman" w:cs="Times New Roman"/>
                <w:b/>
                <w:bCs/>
                <w:color w:val="000000"/>
                <w:sz w:val="18"/>
                <w:szCs w:val="24"/>
                <w:lang w:eastAsia="pt-BR"/>
              </w:rPr>
            </w:pPr>
          </w:p>
        </w:tc>
        <w:tc>
          <w:tcPr>
            <w:tcW w:w="1825" w:type="dxa"/>
            <w:tcBorders>
              <w:top w:val="single" w:sz="12"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c>
          <w:tcPr>
            <w:tcW w:w="1825" w:type="dxa"/>
            <w:gridSpan w:val="2"/>
            <w:tcBorders>
              <w:top w:val="single" w:sz="12"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Nombre del Profesional</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97        55,11</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79          44,89</w:t>
            </w: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 xml:space="preserve">Dirección Profesional                     </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93        52,84</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83          44,89</w:t>
            </w:r>
          </w:p>
        </w:tc>
      </w:tr>
      <w:tr w:rsidR="006C6B7E" w:rsidRPr="009C2BDD" w:rsidTr="00FD577C">
        <w:trPr>
          <w:gridAfter w:val="1"/>
          <w:wAfter w:w="176" w:type="dxa"/>
          <w:trHeight w:val="223"/>
        </w:trPr>
        <w:tc>
          <w:tcPr>
            <w:tcW w:w="3262" w:type="dxa"/>
            <w:vAlign w:val="center"/>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Calificación Profesional</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173       98,30</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3          1,70</w:t>
            </w: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CRO</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173       98,30</w:t>
            </w:r>
          </w:p>
        </w:tc>
        <w:tc>
          <w:tcPr>
            <w:tcW w:w="1825" w:type="dxa"/>
            <w:gridSpan w:val="2"/>
            <w:hideMark/>
          </w:tcPr>
          <w:p w:rsidR="006C6B7E" w:rsidRPr="009C2BDD" w:rsidRDefault="006C6B7E" w:rsidP="00FD577C">
            <w:pPr>
              <w:spacing w:after="0" w:line="240" w:lineRule="auto"/>
              <w:ind w:right="60"/>
              <w:rPr>
                <w:rFonts w:ascii="Times New Roman" w:hAnsi="Times New Roman" w:cs="Times New Roman"/>
                <w:sz w:val="18"/>
                <w:szCs w:val="24"/>
              </w:rPr>
            </w:pPr>
            <w:r w:rsidRPr="009C2BDD">
              <w:rPr>
                <w:rFonts w:ascii="Times New Roman" w:hAnsi="Times New Roman" w:cs="Times New Roman"/>
                <w:sz w:val="18"/>
                <w:szCs w:val="24"/>
              </w:rPr>
              <w:t xml:space="preserve">           3           1,70</w:t>
            </w:r>
          </w:p>
        </w:tc>
      </w:tr>
      <w:tr w:rsidR="006C6B7E" w:rsidRPr="009C2BDD" w:rsidTr="00FD577C">
        <w:trPr>
          <w:gridAfter w:val="1"/>
          <w:wAfter w:w="176" w:type="dxa"/>
          <w:trHeight w:val="73"/>
        </w:trPr>
        <w:tc>
          <w:tcPr>
            <w:tcW w:w="3262" w:type="dxa"/>
            <w:vAlign w:val="center"/>
          </w:tcPr>
          <w:p w:rsidR="006C6B7E" w:rsidRPr="009C2BDD" w:rsidRDefault="006C6B7E" w:rsidP="00FD577C">
            <w:pPr>
              <w:spacing w:after="0" w:line="240" w:lineRule="auto"/>
              <w:ind w:left="60" w:right="60"/>
              <w:rPr>
                <w:rFonts w:ascii="Times New Roman" w:hAnsi="Times New Roman" w:cs="Times New Roman"/>
                <w:sz w:val="18"/>
                <w:szCs w:val="24"/>
              </w:rPr>
            </w:pPr>
          </w:p>
        </w:tc>
        <w:tc>
          <w:tcPr>
            <w:tcW w:w="1825" w:type="dxa"/>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c>
          <w:tcPr>
            <w:tcW w:w="1825" w:type="dxa"/>
            <w:gridSpan w:val="2"/>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r>
      <w:tr w:rsidR="006C6B7E" w:rsidRPr="009C2BDD" w:rsidTr="00FD577C">
        <w:trPr>
          <w:gridAfter w:val="1"/>
          <w:wAfter w:w="176" w:type="dxa"/>
          <w:trHeight w:val="447"/>
        </w:trPr>
        <w:tc>
          <w:tcPr>
            <w:tcW w:w="3262" w:type="dxa"/>
            <w:tcBorders>
              <w:top w:val="single" w:sz="4" w:space="0" w:color="auto"/>
              <w:left w:val="nil"/>
              <w:bottom w:val="nil"/>
              <w:right w:val="nil"/>
            </w:tcBorders>
            <w:vAlign w:val="bottom"/>
            <w:hideMark/>
          </w:tcPr>
          <w:p w:rsidR="006C6B7E" w:rsidRPr="009C2BDD" w:rsidRDefault="006C6B7E" w:rsidP="00FD577C">
            <w:pPr>
              <w:spacing w:after="0" w:line="240" w:lineRule="auto"/>
              <w:rPr>
                <w:rFonts w:ascii="Times New Roman" w:eastAsia="Times New Roman" w:hAnsi="Times New Roman" w:cs="Times New Roman"/>
                <w:b/>
                <w:bCs/>
                <w:color w:val="000000"/>
                <w:sz w:val="18"/>
                <w:szCs w:val="24"/>
                <w:lang w:eastAsia="pt-BR"/>
              </w:rPr>
            </w:pPr>
            <w:proofErr w:type="spellStart"/>
            <w:r w:rsidRPr="009C2BDD">
              <w:rPr>
                <w:rFonts w:ascii="Times New Roman" w:eastAsia="Times New Roman" w:hAnsi="Times New Roman" w:cs="Times New Roman"/>
                <w:b/>
                <w:bCs/>
                <w:color w:val="000000"/>
                <w:sz w:val="18"/>
                <w:szCs w:val="24"/>
                <w:lang w:eastAsia="pt-BR"/>
              </w:rPr>
              <w:t>Superinscripción</w:t>
            </w:r>
            <w:proofErr w:type="spellEnd"/>
            <w:r w:rsidRPr="009C2BDD">
              <w:rPr>
                <w:rFonts w:ascii="Times New Roman" w:eastAsia="Times New Roman" w:hAnsi="Times New Roman" w:cs="Times New Roman"/>
                <w:b/>
                <w:bCs/>
                <w:color w:val="000000"/>
                <w:sz w:val="18"/>
                <w:szCs w:val="24"/>
                <w:lang w:eastAsia="pt-BR"/>
              </w:rPr>
              <w:t xml:space="preserve"> de la Receta</w:t>
            </w:r>
          </w:p>
        </w:tc>
        <w:tc>
          <w:tcPr>
            <w:tcW w:w="1825" w:type="dxa"/>
            <w:tcBorders>
              <w:top w:val="single" w:sz="4"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p w:rsidR="006C6B7E" w:rsidRPr="009C2BDD" w:rsidRDefault="006C6B7E" w:rsidP="00FD577C">
            <w:pPr>
              <w:spacing w:after="0" w:line="240" w:lineRule="auto"/>
              <w:ind w:left="60" w:right="60"/>
              <w:jc w:val="center"/>
              <w:rPr>
                <w:rFonts w:ascii="Times New Roman" w:hAnsi="Times New Roman" w:cs="Times New Roman"/>
                <w:sz w:val="18"/>
                <w:szCs w:val="24"/>
              </w:rPr>
            </w:pPr>
          </w:p>
        </w:tc>
        <w:tc>
          <w:tcPr>
            <w:tcW w:w="1825" w:type="dxa"/>
            <w:gridSpan w:val="2"/>
            <w:tcBorders>
              <w:top w:val="single" w:sz="4"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 xml:space="preserve">Nombre del paciente                                       </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92        52,28</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84          47,72</w:t>
            </w:r>
          </w:p>
        </w:tc>
      </w:tr>
      <w:tr w:rsidR="006C6B7E" w:rsidRPr="009C2BDD" w:rsidTr="00FD577C">
        <w:trPr>
          <w:gridAfter w:val="1"/>
          <w:wAfter w:w="176" w:type="dxa"/>
          <w:trHeight w:val="7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Dirección</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95        53,98</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81          46,02</w:t>
            </w:r>
          </w:p>
        </w:tc>
      </w:tr>
      <w:tr w:rsidR="006C6B7E" w:rsidRPr="009C2BDD" w:rsidTr="00FD577C">
        <w:trPr>
          <w:gridAfter w:val="1"/>
          <w:wAfter w:w="176" w:type="dxa"/>
          <w:trHeight w:val="211"/>
        </w:trPr>
        <w:tc>
          <w:tcPr>
            <w:tcW w:w="3262" w:type="dxa"/>
            <w:tcBorders>
              <w:top w:val="single" w:sz="4" w:space="0" w:color="auto"/>
              <w:left w:val="nil"/>
              <w:bottom w:val="nil"/>
              <w:right w:val="nil"/>
            </w:tcBorders>
            <w:vAlign w:val="bottom"/>
            <w:hideMark/>
          </w:tcPr>
          <w:p w:rsidR="006C6B7E" w:rsidRPr="009C2BDD" w:rsidRDefault="006C6B7E" w:rsidP="00FD577C">
            <w:pPr>
              <w:spacing w:after="0" w:line="240" w:lineRule="auto"/>
              <w:rPr>
                <w:rFonts w:ascii="Times New Roman" w:eastAsia="Times New Roman" w:hAnsi="Times New Roman" w:cs="Times New Roman"/>
                <w:b/>
                <w:bCs/>
                <w:color w:val="000000"/>
                <w:sz w:val="18"/>
                <w:szCs w:val="24"/>
                <w:lang w:eastAsia="pt-BR"/>
              </w:rPr>
            </w:pPr>
            <w:r w:rsidRPr="009C2BDD">
              <w:rPr>
                <w:rFonts w:ascii="Times New Roman" w:eastAsia="Times New Roman" w:hAnsi="Times New Roman" w:cs="Times New Roman"/>
                <w:b/>
                <w:bCs/>
                <w:color w:val="000000"/>
                <w:sz w:val="18"/>
                <w:szCs w:val="24"/>
                <w:lang w:eastAsia="pt-BR"/>
              </w:rPr>
              <w:t>Inscripción de la Receta</w:t>
            </w:r>
          </w:p>
        </w:tc>
        <w:tc>
          <w:tcPr>
            <w:tcW w:w="1825" w:type="dxa"/>
            <w:tcBorders>
              <w:top w:val="single" w:sz="4"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c>
          <w:tcPr>
            <w:tcW w:w="1825" w:type="dxa"/>
            <w:gridSpan w:val="2"/>
            <w:tcBorders>
              <w:top w:val="single" w:sz="4"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 xml:space="preserve">Identificación del Fármaco                                  </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148       84,09</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28          15,91</w:t>
            </w: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Forma Farmacéutica</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159       90,34 </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17           9,66</w:t>
            </w:r>
          </w:p>
        </w:tc>
      </w:tr>
      <w:tr w:rsidR="006C6B7E" w:rsidRPr="009C2BDD" w:rsidTr="00FD577C">
        <w:trPr>
          <w:gridAfter w:val="1"/>
          <w:wAfter w:w="176" w:type="dxa"/>
          <w:trHeight w:val="223"/>
        </w:trPr>
        <w:tc>
          <w:tcPr>
            <w:tcW w:w="3262" w:type="dxa"/>
            <w:vAlign w:val="center"/>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Vía de Administración</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53         30,11</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123        69,89 </w:t>
            </w: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Posología</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151       85,80</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25          14,20</w:t>
            </w: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 xml:space="preserve">Adscripción </w:t>
            </w:r>
          </w:p>
        </w:tc>
        <w:tc>
          <w:tcPr>
            <w:tcW w:w="1825" w:type="dxa"/>
            <w:hideMark/>
          </w:tcPr>
          <w:p w:rsidR="006C6B7E" w:rsidRPr="009C2BDD" w:rsidRDefault="006C6B7E" w:rsidP="00FD577C">
            <w:pPr>
              <w:spacing w:after="0" w:line="240" w:lineRule="auto"/>
              <w:ind w:right="60"/>
              <w:rPr>
                <w:rFonts w:ascii="Times New Roman" w:hAnsi="Times New Roman" w:cs="Times New Roman"/>
                <w:sz w:val="18"/>
                <w:szCs w:val="24"/>
              </w:rPr>
            </w:pPr>
            <w:r w:rsidRPr="009C2BDD">
              <w:rPr>
                <w:rFonts w:ascii="Times New Roman" w:hAnsi="Times New Roman" w:cs="Times New Roman"/>
                <w:sz w:val="18"/>
                <w:szCs w:val="24"/>
              </w:rPr>
              <w:t xml:space="preserve">          16          9,09</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160        90,91</w:t>
            </w:r>
          </w:p>
        </w:tc>
      </w:tr>
      <w:tr w:rsidR="006C6B7E" w:rsidRPr="009C2BDD" w:rsidTr="00FD577C">
        <w:trPr>
          <w:gridAfter w:val="1"/>
          <w:wAfter w:w="176" w:type="dxa"/>
          <w:trHeight w:val="223"/>
        </w:trPr>
        <w:tc>
          <w:tcPr>
            <w:tcW w:w="3262" w:type="dxa"/>
            <w:tcBorders>
              <w:top w:val="single" w:sz="2" w:space="0" w:color="auto"/>
              <w:left w:val="nil"/>
              <w:bottom w:val="nil"/>
              <w:right w:val="nil"/>
            </w:tcBorders>
            <w:vAlign w:val="bottom"/>
            <w:hideMark/>
          </w:tcPr>
          <w:p w:rsidR="006C6B7E" w:rsidRPr="009C2BDD" w:rsidRDefault="006C6B7E" w:rsidP="00FD577C">
            <w:pPr>
              <w:spacing w:after="0" w:line="240" w:lineRule="auto"/>
              <w:rPr>
                <w:rFonts w:ascii="Times New Roman" w:eastAsia="Times New Roman" w:hAnsi="Times New Roman" w:cs="Times New Roman"/>
                <w:b/>
                <w:bCs/>
                <w:color w:val="000000"/>
                <w:sz w:val="18"/>
                <w:szCs w:val="24"/>
                <w:lang w:eastAsia="pt-BR"/>
              </w:rPr>
            </w:pPr>
            <w:r w:rsidRPr="009C2BDD">
              <w:rPr>
                <w:rFonts w:ascii="Times New Roman" w:eastAsia="Times New Roman" w:hAnsi="Times New Roman" w:cs="Times New Roman"/>
                <w:b/>
                <w:bCs/>
                <w:color w:val="000000"/>
                <w:sz w:val="18"/>
                <w:szCs w:val="24"/>
                <w:lang w:eastAsia="pt-BR"/>
              </w:rPr>
              <w:t>Rodapié</w:t>
            </w:r>
          </w:p>
        </w:tc>
        <w:tc>
          <w:tcPr>
            <w:tcW w:w="1825" w:type="dxa"/>
            <w:tcBorders>
              <w:top w:val="single" w:sz="2"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c>
          <w:tcPr>
            <w:tcW w:w="1825" w:type="dxa"/>
            <w:gridSpan w:val="2"/>
            <w:tcBorders>
              <w:top w:val="single" w:sz="2" w:space="0" w:color="auto"/>
              <w:left w:val="nil"/>
              <w:bottom w:val="nil"/>
              <w:right w:val="nil"/>
            </w:tcBorders>
          </w:tcPr>
          <w:p w:rsidR="006C6B7E" w:rsidRPr="009C2BDD" w:rsidRDefault="006C6B7E" w:rsidP="00FD577C">
            <w:pPr>
              <w:spacing w:after="0" w:line="240" w:lineRule="auto"/>
              <w:ind w:left="60" w:right="60"/>
              <w:jc w:val="center"/>
              <w:rPr>
                <w:rFonts w:ascii="Times New Roman" w:hAnsi="Times New Roman" w:cs="Times New Roman"/>
                <w:sz w:val="18"/>
                <w:szCs w:val="24"/>
              </w:rPr>
            </w:pP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Fecha</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64          36,36</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112        63,64</w:t>
            </w:r>
          </w:p>
        </w:tc>
      </w:tr>
      <w:tr w:rsidR="006C6B7E" w:rsidRPr="009C2BDD" w:rsidTr="00FD577C">
        <w:trPr>
          <w:gridAfter w:val="1"/>
          <w:wAfter w:w="176" w:type="dxa"/>
          <w:trHeight w:val="223"/>
        </w:trPr>
        <w:tc>
          <w:tcPr>
            <w:tcW w:w="3262" w:type="dxa"/>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 xml:space="preserve">Firma </w:t>
            </w:r>
          </w:p>
        </w:tc>
        <w:tc>
          <w:tcPr>
            <w:tcW w:w="1825" w:type="dxa"/>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151        85,80                </w:t>
            </w:r>
          </w:p>
        </w:tc>
        <w:tc>
          <w:tcPr>
            <w:tcW w:w="1825" w:type="dxa"/>
            <w:gridSpan w:val="2"/>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25          14,20</w:t>
            </w:r>
          </w:p>
        </w:tc>
      </w:tr>
      <w:tr w:rsidR="006C6B7E" w:rsidRPr="009C2BDD" w:rsidTr="00FD577C">
        <w:trPr>
          <w:gridAfter w:val="1"/>
          <w:wAfter w:w="176" w:type="dxa"/>
          <w:trHeight w:val="223"/>
        </w:trPr>
        <w:tc>
          <w:tcPr>
            <w:tcW w:w="3262" w:type="dxa"/>
            <w:tcBorders>
              <w:top w:val="nil"/>
              <w:left w:val="nil"/>
              <w:bottom w:val="single" w:sz="4" w:space="0" w:color="auto"/>
              <w:right w:val="nil"/>
            </w:tcBorders>
            <w:vAlign w:val="bottom"/>
            <w:hideMark/>
          </w:tcPr>
          <w:p w:rsidR="006C6B7E" w:rsidRPr="009C2BDD" w:rsidRDefault="006C6B7E" w:rsidP="00FD577C">
            <w:pPr>
              <w:spacing w:after="0" w:line="240" w:lineRule="auto"/>
              <w:rPr>
                <w:rFonts w:ascii="Times New Roman" w:eastAsia="Times New Roman" w:hAnsi="Times New Roman" w:cs="Times New Roman"/>
                <w:color w:val="000000"/>
                <w:sz w:val="18"/>
                <w:szCs w:val="24"/>
                <w:lang w:eastAsia="pt-BR"/>
              </w:rPr>
            </w:pPr>
            <w:r w:rsidRPr="009C2BDD">
              <w:rPr>
                <w:rFonts w:ascii="Times New Roman" w:eastAsia="Times New Roman" w:hAnsi="Times New Roman" w:cs="Times New Roman"/>
                <w:color w:val="000000"/>
                <w:sz w:val="18"/>
                <w:szCs w:val="24"/>
                <w:lang w:eastAsia="pt-BR"/>
              </w:rPr>
              <w:t>Sello</w:t>
            </w:r>
          </w:p>
        </w:tc>
        <w:tc>
          <w:tcPr>
            <w:tcW w:w="1825" w:type="dxa"/>
            <w:tcBorders>
              <w:top w:val="nil"/>
              <w:left w:val="nil"/>
              <w:bottom w:val="single" w:sz="4" w:space="0" w:color="auto"/>
              <w:right w:val="nil"/>
            </w:tcBorders>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76          43,18 </w:t>
            </w:r>
          </w:p>
        </w:tc>
        <w:tc>
          <w:tcPr>
            <w:tcW w:w="1825" w:type="dxa"/>
            <w:gridSpan w:val="2"/>
            <w:tcBorders>
              <w:top w:val="nil"/>
              <w:left w:val="nil"/>
              <w:bottom w:val="single" w:sz="4" w:space="0" w:color="auto"/>
              <w:right w:val="nil"/>
            </w:tcBorders>
            <w:hideMark/>
          </w:tcPr>
          <w:p w:rsidR="006C6B7E" w:rsidRPr="009C2BDD" w:rsidRDefault="006C6B7E" w:rsidP="00FD577C">
            <w:pPr>
              <w:spacing w:after="0" w:line="240" w:lineRule="auto"/>
              <w:ind w:left="60" w:right="60"/>
              <w:rPr>
                <w:rFonts w:ascii="Times New Roman" w:hAnsi="Times New Roman" w:cs="Times New Roman"/>
                <w:sz w:val="18"/>
                <w:szCs w:val="24"/>
              </w:rPr>
            </w:pPr>
            <w:r w:rsidRPr="009C2BDD">
              <w:rPr>
                <w:rFonts w:ascii="Times New Roman" w:hAnsi="Times New Roman" w:cs="Times New Roman"/>
                <w:sz w:val="18"/>
                <w:szCs w:val="24"/>
              </w:rPr>
              <w:t xml:space="preserve">        100        56,82</w:t>
            </w:r>
          </w:p>
        </w:tc>
      </w:tr>
    </w:tbl>
    <w:p w:rsidR="006C6B7E" w:rsidRPr="009C2BDD"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color w:val="212121"/>
          <w:lang w:eastAsia="pt-BR"/>
        </w:rPr>
      </w:pPr>
    </w:p>
    <w:p w:rsidR="006C6B7E" w:rsidRDefault="006C6B7E" w:rsidP="006C6B7E">
      <w:pPr>
        <w:pStyle w:val="HTMLconformatoprevio"/>
        <w:shd w:val="clear" w:color="auto" w:fill="FFFFFF"/>
        <w:spacing w:line="360" w:lineRule="auto"/>
        <w:rPr>
          <w:rFonts w:ascii="Times New Roman" w:hAnsi="Times New Roman" w:cs="Times New Roman"/>
          <w:b/>
          <w:color w:val="212121"/>
          <w:sz w:val="22"/>
          <w:szCs w:val="22"/>
        </w:rPr>
      </w:pPr>
    </w:p>
    <w:p w:rsidR="006C6B7E" w:rsidRDefault="006C6B7E" w:rsidP="006C6B7E">
      <w:pPr>
        <w:spacing w:line="360" w:lineRule="auto"/>
        <w:jc w:val="both"/>
        <w:rPr>
          <w:rFonts w:ascii="Times New Roman" w:hAnsi="Times New Roman" w:cs="Times New Roman"/>
          <w:b/>
          <w:sz w:val="24"/>
          <w:szCs w:val="24"/>
        </w:rPr>
      </w:pPr>
    </w:p>
    <w:p w:rsidR="006C6B7E" w:rsidRDefault="006C6B7E" w:rsidP="006C6B7E">
      <w:pPr>
        <w:spacing w:line="360" w:lineRule="auto"/>
        <w:jc w:val="both"/>
        <w:rPr>
          <w:rFonts w:ascii="Times New Roman" w:hAnsi="Times New Roman" w:cs="Times New Roman"/>
          <w:b/>
          <w:sz w:val="24"/>
          <w:szCs w:val="24"/>
        </w:rPr>
      </w:pPr>
    </w:p>
    <w:p w:rsidR="006C6B7E" w:rsidRDefault="006C6B7E" w:rsidP="006C6B7E">
      <w:pPr>
        <w:spacing w:line="360" w:lineRule="auto"/>
        <w:jc w:val="both"/>
        <w:rPr>
          <w:rFonts w:ascii="Times New Roman" w:hAnsi="Times New Roman" w:cs="Times New Roman"/>
          <w:b/>
          <w:sz w:val="24"/>
          <w:szCs w:val="24"/>
        </w:rPr>
      </w:pPr>
    </w:p>
    <w:p w:rsidR="006C6B7E" w:rsidRPr="00A95A7F"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sz w:val="24"/>
          <w:szCs w:val="24"/>
          <w:lang w:eastAsia="pt-BR"/>
        </w:rPr>
      </w:pPr>
    </w:p>
    <w:p w:rsidR="006C6B7E" w:rsidRPr="00A95A7F"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sz w:val="24"/>
          <w:szCs w:val="24"/>
          <w:lang w:eastAsia="pt-BR"/>
        </w:rPr>
      </w:pPr>
      <w:r w:rsidRPr="00A95A7F">
        <w:rPr>
          <w:rFonts w:eastAsia="Times New Roman"/>
          <w:color w:val="212121"/>
          <w:sz w:val="24"/>
          <w:szCs w:val="24"/>
          <w:lang w:eastAsia="pt-BR"/>
        </w:rPr>
        <w:t>Tabla III- Asociaciones entre las especialidades para verificar una mayor dificultad en la elaboración de las recetas odontológicas.</w:t>
      </w:r>
    </w:p>
    <w:p w:rsidR="006C6B7E"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p w:rsidR="006C6B7E" w:rsidRPr="00897354" w:rsidRDefault="006C6B7E" w:rsidP="006C6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tbl>
      <w:tblPr>
        <w:tblpPr w:leftFromText="141" w:rightFromText="141" w:vertAnchor="text" w:horzAnchor="margin" w:tblpXSpec="center" w:tblpY="141"/>
        <w:tblW w:w="4979" w:type="dxa"/>
        <w:tblLook w:val="01E0" w:firstRow="1" w:lastRow="1" w:firstColumn="1" w:lastColumn="1" w:noHBand="0" w:noVBand="0"/>
      </w:tblPr>
      <w:tblGrid>
        <w:gridCol w:w="3634"/>
        <w:gridCol w:w="1120"/>
        <w:gridCol w:w="225"/>
      </w:tblGrid>
      <w:tr w:rsidR="006C6B7E" w:rsidRPr="009C2BDD" w:rsidTr="00FD577C">
        <w:trPr>
          <w:trHeight w:val="199"/>
        </w:trPr>
        <w:tc>
          <w:tcPr>
            <w:tcW w:w="3634" w:type="dxa"/>
            <w:tcBorders>
              <w:top w:val="single" w:sz="12" w:space="0" w:color="auto"/>
              <w:bottom w:val="single" w:sz="12" w:space="0" w:color="auto"/>
            </w:tcBorders>
            <w:vAlign w:val="center"/>
          </w:tcPr>
          <w:p w:rsidR="006C6B7E" w:rsidRPr="009C2BDD" w:rsidRDefault="006C6B7E" w:rsidP="00FD577C">
            <w:pPr>
              <w:spacing w:after="0" w:line="240" w:lineRule="auto"/>
              <w:rPr>
                <w:rFonts w:ascii="Times New Roman" w:hAnsi="Times New Roman" w:cs="Times New Roman"/>
                <w:b/>
                <w:bCs/>
                <w:sz w:val="24"/>
                <w:szCs w:val="24"/>
              </w:rPr>
            </w:pPr>
            <w:r w:rsidRPr="009C2BDD">
              <w:rPr>
                <w:rFonts w:ascii="Times New Roman" w:eastAsia="Times New Roman" w:hAnsi="Times New Roman" w:cs="Times New Roman"/>
                <w:b/>
                <w:color w:val="000000"/>
                <w:sz w:val="24"/>
                <w:szCs w:val="24"/>
                <w:lang w:eastAsia="pt-BR"/>
              </w:rPr>
              <w:t>Asociaciones Probadas</w:t>
            </w:r>
          </w:p>
        </w:tc>
        <w:tc>
          <w:tcPr>
            <w:tcW w:w="1345" w:type="dxa"/>
            <w:gridSpan w:val="2"/>
            <w:tcBorders>
              <w:top w:val="single" w:sz="12" w:space="0" w:color="auto"/>
              <w:bottom w:val="single" w:sz="12" w:space="0" w:color="auto"/>
            </w:tcBorders>
          </w:tcPr>
          <w:p w:rsidR="006C6B7E" w:rsidRPr="009C2BDD" w:rsidRDefault="006C6B7E" w:rsidP="00FD577C">
            <w:r w:rsidRPr="009C2BDD">
              <w:rPr>
                <w:rFonts w:ascii="Times New Roman" w:eastAsia="Times New Roman" w:hAnsi="Times New Roman" w:cs="Times New Roman"/>
                <w:b/>
                <w:color w:val="000000"/>
                <w:sz w:val="24"/>
                <w:szCs w:val="24"/>
                <w:lang w:eastAsia="pt-BR"/>
              </w:rPr>
              <w:t>P Valor</w:t>
            </w:r>
          </w:p>
        </w:tc>
      </w:tr>
      <w:tr w:rsidR="006C6B7E" w:rsidRPr="009C2BDD" w:rsidTr="00FD577C">
        <w:trPr>
          <w:trHeight w:val="196"/>
        </w:trPr>
        <w:tc>
          <w:tcPr>
            <w:tcW w:w="4754" w:type="dxa"/>
            <w:gridSpan w:val="2"/>
            <w:tcBorders>
              <w:top w:val="single" w:sz="12" w:space="0" w:color="auto"/>
            </w:tcBorders>
            <w:vAlign w:val="center"/>
          </w:tcPr>
          <w:p w:rsidR="006C6B7E" w:rsidRPr="009C2BDD" w:rsidRDefault="006C6B7E" w:rsidP="00FD577C">
            <w:pPr>
              <w:spacing w:after="0" w:line="240" w:lineRule="auto"/>
              <w:ind w:right="60"/>
              <w:rPr>
                <w:rFonts w:ascii="Times New Roman" w:hAnsi="Times New Roman" w:cs="Times New Roman"/>
                <w:b/>
                <w:sz w:val="24"/>
                <w:szCs w:val="24"/>
              </w:rPr>
            </w:pPr>
            <w:r w:rsidRPr="009C2BDD">
              <w:rPr>
                <w:rFonts w:ascii="Times New Roman" w:hAnsi="Times New Roman" w:cs="Times New Roman"/>
                <w:b/>
                <w:color w:val="212121"/>
                <w:sz w:val="24"/>
                <w:szCs w:val="24"/>
              </w:rPr>
              <w:t>Especialidades</w:t>
            </w:r>
          </w:p>
        </w:tc>
        <w:tc>
          <w:tcPr>
            <w:tcW w:w="225" w:type="dxa"/>
            <w:tcBorders>
              <w:top w:val="single" w:sz="12" w:space="0" w:color="auto"/>
            </w:tcBorders>
            <w:vAlign w:val="center"/>
          </w:tcPr>
          <w:p w:rsidR="006C6B7E" w:rsidRPr="009C2BDD" w:rsidRDefault="006C6B7E" w:rsidP="00FD577C">
            <w:pPr>
              <w:spacing w:after="0" w:line="240" w:lineRule="auto"/>
              <w:ind w:left="60" w:right="60"/>
              <w:jc w:val="center"/>
              <w:rPr>
                <w:rFonts w:ascii="Times New Roman" w:hAnsi="Times New Roman" w:cs="Times New Roman"/>
                <w:sz w:val="24"/>
                <w:szCs w:val="24"/>
              </w:rPr>
            </w:pPr>
          </w:p>
        </w:tc>
      </w:tr>
      <w:tr w:rsidR="006C6B7E" w:rsidRPr="009C2BDD" w:rsidTr="00FD577C">
        <w:trPr>
          <w:trHeight w:val="50"/>
        </w:trPr>
        <w:tc>
          <w:tcPr>
            <w:tcW w:w="4754" w:type="dxa"/>
            <w:gridSpan w:val="2"/>
            <w:tcBorders>
              <w:bottom w:val="single" w:sz="4" w:space="0" w:color="auto"/>
            </w:tcBorders>
            <w:vAlign w:val="bottom"/>
          </w:tcPr>
          <w:p w:rsidR="006C6B7E" w:rsidRPr="009C2BDD" w:rsidRDefault="006C6B7E" w:rsidP="00FD577C">
            <w:pPr>
              <w:spacing w:after="0" w:line="240" w:lineRule="auto"/>
              <w:rPr>
                <w:rFonts w:ascii="Times New Roman" w:eastAsia="Times New Roman" w:hAnsi="Times New Roman" w:cs="Times New Roman"/>
                <w:color w:val="000000"/>
                <w:sz w:val="20"/>
                <w:szCs w:val="24"/>
                <w:lang w:eastAsia="pt-BR"/>
              </w:rPr>
            </w:pPr>
            <w:r w:rsidRPr="009C2BDD">
              <w:rPr>
                <w:rFonts w:ascii="Times New Roman" w:eastAsia="Times New Roman" w:hAnsi="Times New Roman" w:cs="Times New Roman"/>
                <w:color w:val="000000"/>
                <w:sz w:val="20"/>
                <w:szCs w:val="24"/>
                <w:lang w:eastAsia="pt-BR"/>
              </w:rPr>
              <w:t>Endodoncia y Prótesis Dentaria                            0.4202</w:t>
            </w:r>
          </w:p>
          <w:p w:rsidR="006C6B7E" w:rsidRPr="009C2BDD" w:rsidRDefault="006C6B7E" w:rsidP="00FD577C">
            <w:pPr>
              <w:spacing w:after="0" w:line="240" w:lineRule="auto"/>
              <w:rPr>
                <w:rFonts w:ascii="Times New Roman" w:eastAsia="Times New Roman" w:hAnsi="Times New Roman" w:cs="Times New Roman"/>
                <w:color w:val="000000"/>
                <w:sz w:val="20"/>
                <w:szCs w:val="24"/>
                <w:lang w:eastAsia="pt-BR"/>
              </w:rPr>
            </w:pPr>
            <w:r w:rsidRPr="009C2BDD">
              <w:rPr>
                <w:rFonts w:ascii="Times New Roman" w:eastAsia="Times New Roman" w:hAnsi="Times New Roman" w:cs="Times New Roman"/>
                <w:color w:val="000000"/>
                <w:sz w:val="20"/>
                <w:szCs w:val="24"/>
                <w:lang w:eastAsia="pt-BR"/>
              </w:rPr>
              <w:lastRenderedPageBreak/>
              <w:t xml:space="preserve">Endodoncia e </w:t>
            </w:r>
            <w:proofErr w:type="spellStart"/>
            <w:r w:rsidRPr="009C2BDD">
              <w:rPr>
                <w:rFonts w:ascii="Times New Roman" w:eastAsia="Times New Roman" w:hAnsi="Times New Roman" w:cs="Times New Roman"/>
                <w:color w:val="000000"/>
                <w:sz w:val="20"/>
                <w:szCs w:val="24"/>
                <w:lang w:eastAsia="pt-BR"/>
              </w:rPr>
              <w:t>Implantología</w:t>
            </w:r>
            <w:proofErr w:type="spellEnd"/>
            <w:r w:rsidRPr="009C2BDD">
              <w:rPr>
                <w:rFonts w:ascii="Times New Roman" w:eastAsia="Times New Roman" w:hAnsi="Times New Roman" w:cs="Times New Roman"/>
                <w:color w:val="000000"/>
                <w:sz w:val="20"/>
                <w:szCs w:val="24"/>
                <w:lang w:eastAsia="pt-BR"/>
              </w:rPr>
              <w:t xml:space="preserve">                                 0.2052</w:t>
            </w:r>
          </w:p>
          <w:p w:rsidR="006C6B7E" w:rsidRPr="009C2BDD" w:rsidRDefault="006C6B7E" w:rsidP="00FD577C">
            <w:pPr>
              <w:spacing w:after="0" w:line="240" w:lineRule="auto"/>
              <w:rPr>
                <w:rFonts w:ascii="Times New Roman" w:eastAsia="Times New Roman" w:hAnsi="Times New Roman" w:cs="Times New Roman"/>
                <w:color w:val="000000"/>
                <w:sz w:val="20"/>
                <w:szCs w:val="24"/>
                <w:lang w:eastAsia="pt-BR"/>
              </w:rPr>
            </w:pPr>
            <w:r w:rsidRPr="009C2BDD">
              <w:rPr>
                <w:rFonts w:ascii="Times New Roman" w:eastAsia="Times New Roman" w:hAnsi="Times New Roman" w:cs="Times New Roman"/>
                <w:color w:val="000000"/>
                <w:sz w:val="20"/>
                <w:szCs w:val="24"/>
                <w:lang w:eastAsia="pt-BR"/>
              </w:rPr>
              <w:t xml:space="preserve">Prótesis Dentaria e </w:t>
            </w:r>
            <w:proofErr w:type="spellStart"/>
            <w:r w:rsidRPr="009C2BDD">
              <w:rPr>
                <w:rFonts w:ascii="Times New Roman" w:eastAsia="Times New Roman" w:hAnsi="Times New Roman" w:cs="Times New Roman"/>
                <w:color w:val="000000"/>
                <w:sz w:val="20"/>
                <w:szCs w:val="24"/>
                <w:lang w:eastAsia="pt-BR"/>
              </w:rPr>
              <w:t>Implantología</w:t>
            </w:r>
            <w:proofErr w:type="spellEnd"/>
            <w:r w:rsidRPr="009C2BDD">
              <w:rPr>
                <w:rFonts w:ascii="Times New Roman" w:eastAsia="Times New Roman" w:hAnsi="Times New Roman" w:cs="Times New Roman"/>
                <w:color w:val="000000"/>
                <w:sz w:val="20"/>
                <w:szCs w:val="24"/>
                <w:lang w:eastAsia="pt-BR"/>
              </w:rPr>
              <w:t xml:space="preserve">                         0.5036</w:t>
            </w:r>
          </w:p>
          <w:p w:rsidR="006C6B7E" w:rsidRPr="009C2BDD" w:rsidRDefault="006C6B7E" w:rsidP="00FD577C">
            <w:pPr>
              <w:spacing w:after="0" w:line="240" w:lineRule="auto"/>
              <w:rPr>
                <w:rFonts w:ascii="Times New Roman" w:eastAsia="Times New Roman" w:hAnsi="Times New Roman" w:cs="Times New Roman"/>
                <w:color w:val="000000"/>
                <w:sz w:val="20"/>
                <w:szCs w:val="24"/>
                <w:lang w:eastAsia="pt-BR"/>
              </w:rPr>
            </w:pPr>
            <w:proofErr w:type="spellStart"/>
            <w:r w:rsidRPr="009C2BDD">
              <w:rPr>
                <w:rFonts w:ascii="Times New Roman" w:eastAsia="Times New Roman" w:hAnsi="Times New Roman" w:cs="Times New Roman"/>
                <w:color w:val="000000"/>
                <w:sz w:val="20"/>
                <w:szCs w:val="24"/>
                <w:lang w:eastAsia="pt-BR"/>
              </w:rPr>
              <w:t>Odontopediatría</w:t>
            </w:r>
            <w:proofErr w:type="spellEnd"/>
            <w:r w:rsidRPr="009C2BDD">
              <w:rPr>
                <w:rFonts w:ascii="Times New Roman" w:eastAsia="Times New Roman" w:hAnsi="Times New Roman" w:cs="Times New Roman"/>
                <w:color w:val="000000"/>
                <w:sz w:val="20"/>
                <w:szCs w:val="24"/>
                <w:lang w:eastAsia="pt-BR"/>
              </w:rPr>
              <w:t xml:space="preserve"> y Endodoncia                              0.8147</w:t>
            </w:r>
          </w:p>
          <w:p w:rsidR="006C6B7E" w:rsidRPr="009C2BDD" w:rsidRDefault="006C6B7E" w:rsidP="00FD577C">
            <w:pPr>
              <w:spacing w:after="0" w:line="240" w:lineRule="auto"/>
              <w:rPr>
                <w:rFonts w:ascii="Times New Roman" w:eastAsia="Times New Roman" w:hAnsi="Times New Roman" w:cs="Times New Roman"/>
                <w:color w:val="000000"/>
                <w:sz w:val="20"/>
                <w:szCs w:val="24"/>
                <w:lang w:eastAsia="pt-BR"/>
              </w:rPr>
            </w:pPr>
            <w:proofErr w:type="spellStart"/>
            <w:r w:rsidRPr="009C2BDD">
              <w:rPr>
                <w:rFonts w:ascii="Times New Roman" w:eastAsia="Times New Roman" w:hAnsi="Times New Roman" w:cs="Times New Roman"/>
                <w:color w:val="000000"/>
                <w:sz w:val="20"/>
                <w:szCs w:val="24"/>
                <w:lang w:eastAsia="pt-BR"/>
              </w:rPr>
              <w:t>Odontopediatría</w:t>
            </w:r>
            <w:proofErr w:type="spellEnd"/>
            <w:r w:rsidRPr="009C2BDD">
              <w:rPr>
                <w:rFonts w:ascii="Times New Roman" w:eastAsia="Times New Roman" w:hAnsi="Times New Roman" w:cs="Times New Roman"/>
                <w:color w:val="000000"/>
                <w:sz w:val="20"/>
                <w:szCs w:val="24"/>
                <w:lang w:eastAsia="pt-BR"/>
              </w:rPr>
              <w:t xml:space="preserve"> y Prótesis Dentaria                      0.4321</w:t>
            </w:r>
          </w:p>
          <w:p w:rsidR="006C6B7E" w:rsidRPr="009C2BDD" w:rsidRDefault="006C6B7E" w:rsidP="00FD577C">
            <w:pPr>
              <w:spacing w:after="0" w:line="240" w:lineRule="auto"/>
              <w:rPr>
                <w:rFonts w:ascii="Arial Black" w:eastAsia="Times New Roman" w:hAnsi="Arial Black"/>
                <w:color w:val="000000"/>
                <w:sz w:val="24"/>
                <w:szCs w:val="24"/>
                <w:lang w:eastAsia="pt-BR"/>
              </w:rPr>
            </w:pPr>
            <w:proofErr w:type="spellStart"/>
            <w:r w:rsidRPr="009C2BDD">
              <w:rPr>
                <w:rFonts w:ascii="Times New Roman" w:eastAsia="Times New Roman" w:hAnsi="Times New Roman" w:cs="Times New Roman"/>
                <w:color w:val="000000"/>
                <w:sz w:val="20"/>
                <w:szCs w:val="24"/>
                <w:lang w:eastAsia="pt-BR"/>
              </w:rPr>
              <w:t>Odontopediatría</w:t>
            </w:r>
            <w:proofErr w:type="spellEnd"/>
            <w:r w:rsidRPr="009C2BDD">
              <w:rPr>
                <w:rFonts w:ascii="Times New Roman" w:eastAsia="Times New Roman" w:hAnsi="Times New Roman" w:cs="Times New Roman"/>
                <w:color w:val="000000"/>
                <w:sz w:val="20"/>
                <w:szCs w:val="24"/>
                <w:lang w:eastAsia="pt-BR"/>
              </w:rPr>
              <w:t xml:space="preserve"> e </w:t>
            </w:r>
            <w:proofErr w:type="spellStart"/>
            <w:r w:rsidRPr="009C2BDD">
              <w:rPr>
                <w:rFonts w:ascii="Times New Roman" w:eastAsia="Times New Roman" w:hAnsi="Times New Roman" w:cs="Times New Roman"/>
                <w:color w:val="000000"/>
                <w:sz w:val="20"/>
                <w:szCs w:val="24"/>
                <w:lang w:eastAsia="pt-BR"/>
              </w:rPr>
              <w:t>Implantología</w:t>
            </w:r>
            <w:proofErr w:type="spellEnd"/>
            <w:r w:rsidRPr="009C2BDD">
              <w:rPr>
                <w:rFonts w:ascii="Times New Roman" w:eastAsia="Times New Roman" w:hAnsi="Times New Roman" w:cs="Times New Roman"/>
                <w:color w:val="000000"/>
                <w:sz w:val="20"/>
                <w:szCs w:val="24"/>
                <w:lang w:eastAsia="pt-BR"/>
              </w:rPr>
              <w:t xml:space="preserve">                           0.2758</w:t>
            </w:r>
          </w:p>
        </w:tc>
        <w:tc>
          <w:tcPr>
            <w:tcW w:w="225" w:type="dxa"/>
            <w:tcBorders>
              <w:bottom w:val="single" w:sz="4" w:space="0" w:color="auto"/>
            </w:tcBorders>
            <w:vAlign w:val="bottom"/>
          </w:tcPr>
          <w:p w:rsidR="006C6B7E" w:rsidRPr="009C2BDD" w:rsidRDefault="006C6B7E" w:rsidP="00FD577C">
            <w:pPr>
              <w:spacing w:after="0" w:line="240" w:lineRule="auto"/>
              <w:rPr>
                <w:rFonts w:ascii="Times New Roman" w:eastAsia="Times New Roman" w:hAnsi="Times New Roman" w:cs="Times New Roman"/>
                <w:sz w:val="20"/>
                <w:szCs w:val="20"/>
                <w:lang w:eastAsia="pt-BR"/>
              </w:rPr>
            </w:pPr>
          </w:p>
        </w:tc>
      </w:tr>
    </w:tbl>
    <w:p w:rsidR="006C6B7E" w:rsidRDefault="006C6B7E" w:rsidP="006C6B7E">
      <w:pPr>
        <w:spacing w:line="360" w:lineRule="auto"/>
        <w:jc w:val="both"/>
        <w:rPr>
          <w:rFonts w:ascii="Times New Roman" w:hAnsi="Times New Roman" w:cs="Times New Roman"/>
          <w:b/>
          <w:sz w:val="24"/>
          <w:szCs w:val="24"/>
        </w:rPr>
      </w:pPr>
    </w:p>
    <w:p w:rsidR="006C6B7E" w:rsidRDefault="006C6B7E" w:rsidP="006C6B7E">
      <w:pPr>
        <w:spacing w:line="360" w:lineRule="auto"/>
        <w:jc w:val="both"/>
        <w:rPr>
          <w:rFonts w:ascii="Times New Roman" w:hAnsi="Times New Roman" w:cs="Times New Roman"/>
          <w:b/>
          <w:sz w:val="24"/>
          <w:szCs w:val="24"/>
        </w:rPr>
      </w:pPr>
    </w:p>
    <w:p w:rsidR="006C6B7E" w:rsidRDefault="006C6B7E" w:rsidP="006C6B7E">
      <w:pPr>
        <w:spacing w:line="240" w:lineRule="auto"/>
        <w:jc w:val="both"/>
        <w:rPr>
          <w:rFonts w:cstheme="minorHAnsi"/>
          <w:b/>
        </w:rPr>
      </w:pPr>
    </w:p>
    <w:p w:rsidR="006C6B7E" w:rsidRDefault="006C6B7E" w:rsidP="006C6B7E">
      <w:pPr>
        <w:spacing w:line="240" w:lineRule="auto"/>
        <w:jc w:val="both"/>
        <w:rPr>
          <w:rFonts w:cstheme="minorHAnsi"/>
          <w:b/>
        </w:rPr>
      </w:pPr>
    </w:p>
    <w:p w:rsidR="006C6B7E" w:rsidRPr="00E5043A" w:rsidRDefault="006C6B7E" w:rsidP="006C6B7E">
      <w:pPr>
        <w:spacing w:line="240" w:lineRule="auto"/>
        <w:jc w:val="both"/>
        <w:rPr>
          <w:rFonts w:cstheme="minorHAnsi"/>
          <w:b/>
        </w:rPr>
      </w:pPr>
    </w:p>
    <w:p w:rsidR="006C6B7E" w:rsidRPr="00E5043A" w:rsidRDefault="006C6B7E" w:rsidP="006C6B7E">
      <w:pPr>
        <w:spacing w:line="240" w:lineRule="auto"/>
        <w:jc w:val="both"/>
        <w:rPr>
          <w:rFonts w:cstheme="minorHAnsi"/>
          <w:b/>
        </w:rPr>
      </w:pPr>
    </w:p>
    <w:p w:rsidR="007A47F1" w:rsidRDefault="007A47F1" w:rsidP="006C6B7E">
      <w:pPr>
        <w:spacing w:line="240" w:lineRule="auto"/>
        <w:jc w:val="both"/>
        <w:rPr>
          <w:rFonts w:cstheme="minorHAnsi"/>
          <w:b/>
          <w:sz w:val="24"/>
          <w:szCs w:val="24"/>
        </w:rPr>
      </w:pPr>
    </w:p>
    <w:p w:rsidR="006C6B7E" w:rsidRPr="00E5043A" w:rsidRDefault="006C6B7E" w:rsidP="006C6B7E">
      <w:pPr>
        <w:spacing w:line="240" w:lineRule="auto"/>
        <w:jc w:val="both"/>
        <w:rPr>
          <w:rFonts w:cstheme="minorHAnsi"/>
          <w:b/>
          <w:sz w:val="24"/>
          <w:szCs w:val="24"/>
        </w:rPr>
      </w:pPr>
      <w:r w:rsidRPr="00537F90">
        <w:rPr>
          <w:rFonts w:cstheme="minorHAnsi"/>
          <w:b/>
          <w:sz w:val="24"/>
          <w:szCs w:val="24"/>
        </w:rPr>
        <w:t>Discusión</w:t>
      </w:r>
    </w:p>
    <w:p w:rsidR="006C6B7E" w:rsidRPr="00537F90" w:rsidRDefault="006C6B7E" w:rsidP="006C6B7E">
      <w:pPr>
        <w:spacing w:line="240" w:lineRule="auto"/>
        <w:jc w:val="both"/>
        <w:rPr>
          <w:rFonts w:cstheme="minorHAnsi"/>
          <w:sz w:val="24"/>
          <w:szCs w:val="24"/>
        </w:rPr>
      </w:pPr>
      <w:r w:rsidRPr="00537F90">
        <w:rPr>
          <w:rFonts w:cstheme="minorHAnsi"/>
          <w:sz w:val="24"/>
          <w:szCs w:val="24"/>
        </w:rPr>
        <w:t xml:space="preserve">Los </w:t>
      </w:r>
      <w:r>
        <w:rPr>
          <w:rFonts w:cstheme="minorHAnsi"/>
          <w:sz w:val="24"/>
          <w:szCs w:val="24"/>
        </w:rPr>
        <w:t>cirujanos-</w:t>
      </w:r>
      <w:r w:rsidRPr="00537F90">
        <w:rPr>
          <w:rFonts w:cstheme="minorHAnsi"/>
          <w:sz w:val="24"/>
          <w:szCs w:val="24"/>
        </w:rPr>
        <w:t>dentistas están aptos para prescribir en especialidades farmacéuticas relacionadas con la odontología. Por lo tanto, cualquier uso y/o indicación de la medicación, debe ser elaborado en forma de receta, en un talonario propio para la prescripción.</w:t>
      </w:r>
      <w:r>
        <w:rPr>
          <w:rFonts w:cstheme="minorHAnsi"/>
          <w:sz w:val="24"/>
          <w:szCs w:val="24"/>
          <w:vertAlign w:val="superscript"/>
        </w:rPr>
        <w:t>14</w:t>
      </w:r>
      <w:r w:rsidRPr="00537F90">
        <w:rPr>
          <w:rFonts w:cstheme="minorHAnsi"/>
          <w:sz w:val="24"/>
          <w:szCs w:val="24"/>
        </w:rPr>
        <w:t xml:space="preserve"> </w:t>
      </w:r>
    </w:p>
    <w:p w:rsidR="006C6B7E" w:rsidRPr="00E5043A" w:rsidRDefault="006C6B7E" w:rsidP="006C6B7E">
      <w:pPr>
        <w:spacing w:line="240" w:lineRule="auto"/>
        <w:jc w:val="both"/>
        <w:rPr>
          <w:rFonts w:cstheme="minorHAnsi"/>
          <w:b/>
          <w:bCs/>
          <w:sz w:val="24"/>
          <w:szCs w:val="24"/>
        </w:rPr>
      </w:pPr>
      <w:r w:rsidRPr="00537F90">
        <w:rPr>
          <w:rFonts w:cstheme="minorHAnsi"/>
          <w:sz w:val="24"/>
          <w:szCs w:val="24"/>
        </w:rPr>
        <w:t>Por tratarse de un documento odontológico, la receta debe garantizar al paciente seguridad terapéutica a fin de limitar la prá</w:t>
      </w:r>
      <w:r>
        <w:rPr>
          <w:rFonts w:cstheme="minorHAnsi"/>
          <w:sz w:val="24"/>
          <w:szCs w:val="24"/>
        </w:rPr>
        <w:t>c</w:t>
      </w:r>
      <w:r w:rsidRPr="00537F90">
        <w:rPr>
          <w:rFonts w:cstheme="minorHAnsi"/>
          <w:sz w:val="24"/>
          <w:szCs w:val="24"/>
        </w:rPr>
        <w:t>tica de la automedicación</w:t>
      </w:r>
      <w:r w:rsidRPr="00785E5B">
        <w:rPr>
          <w:rFonts w:cstheme="minorHAnsi"/>
          <w:sz w:val="24"/>
          <w:szCs w:val="24"/>
        </w:rPr>
        <w:t xml:space="preserve">, </w:t>
      </w:r>
      <w:r>
        <w:rPr>
          <w:rFonts w:cstheme="minorHAnsi"/>
          <w:sz w:val="24"/>
          <w:szCs w:val="24"/>
        </w:rPr>
        <w:t>y</w:t>
      </w:r>
      <w:r w:rsidRPr="00785E5B">
        <w:rPr>
          <w:rFonts w:cstheme="minorHAnsi"/>
          <w:sz w:val="24"/>
          <w:szCs w:val="24"/>
        </w:rPr>
        <w:t xml:space="preserve"> su elaboración </w:t>
      </w:r>
      <w:r>
        <w:rPr>
          <w:rFonts w:cstheme="minorHAnsi"/>
          <w:sz w:val="24"/>
          <w:szCs w:val="24"/>
        </w:rPr>
        <w:t xml:space="preserve">se </w:t>
      </w:r>
      <w:r w:rsidRPr="00785E5B">
        <w:rPr>
          <w:rFonts w:cstheme="minorHAnsi"/>
          <w:sz w:val="24"/>
          <w:szCs w:val="24"/>
        </w:rPr>
        <w:t xml:space="preserve">debe fundamentar </w:t>
      </w:r>
      <w:r>
        <w:rPr>
          <w:rFonts w:cstheme="minorHAnsi"/>
          <w:sz w:val="24"/>
          <w:szCs w:val="24"/>
        </w:rPr>
        <w:t>en la</w:t>
      </w:r>
      <w:r w:rsidRPr="00785E5B">
        <w:rPr>
          <w:rFonts w:cstheme="minorHAnsi"/>
          <w:sz w:val="24"/>
          <w:szCs w:val="24"/>
        </w:rPr>
        <w:t xml:space="preserve"> Le</w:t>
      </w:r>
      <w:r>
        <w:rPr>
          <w:rFonts w:cstheme="minorHAnsi"/>
          <w:sz w:val="24"/>
          <w:szCs w:val="24"/>
        </w:rPr>
        <w:t>y</w:t>
      </w:r>
      <w:r w:rsidRPr="00785E5B">
        <w:rPr>
          <w:rFonts w:cstheme="minorHAnsi"/>
          <w:sz w:val="24"/>
          <w:szCs w:val="24"/>
        </w:rPr>
        <w:t xml:space="preserve"> 5.991/73 que </w:t>
      </w:r>
      <w:proofErr w:type="spellStart"/>
      <w:r w:rsidRPr="00785E5B">
        <w:rPr>
          <w:rFonts w:cstheme="minorHAnsi"/>
          <w:sz w:val="24"/>
          <w:szCs w:val="24"/>
        </w:rPr>
        <w:t>normatiza</w:t>
      </w:r>
      <w:proofErr w:type="spellEnd"/>
      <w:r w:rsidRPr="00785E5B">
        <w:rPr>
          <w:rFonts w:cstheme="minorHAnsi"/>
          <w:sz w:val="24"/>
          <w:szCs w:val="24"/>
        </w:rPr>
        <w:t xml:space="preserve"> </w:t>
      </w:r>
      <w:r>
        <w:rPr>
          <w:rFonts w:cstheme="minorHAnsi"/>
          <w:sz w:val="24"/>
          <w:szCs w:val="24"/>
        </w:rPr>
        <w:t>l</w:t>
      </w:r>
      <w:r w:rsidRPr="00785E5B">
        <w:rPr>
          <w:rFonts w:cstheme="minorHAnsi"/>
          <w:sz w:val="24"/>
          <w:szCs w:val="24"/>
        </w:rPr>
        <w:t>as prescri</w:t>
      </w:r>
      <w:r>
        <w:rPr>
          <w:rFonts w:cstheme="minorHAnsi"/>
          <w:sz w:val="24"/>
          <w:szCs w:val="24"/>
        </w:rPr>
        <w:t xml:space="preserve">pciones </w:t>
      </w:r>
      <w:r w:rsidRPr="00785E5B">
        <w:rPr>
          <w:rFonts w:cstheme="minorHAnsi"/>
          <w:sz w:val="24"/>
          <w:szCs w:val="24"/>
        </w:rPr>
        <w:t>medicamentosas, s</w:t>
      </w:r>
      <w:r>
        <w:rPr>
          <w:rFonts w:cstheme="minorHAnsi"/>
          <w:sz w:val="24"/>
          <w:szCs w:val="24"/>
        </w:rPr>
        <w:t>i</w:t>
      </w:r>
      <w:r w:rsidRPr="00785E5B">
        <w:rPr>
          <w:rFonts w:cstheme="minorHAnsi"/>
          <w:sz w:val="24"/>
          <w:szCs w:val="24"/>
        </w:rPr>
        <w:t>endo responsabilidad d</w:t>
      </w:r>
      <w:r>
        <w:rPr>
          <w:rFonts w:cstheme="minorHAnsi"/>
          <w:sz w:val="24"/>
          <w:szCs w:val="24"/>
        </w:rPr>
        <w:t>el</w:t>
      </w:r>
      <w:r w:rsidRPr="00785E5B">
        <w:rPr>
          <w:rFonts w:cstheme="minorHAnsi"/>
          <w:sz w:val="24"/>
          <w:szCs w:val="24"/>
        </w:rPr>
        <w:t xml:space="preserve"> prof</w:t>
      </w:r>
      <w:r>
        <w:rPr>
          <w:rFonts w:cstheme="minorHAnsi"/>
          <w:sz w:val="24"/>
          <w:szCs w:val="24"/>
        </w:rPr>
        <w:t>es</w:t>
      </w:r>
      <w:r w:rsidRPr="00785E5B">
        <w:rPr>
          <w:rFonts w:cstheme="minorHAnsi"/>
          <w:sz w:val="24"/>
          <w:szCs w:val="24"/>
        </w:rPr>
        <w:t>ional prescri</w:t>
      </w:r>
      <w:r>
        <w:rPr>
          <w:rFonts w:cstheme="minorHAnsi"/>
          <w:sz w:val="24"/>
          <w:szCs w:val="24"/>
        </w:rPr>
        <w:t>p</w:t>
      </w:r>
      <w:r w:rsidRPr="00785E5B">
        <w:rPr>
          <w:rFonts w:cstheme="minorHAnsi"/>
          <w:sz w:val="24"/>
          <w:szCs w:val="24"/>
        </w:rPr>
        <w:t xml:space="preserve">tor </w:t>
      </w:r>
      <w:r>
        <w:rPr>
          <w:rFonts w:cstheme="minorHAnsi"/>
          <w:sz w:val="24"/>
          <w:szCs w:val="24"/>
        </w:rPr>
        <w:t>el</w:t>
      </w:r>
      <w:r w:rsidRPr="00785E5B">
        <w:rPr>
          <w:rFonts w:cstheme="minorHAnsi"/>
          <w:sz w:val="24"/>
          <w:szCs w:val="24"/>
        </w:rPr>
        <w:t xml:space="preserve"> dominio d</w:t>
      </w:r>
      <w:r>
        <w:rPr>
          <w:rFonts w:cstheme="minorHAnsi"/>
          <w:sz w:val="24"/>
          <w:szCs w:val="24"/>
        </w:rPr>
        <w:t>e l</w:t>
      </w:r>
      <w:r w:rsidRPr="00785E5B">
        <w:rPr>
          <w:rFonts w:cstheme="minorHAnsi"/>
          <w:sz w:val="24"/>
          <w:szCs w:val="24"/>
        </w:rPr>
        <w:t xml:space="preserve">os aspectos que </w:t>
      </w:r>
      <w:r>
        <w:rPr>
          <w:rFonts w:cstheme="minorHAnsi"/>
          <w:sz w:val="24"/>
          <w:szCs w:val="24"/>
        </w:rPr>
        <w:t>guían</w:t>
      </w:r>
      <w:r w:rsidRPr="00785E5B">
        <w:rPr>
          <w:rFonts w:cstheme="minorHAnsi"/>
          <w:sz w:val="24"/>
          <w:szCs w:val="24"/>
        </w:rPr>
        <w:t xml:space="preserve"> </w:t>
      </w:r>
      <w:r>
        <w:rPr>
          <w:rFonts w:cstheme="minorHAnsi"/>
          <w:sz w:val="24"/>
          <w:szCs w:val="24"/>
        </w:rPr>
        <w:t>l</w:t>
      </w:r>
      <w:r w:rsidRPr="00785E5B">
        <w:rPr>
          <w:rFonts w:cstheme="minorHAnsi"/>
          <w:sz w:val="24"/>
          <w:szCs w:val="24"/>
        </w:rPr>
        <w:t xml:space="preserve">a </w:t>
      </w:r>
      <w:r>
        <w:rPr>
          <w:rFonts w:cstheme="minorHAnsi"/>
          <w:sz w:val="24"/>
          <w:szCs w:val="24"/>
        </w:rPr>
        <w:t>concepción</w:t>
      </w:r>
      <w:r w:rsidRPr="00785E5B">
        <w:rPr>
          <w:rFonts w:cstheme="minorHAnsi"/>
          <w:sz w:val="24"/>
          <w:szCs w:val="24"/>
        </w:rPr>
        <w:t xml:space="preserve"> d</w:t>
      </w:r>
      <w:r>
        <w:rPr>
          <w:rFonts w:cstheme="minorHAnsi"/>
          <w:sz w:val="24"/>
          <w:szCs w:val="24"/>
        </w:rPr>
        <w:t>el</w:t>
      </w:r>
      <w:r w:rsidRPr="00785E5B">
        <w:rPr>
          <w:rFonts w:cstheme="minorHAnsi"/>
          <w:sz w:val="24"/>
          <w:szCs w:val="24"/>
        </w:rPr>
        <w:t xml:space="preserve"> documento. </w:t>
      </w:r>
      <w:r w:rsidRPr="00ED1851">
        <w:rPr>
          <w:rFonts w:cstheme="minorHAnsi"/>
          <w:sz w:val="24"/>
          <w:szCs w:val="24"/>
          <w:vertAlign w:val="superscript"/>
        </w:rPr>
        <w:t>15,16,</w:t>
      </w:r>
      <w:r w:rsidRPr="00ED1851">
        <w:rPr>
          <w:rFonts w:cstheme="minorHAnsi"/>
          <w:b/>
          <w:bCs/>
          <w:sz w:val="24"/>
          <w:szCs w:val="24"/>
        </w:rPr>
        <w:t xml:space="preserve"> </w:t>
      </w:r>
      <w:r w:rsidRPr="00537F90">
        <w:rPr>
          <w:rFonts w:cstheme="minorHAnsi"/>
          <w:sz w:val="24"/>
          <w:szCs w:val="24"/>
        </w:rPr>
        <w:t xml:space="preserve">En el presente estudio fue posible verificar que la mayoría de las recetas </w:t>
      </w:r>
      <w:r>
        <w:rPr>
          <w:rFonts w:cstheme="minorHAnsi"/>
          <w:sz w:val="24"/>
          <w:szCs w:val="24"/>
        </w:rPr>
        <w:t xml:space="preserve">expedidas </w:t>
      </w:r>
      <w:r w:rsidRPr="00537F90">
        <w:rPr>
          <w:rFonts w:cstheme="minorHAnsi"/>
          <w:sz w:val="24"/>
          <w:szCs w:val="24"/>
        </w:rPr>
        <w:t xml:space="preserve">por los especialistas estaban en desacuerdo con los preceptos ético-legales. </w:t>
      </w:r>
      <w:r>
        <w:rPr>
          <w:rFonts w:cstheme="minorHAnsi"/>
          <w:sz w:val="24"/>
          <w:szCs w:val="24"/>
        </w:rPr>
        <w:t>De acuerdo con lo expuesto en estudios</w:t>
      </w:r>
      <w:r w:rsidRPr="00537F90">
        <w:rPr>
          <w:rFonts w:cstheme="minorHAnsi"/>
          <w:sz w:val="24"/>
          <w:szCs w:val="24"/>
        </w:rPr>
        <w:t xml:space="preserve">, la ausencia de variables obligatorias en la prescripción puede estar asociada con el ahorro de tiempo durante las consultas y el conocimiento inadecuado, lo que lleva a la falta de atención de los profesionales a las cuestiones formales de </w:t>
      </w:r>
      <w:r>
        <w:rPr>
          <w:rFonts w:cstheme="minorHAnsi"/>
          <w:sz w:val="24"/>
          <w:szCs w:val="24"/>
        </w:rPr>
        <w:t>las recetas.</w:t>
      </w:r>
      <w:r>
        <w:rPr>
          <w:rFonts w:cstheme="minorHAnsi"/>
          <w:sz w:val="24"/>
          <w:szCs w:val="24"/>
          <w:vertAlign w:val="superscript"/>
        </w:rPr>
        <w:t>15,16</w:t>
      </w:r>
    </w:p>
    <w:p w:rsidR="006C6B7E" w:rsidRPr="0022479D" w:rsidRDefault="006C6B7E" w:rsidP="006C6B7E">
      <w:pPr>
        <w:spacing w:line="240" w:lineRule="auto"/>
        <w:jc w:val="both"/>
        <w:rPr>
          <w:rFonts w:cstheme="minorHAnsi"/>
          <w:sz w:val="24"/>
          <w:szCs w:val="24"/>
          <w:vertAlign w:val="superscript"/>
        </w:rPr>
      </w:pPr>
      <w:r w:rsidRPr="00ED1851">
        <w:rPr>
          <w:rFonts w:cstheme="minorHAnsi"/>
          <w:sz w:val="24"/>
          <w:szCs w:val="24"/>
        </w:rPr>
        <w:t xml:space="preserve">Teniendo en cuenta las recomendaciones de la Organización Mundial de la Salud (OMS), las </w:t>
      </w:r>
      <w:r>
        <w:rPr>
          <w:rFonts w:cstheme="minorHAnsi"/>
          <w:sz w:val="24"/>
          <w:szCs w:val="24"/>
        </w:rPr>
        <w:t>prescripciones</w:t>
      </w:r>
      <w:r w:rsidRPr="00ED1851">
        <w:rPr>
          <w:rFonts w:cstheme="minorHAnsi"/>
          <w:sz w:val="24"/>
          <w:szCs w:val="24"/>
        </w:rPr>
        <w:t xml:space="preserve"> de medicamentos deben identificar tanto al profesional como al paciente </w:t>
      </w:r>
      <w:r>
        <w:rPr>
          <w:rFonts w:cstheme="minorHAnsi"/>
          <w:sz w:val="24"/>
          <w:szCs w:val="24"/>
        </w:rPr>
        <w:t xml:space="preserve">confiriendo </w:t>
      </w:r>
      <w:r w:rsidRPr="00ED1851">
        <w:rPr>
          <w:rFonts w:cstheme="minorHAnsi"/>
          <w:sz w:val="24"/>
          <w:szCs w:val="24"/>
        </w:rPr>
        <w:t>particularidad al documento.</w:t>
      </w:r>
      <w:r>
        <w:rPr>
          <w:rFonts w:cstheme="minorHAnsi"/>
          <w:sz w:val="24"/>
          <w:szCs w:val="24"/>
          <w:vertAlign w:val="superscript"/>
        </w:rPr>
        <w:t>26</w:t>
      </w:r>
      <w:r w:rsidRPr="00ED1851">
        <w:rPr>
          <w:rFonts w:cstheme="minorHAnsi"/>
          <w:sz w:val="24"/>
          <w:szCs w:val="24"/>
        </w:rPr>
        <w:t xml:space="preserve"> En este contexto, en los documentos analizados se observó que estos datos se omitieron, así como en estudios similares, </w:t>
      </w:r>
      <w:r>
        <w:rPr>
          <w:rFonts w:cstheme="minorHAnsi"/>
          <w:sz w:val="24"/>
          <w:szCs w:val="24"/>
        </w:rPr>
        <w:t xml:space="preserve">considerando </w:t>
      </w:r>
      <w:r w:rsidRPr="00ED1851">
        <w:rPr>
          <w:rFonts w:cstheme="minorHAnsi"/>
          <w:sz w:val="24"/>
          <w:szCs w:val="24"/>
        </w:rPr>
        <w:t xml:space="preserve">la adopción de sistemas de prescripción electrónica por </w:t>
      </w:r>
      <w:r>
        <w:rPr>
          <w:rFonts w:cstheme="minorHAnsi"/>
          <w:sz w:val="24"/>
          <w:szCs w:val="24"/>
        </w:rPr>
        <w:t>gran parte de  los profesionales de la salud.</w:t>
      </w:r>
      <w:r>
        <w:rPr>
          <w:rFonts w:cstheme="minorHAnsi"/>
          <w:sz w:val="24"/>
          <w:szCs w:val="24"/>
          <w:vertAlign w:val="superscript"/>
        </w:rPr>
        <w:t>4,24</w:t>
      </w:r>
      <w:r w:rsidRPr="0022479D">
        <w:rPr>
          <w:rFonts w:cstheme="minorHAnsi"/>
          <w:sz w:val="24"/>
          <w:szCs w:val="24"/>
        </w:rPr>
        <w:t xml:space="preserve">Esto </w:t>
      </w:r>
      <w:r>
        <w:rPr>
          <w:rFonts w:cstheme="minorHAnsi"/>
          <w:sz w:val="24"/>
          <w:szCs w:val="24"/>
        </w:rPr>
        <w:t xml:space="preserve">resalta </w:t>
      </w:r>
      <w:r w:rsidRPr="0022479D">
        <w:rPr>
          <w:rFonts w:cstheme="minorHAnsi"/>
          <w:sz w:val="24"/>
          <w:szCs w:val="24"/>
        </w:rPr>
        <w:t xml:space="preserve">la premisa de que incluso con la prescripción frecuente para algunas especialidades, los dentistas deben </w:t>
      </w:r>
      <w:r>
        <w:rPr>
          <w:rFonts w:cstheme="minorHAnsi"/>
          <w:sz w:val="24"/>
          <w:szCs w:val="24"/>
        </w:rPr>
        <w:t xml:space="preserve">estar aptos </w:t>
      </w:r>
      <w:r w:rsidRPr="0022479D">
        <w:rPr>
          <w:rFonts w:cstheme="minorHAnsi"/>
          <w:sz w:val="24"/>
          <w:szCs w:val="24"/>
        </w:rPr>
        <w:t xml:space="preserve">, calificados y actualizados tanto desde el punto de vista técnico como desde la legislación, </w:t>
      </w:r>
      <w:r>
        <w:rPr>
          <w:rFonts w:cstheme="minorHAnsi"/>
          <w:sz w:val="24"/>
          <w:szCs w:val="24"/>
        </w:rPr>
        <w:t xml:space="preserve">pues </w:t>
      </w:r>
      <w:r w:rsidRPr="0022479D">
        <w:rPr>
          <w:rFonts w:cstheme="minorHAnsi"/>
          <w:sz w:val="24"/>
          <w:szCs w:val="24"/>
        </w:rPr>
        <w:t xml:space="preserve">la falta de </w:t>
      </w:r>
      <w:r>
        <w:rPr>
          <w:rFonts w:cstheme="minorHAnsi"/>
          <w:sz w:val="24"/>
          <w:szCs w:val="24"/>
        </w:rPr>
        <w:t>entrenamiento</w:t>
      </w:r>
      <w:r w:rsidRPr="0022479D">
        <w:rPr>
          <w:rFonts w:cstheme="minorHAnsi"/>
          <w:sz w:val="24"/>
          <w:szCs w:val="24"/>
        </w:rPr>
        <w:t xml:space="preserve"> y conocimientos </w:t>
      </w:r>
      <w:r>
        <w:rPr>
          <w:rFonts w:cstheme="minorHAnsi"/>
          <w:sz w:val="24"/>
          <w:szCs w:val="24"/>
        </w:rPr>
        <w:t xml:space="preserve">acerca de </w:t>
      </w:r>
      <w:r w:rsidRPr="0022479D">
        <w:rPr>
          <w:rFonts w:cstheme="minorHAnsi"/>
          <w:sz w:val="24"/>
          <w:szCs w:val="24"/>
        </w:rPr>
        <w:t xml:space="preserve"> la dispensación de medicamentos puede predisponer los efectos adversos al paciente.</w:t>
      </w:r>
      <w:r>
        <w:rPr>
          <w:rFonts w:cstheme="minorHAnsi"/>
          <w:sz w:val="24"/>
          <w:szCs w:val="24"/>
          <w:vertAlign w:val="superscript"/>
        </w:rPr>
        <w:t>25,26</w:t>
      </w:r>
    </w:p>
    <w:p w:rsidR="006C6B7E" w:rsidRPr="00C23D8A" w:rsidRDefault="006C6B7E" w:rsidP="006C6B7E">
      <w:pPr>
        <w:spacing w:line="240" w:lineRule="auto"/>
        <w:jc w:val="both"/>
        <w:rPr>
          <w:rFonts w:cstheme="minorHAnsi"/>
          <w:sz w:val="24"/>
          <w:szCs w:val="24"/>
          <w:vertAlign w:val="superscript"/>
        </w:rPr>
      </w:pPr>
      <w:r w:rsidRPr="005B7938">
        <w:rPr>
          <w:rFonts w:cstheme="minorHAnsi"/>
          <w:sz w:val="24"/>
          <w:szCs w:val="24"/>
        </w:rPr>
        <w:t xml:space="preserve">En esta investigación, la fecha de emisión del documento, la firma del profesional y el </w:t>
      </w:r>
      <w:r>
        <w:rPr>
          <w:rFonts w:cstheme="minorHAnsi"/>
          <w:sz w:val="24"/>
          <w:szCs w:val="24"/>
        </w:rPr>
        <w:t xml:space="preserve">cuño </w:t>
      </w:r>
      <w:r w:rsidRPr="005B7938">
        <w:rPr>
          <w:rFonts w:cstheme="minorHAnsi"/>
          <w:sz w:val="24"/>
          <w:szCs w:val="24"/>
        </w:rPr>
        <w:t xml:space="preserve">no estaban presentes en al menos la mitad de las recetas </w:t>
      </w:r>
      <w:r>
        <w:rPr>
          <w:rFonts w:cstheme="minorHAnsi"/>
          <w:sz w:val="24"/>
          <w:szCs w:val="24"/>
        </w:rPr>
        <w:t>odontológicas,</w:t>
      </w:r>
      <w:r w:rsidRPr="005B7938">
        <w:rPr>
          <w:rFonts w:cstheme="minorHAnsi"/>
          <w:sz w:val="24"/>
          <w:szCs w:val="24"/>
        </w:rPr>
        <w:t xml:space="preserve"> según los estudios de </w:t>
      </w:r>
      <w:proofErr w:type="spellStart"/>
      <w:r w:rsidRPr="005B7938">
        <w:rPr>
          <w:rFonts w:cstheme="minorHAnsi"/>
          <w:sz w:val="24"/>
          <w:szCs w:val="24"/>
        </w:rPr>
        <w:t>Mastroianni</w:t>
      </w:r>
      <w:proofErr w:type="spellEnd"/>
      <w:r w:rsidRPr="005B7938">
        <w:rPr>
          <w:rFonts w:cstheme="minorHAnsi"/>
          <w:sz w:val="24"/>
          <w:szCs w:val="24"/>
        </w:rPr>
        <w:t xml:space="preserve"> y </w:t>
      </w:r>
      <w:proofErr w:type="spellStart"/>
      <w:r w:rsidRPr="005B7938">
        <w:rPr>
          <w:rFonts w:cstheme="minorHAnsi"/>
          <w:sz w:val="24"/>
          <w:szCs w:val="24"/>
        </w:rPr>
        <w:t>Mendon</w:t>
      </w:r>
      <w:r>
        <w:rPr>
          <w:rFonts w:cstheme="minorHAnsi"/>
          <w:sz w:val="24"/>
          <w:szCs w:val="24"/>
        </w:rPr>
        <w:t>ça</w:t>
      </w:r>
      <w:proofErr w:type="spellEnd"/>
      <w:r w:rsidRPr="005B7938">
        <w:rPr>
          <w:rFonts w:cstheme="minorHAnsi"/>
          <w:sz w:val="24"/>
          <w:szCs w:val="24"/>
        </w:rPr>
        <w:t xml:space="preserve"> et al.  </w:t>
      </w:r>
      <w:r w:rsidRPr="00C23D8A">
        <w:rPr>
          <w:rFonts w:cstheme="minorHAnsi"/>
          <w:sz w:val="24"/>
          <w:szCs w:val="24"/>
        </w:rPr>
        <w:t xml:space="preserve">La presencia de esta dimensión en las prescripciones es esencial para evitar la reutilización del documento y/o el uso ilícito de los </w:t>
      </w:r>
      <w:r>
        <w:rPr>
          <w:rFonts w:cstheme="minorHAnsi"/>
          <w:sz w:val="24"/>
          <w:szCs w:val="24"/>
        </w:rPr>
        <w:t>medicamentos</w:t>
      </w:r>
      <w:r w:rsidRPr="00C23D8A">
        <w:rPr>
          <w:rFonts w:cstheme="minorHAnsi"/>
          <w:sz w:val="24"/>
          <w:szCs w:val="24"/>
        </w:rPr>
        <w:t>.</w:t>
      </w:r>
      <w:r w:rsidRPr="00C23D8A">
        <w:rPr>
          <w:rFonts w:cstheme="minorHAnsi"/>
          <w:sz w:val="24"/>
          <w:szCs w:val="24"/>
          <w:vertAlign w:val="superscript"/>
        </w:rPr>
        <w:t xml:space="preserve">17 </w:t>
      </w:r>
      <w:r w:rsidRPr="00C23D8A">
        <w:rPr>
          <w:rFonts w:cstheme="minorHAnsi"/>
          <w:sz w:val="24"/>
          <w:szCs w:val="24"/>
        </w:rPr>
        <w:t xml:space="preserve">Además, debe estar presente el número de registro y especialidad en el Consejo Regional </w:t>
      </w:r>
      <w:r w:rsidRPr="00C23D8A">
        <w:rPr>
          <w:rFonts w:cstheme="minorHAnsi"/>
          <w:sz w:val="24"/>
          <w:szCs w:val="24"/>
        </w:rPr>
        <w:lastRenderedPageBreak/>
        <w:t xml:space="preserve">de Odontología (CRO), lo que permite profesional </w:t>
      </w:r>
      <w:r>
        <w:rPr>
          <w:rFonts w:cstheme="minorHAnsi"/>
          <w:sz w:val="24"/>
          <w:szCs w:val="24"/>
        </w:rPr>
        <w:t xml:space="preserve">la </w:t>
      </w:r>
      <w:r w:rsidRPr="00C23D8A">
        <w:rPr>
          <w:rFonts w:cstheme="minorHAnsi"/>
          <w:sz w:val="24"/>
          <w:szCs w:val="24"/>
        </w:rPr>
        <w:t>identifica</w:t>
      </w:r>
      <w:r>
        <w:rPr>
          <w:rFonts w:cstheme="minorHAnsi"/>
          <w:sz w:val="24"/>
          <w:szCs w:val="24"/>
        </w:rPr>
        <w:t xml:space="preserve">ción del profesional </w:t>
      </w:r>
      <w:r w:rsidRPr="00C23D8A">
        <w:rPr>
          <w:rFonts w:cstheme="minorHAnsi"/>
          <w:sz w:val="24"/>
          <w:szCs w:val="24"/>
        </w:rPr>
        <w:t>adecuadamente y salvaguardar</w:t>
      </w:r>
      <w:r>
        <w:rPr>
          <w:rFonts w:cstheme="minorHAnsi"/>
          <w:sz w:val="24"/>
          <w:szCs w:val="24"/>
        </w:rPr>
        <w:t>lo</w:t>
      </w:r>
      <w:r w:rsidRPr="00C23D8A">
        <w:rPr>
          <w:rFonts w:cstheme="minorHAnsi"/>
          <w:sz w:val="24"/>
          <w:szCs w:val="24"/>
        </w:rPr>
        <w:t xml:space="preserve"> contra el fraude y las falsificaciones </w:t>
      </w:r>
      <w:r>
        <w:rPr>
          <w:rFonts w:cstheme="minorHAnsi"/>
          <w:sz w:val="24"/>
          <w:szCs w:val="24"/>
        </w:rPr>
        <w:t>d</w:t>
      </w:r>
      <w:r w:rsidRPr="00C23D8A">
        <w:rPr>
          <w:rFonts w:cstheme="minorHAnsi"/>
          <w:sz w:val="24"/>
          <w:szCs w:val="24"/>
        </w:rPr>
        <w:t>ocumental</w:t>
      </w:r>
      <w:r>
        <w:rPr>
          <w:rFonts w:cstheme="minorHAnsi"/>
          <w:sz w:val="24"/>
          <w:szCs w:val="24"/>
        </w:rPr>
        <w:t>es</w:t>
      </w:r>
      <w:r w:rsidRPr="00C23D8A">
        <w:rPr>
          <w:rFonts w:cstheme="minorHAnsi"/>
          <w:sz w:val="24"/>
          <w:szCs w:val="24"/>
        </w:rPr>
        <w:t>.</w:t>
      </w:r>
      <w:r w:rsidRPr="00C23D8A">
        <w:rPr>
          <w:rFonts w:cstheme="minorHAnsi"/>
          <w:b/>
          <w:bCs/>
          <w:sz w:val="24"/>
          <w:szCs w:val="24"/>
          <w:vertAlign w:val="superscript"/>
        </w:rPr>
        <w:t>17,18</w:t>
      </w:r>
    </w:p>
    <w:p w:rsidR="006C6B7E" w:rsidRPr="00ED152E" w:rsidRDefault="006C6B7E" w:rsidP="006C6B7E">
      <w:pPr>
        <w:spacing w:line="240" w:lineRule="auto"/>
        <w:jc w:val="both"/>
        <w:rPr>
          <w:rFonts w:cstheme="minorHAnsi"/>
          <w:b/>
          <w:bCs/>
          <w:sz w:val="24"/>
          <w:szCs w:val="24"/>
        </w:rPr>
      </w:pPr>
      <w:r w:rsidRPr="00ED152E">
        <w:rPr>
          <w:rFonts w:cstheme="minorHAnsi"/>
          <w:sz w:val="24"/>
          <w:szCs w:val="24"/>
        </w:rPr>
        <w:t xml:space="preserve">La inscripción es el cuerpo de la receta en la cual se especifican los medicamentos a recetar, así como la dosis y forma farmacéutica. </w:t>
      </w:r>
      <w:r w:rsidRPr="00ED152E">
        <w:rPr>
          <w:rFonts w:cstheme="minorHAnsi"/>
          <w:sz w:val="24"/>
          <w:szCs w:val="24"/>
          <w:vertAlign w:val="superscript"/>
        </w:rPr>
        <w:t>27</w:t>
      </w:r>
      <w:r w:rsidRPr="00ED152E">
        <w:rPr>
          <w:rFonts w:cstheme="minorHAnsi"/>
          <w:sz w:val="24"/>
          <w:szCs w:val="24"/>
        </w:rPr>
        <w:t xml:space="preserve"> Se observó en las recetas </w:t>
      </w:r>
      <w:r>
        <w:rPr>
          <w:rFonts w:cstheme="minorHAnsi"/>
          <w:sz w:val="24"/>
          <w:szCs w:val="24"/>
        </w:rPr>
        <w:t xml:space="preserve">odontológicas </w:t>
      </w:r>
      <w:r w:rsidRPr="00ED152E">
        <w:rPr>
          <w:rFonts w:cstheme="minorHAnsi"/>
          <w:sz w:val="24"/>
          <w:szCs w:val="24"/>
        </w:rPr>
        <w:t>reportadas por los especialistas que la indicación del principio activo era más recurrente</w:t>
      </w:r>
      <w:r w:rsidRPr="00C23D8A">
        <w:rPr>
          <w:rFonts w:cstheme="minorHAnsi"/>
          <w:b/>
          <w:bCs/>
          <w:sz w:val="24"/>
          <w:szCs w:val="24"/>
        </w:rPr>
        <w:t>.</w:t>
      </w:r>
      <w:r w:rsidRPr="00ED152E">
        <w:rPr>
          <w:rFonts w:cstheme="minorHAnsi"/>
          <w:sz w:val="24"/>
          <w:szCs w:val="24"/>
        </w:rPr>
        <w:t xml:space="preserve"> Sin embargo, en ciertos documentos </w:t>
      </w:r>
      <w:r>
        <w:rPr>
          <w:rFonts w:cstheme="minorHAnsi"/>
          <w:sz w:val="24"/>
          <w:szCs w:val="24"/>
        </w:rPr>
        <w:t xml:space="preserve">constaba </w:t>
      </w:r>
      <w:r w:rsidRPr="00ED152E">
        <w:rPr>
          <w:rFonts w:cstheme="minorHAnsi"/>
          <w:sz w:val="24"/>
          <w:szCs w:val="24"/>
        </w:rPr>
        <w:t xml:space="preserve">sólo el nombre comercial del medicamento, así como en el estudio realizado por Carvalho et al., </w:t>
      </w:r>
      <w:r>
        <w:rPr>
          <w:rFonts w:cstheme="minorHAnsi"/>
          <w:sz w:val="24"/>
          <w:szCs w:val="24"/>
        </w:rPr>
        <w:t xml:space="preserve">en contraposición </w:t>
      </w:r>
      <w:r w:rsidRPr="00ED152E">
        <w:rPr>
          <w:rFonts w:cstheme="minorHAnsi"/>
          <w:sz w:val="24"/>
          <w:szCs w:val="24"/>
        </w:rPr>
        <w:t>de la legislación brasileña</w:t>
      </w:r>
      <w:r>
        <w:rPr>
          <w:rFonts w:cstheme="minorHAnsi"/>
          <w:sz w:val="24"/>
          <w:szCs w:val="24"/>
        </w:rPr>
        <w:t xml:space="preserve"> donde </w:t>
      </w:r>
      <w:r w:rsidRPr="00ED152E">
        <w:rPr>
          <w:rFonts w:cstheme="minorHAnsi"/>
          <w:sz w:val="24"/>
          <w:szCs w:val="24"/>
        </w:rPr>
        <w:t xml:space="preserve"> </w:t>
      </w:r>
      <w:r>
        <w:rPr>
          <w:rFonts w:cstheme="minorHAnsi"/>
          <w:sz w:val="24"/>
          <w:szCs w:val="24"/>
        </w:rPr>
        <w:t xml:space="preserve">el </w:t>
      </w:r>
      <w:r w:rsidRPr="00ED152E">
        <w:rPr>
          <w:rFonts w:cstheme="minorHAnsi"/>
          <w:sz w:val="24"/>
          <w:szCs w:val="24"/>
        </w:rPr>
        <w:t>nombre genérico de</w:t>
      </w:r>
      <w:r>
        <w:rPr>
          <w:rFonts w:cstheme="minorHAnsi"/>
          <w:sz w:val="24"/>
          <w:szCs w:val="24"/>
        </w:rPr>
        <w:t xml:space="preserve">l fármaco es obligatorio </w:t>
      </w:r>
      <w:r w:rsidRPr="00ED152E">
        <w:rPr>
          <w:rFonts w:cstheme="minorHAnsi"/>
          <w:sz w:val="24"/>
          <w:szCs w:val="24"/>
        </w:rPr>
        <w:t xml:space="preserve"> en los documentos </w:t>
      </w:r>
      <w:r>
        <w:rPr>
          <w:rFonts w:cstheme="minorHAnsi"/>
          <w:sz w:val="24"/>
          <w:szCs w:val="24"/>
        </w:rPr>
        <w:t xml:space="preserve">de orden </w:t>
      </w:r>
      <w:r w:rsidRPr="00ED152E">
        <w:rPr>
          <w:rFonts w:cstheme="minorHAnsi"/>
          <w:sz w:val="24"/>
          <w:szCs w:val="24"/>
        </w:rPr>
        <w:t>médic</w:t>
      </w:r>
      <w:r>
        <w:rPr>
          <w:rFonts w:cstheme="minorHAnsi"/>
          <w:sz w:val="24"/>
          <w:szCs w:val="24"/>
        </w:rPr>
        <w:t>a</w:t>
      </w:r>
      <w:r w:rsidRPr="00ED152E">
        <w:rPr>
          <w:rFonts w:cstheme="minorHAnsi"/>
          <w:sz w:val="24"/>
          <w:szCs w:val="24"/>
        </w:rPr>
        <w:t xml:space="preserve"> y/</w:t>
      </w:r>
      <w:proofErr w:type="spellStart"/>
      <w:r w:rsidRPr="00ED152E">
        <w:rPr>
          <w:rFonts w:cstheme="minorHAnsi"/>
          <w:sz w:val="24"/>
          <w:szCs w:val="24"/>
        </w:rPr>
        <w:t>o</w:t>
      </w:r>
      <w:proofErr w:type="spellEnd"/>
      <w:r w:rsidRPr="00ED152E">
        <w:rPr>
          <w:rFonts w:cstheme="minorHAnsi"/>
          <w:sz w:val="24"/>
          <w:szCs w:val="24"/>
        </w:rPr>
        <w:t xml:space="preserve"> </w:t>
      </w:r>
      <w:r>
        <w:rPr>
          <w:rFonts w:cstheme="minorHAnsi"/>
          <w:sz w:val="24"/>
          <w:szCs w:val="24"/>
        </w:rPr>
        <w:t xml:space="preserve">odontológica </w:t>
      </w:r>
      <w:r w:rsidRPr="00ED152E">
        <w:rPr>
          <w:rFonts w:cstheme="minorHAnsi"/>
          <w:sz w:val="24"/>
          <w:szCs w:val="24"/>
        </w:rPr>
        <w:t>.</w:t>
      </w:r>
      <w:r w:rsidRPr="00ED152E">
        <w:rPr>
          <w:rFonts w:cstheme="minorHAnsi"/>
          <w:sz w:val="24"/>
          <w:szCs w:val="24"/>
          <w:vertAlign w:val="superscript"/>
        </w:rPr>
        <w:t>28</w:t>
      </w:r>
      <w:r w:rsidRPr="00ED152E">
        <w:rPr>
          <w:rFonts w:cstheme="minorHAnsi"/>
          <w:sz w:val="24"/>
          <w:szCs w:val="24"/>
        </w:rPr>
        <w:t xml:space="preserve"> La presencia de esta variable</w:t>
      </w:r>
      <w:r>
        <w:rPr>
          <w:rFonts w:cstheme="minorHAnsi"/>
          <w:sz w:val="24"/>
          <w:szCs w:val="24"/>
        </w:rPr>
        <w:t>,</w:t>
      </w:r>
      <w:r w:rsidRPr="00ED152E">
        <w:rPr>
          <w:rFonts w:cstheme="minorHAnsi"/>
          <w:sz w:val="24"/>
          <w:szCs w:val="24"/>
        </w:rPr>
        <w:t xml:space="preserve"> permite una mayor accesibilidad a la compra de medicamentos, además de la elección del paciente entre los productos más baratos, seguros y eficaces, equivalentes a los de la marca</w:t>
      </w:r>
      <w:r>
        <w:rPr>
          <w:rFonts w:cstheme="minorHAnsi"/>
          <w:sz w:val="24"/>
          <w:szCs w:val="24"/>
        </w:rPr>
        <w:t xml:space="preserve"> comercial </w:t>
      </w:r>
      <w:r w:rsidRPr="00ED152E">
        <w:rPr>
          <w:rFonts w:cstheme="minorHAnsi"/>
          <w:sz w:val="24"/>
          <w:szCs w:val="24"/>
        </w:rPr>
        <w:t xml:space="preserve"> de referencia. </w:t>
      </w:r>
      <w:r w:rsidRPr="00ED152E">
        <w:rPr>
          <w:rFonts w:cstheme="minorHAnsi"/>
          <w:sz w:val="24"/>
          <w:szCs w:val="24"/>
          <w:vertAlign w:val="superscript"/>
        </w:rPr>
        <w:t>19, 20,21</w:t>
      </w:r>
    </w:p>
    <w:p w:rsidR="006C6B7E" w:rsidRPr="00C260F8" w:rsidRDefault="006C6B7E" w:rsidP="006C6B7E">
      <w:pPr>
        <w:spacing w:line="240" w:lineRule="auto"/>
        <w:jc w:val="both"/>
        <w:rPr>
          <w:rFonts w:cstheme="minorHAnsi"/>
          <w:sz w:val="24"/>
          <w:szCs w:val="24"/>
        </w:rPr>
      </w:pPr>
      <w:r w:rsidRPr="00ED152E">
        <w:rPr>
          <w:rFonts w:cstheme="minorHAnsi"/>
          <w:sz w:val="24"/>
          <w:szCs w:val="24"/>
        </w:rPr>
        <w:t xml:space="preserve">En este estudio, se percibió que las recomendaciones relacionadas con el uso de medicamentos no se describieron en gran parte de los documentos analizados. </w:t>
      </w:r>
      <w:r>
        <w:rPr>
          <w:rFonts w:cstheme="minorHAnsi"/>
          <w:sz w:val="24"/>
          <w:szCs w:val="24"/>
        </w:rPr>
        <w:t xml:space="preserve">De acuerdo con </w:t>
      </w:r>
      <w:r w:rsidRPr="00ED152E">
        <w:rPr>
          <w:rFonts w:cstheme="minorHAnsi"/>
          <w:sz w:val="24"/>
          <w:szCs w:val="24"/>
        </w:rPr>
        <w:t xml:space="preserve">el estudio de </w:t>
      </w:r>
      <w:proofErr w:type="spellStart"/>
      <w:r w:rsidRPr="00ED152E">
        <w:rPr>
          <w:rFonts w:cstheme="minorHAnsi"/>
          <w:sz w:val="24"/>
          <w:szCs w:val="24"/>
        </w:rPr>
        <w:t>Dyasanoor</w:t>
      </w:r>
      <w:proofErr w:type="spellEnd"/>
      <w:r w:rsidRPr="00ED152E">
        <w:rPr>
          <w:rFonts w:cstheme="minorHAnsi"/>
          <w:sz w:val="24"/>
          <w:szCs w:val="24"/>
        </w:rPr>
        <w:t xml:space="preserve"> et al, la ausencia de orientaciones escritas puede estar intrínsecamente asociada con la prescripción verbalizada al paciente, lo que implica errores en el uso de </w:t>
      </w:r>
      <w:r>
        <w:rPr>
          <w:rFonts w:cstheme="minorHAnsi"/>
          <w:sz w:val="24"/>
          <w:szCs w:val="24"/>
        </w:rPr>
        <w:t xml:space="preserve">medicamentos </w:t>
      </w:r>
      <w:r w:rsidRPr="00ED152E">
        <w:rPr>
          <w:rFonts w:cstheme="minorHAnsi"/>
          <w:sz w:val="24"/>
          <w:szCs w:val="24"/>
        </w:rPr>
        <w:t xml:space="preserve">debido a la barrera </w:t>
      </w:r>
      <w:proofErr w:type="spellStart"/>
      <w:r w:rsidRPr="00ED152E">
        <w:rPr>
          <w:rFonts w:cstheme="minorHAnsi"/>
          <w:sz w:val="24"/>
          <w:szCs w:val="24"/>
        </w:rPr>
        <w:t>linguística</w:t>
      </w:r>
      <w:proofErr w:type="spellEnd"/>
      <w:r w:rsidRPr="00ED152E">
        <w:rPr>
          <w:rFonts w:cstheme="minorHAnsi"/>
          <w:sz w:val="24"/>
          <w:szCs w:val="24"/>
        </w:rPr>
        <w:t xml:space="preserve"> entre </w:t>
      </w:r>
      <w:r>
        <w:rPr>
          <w:rFonts w:cstheme="minorHAnsi"/>
          <w:sz w:val="24"/>
          <w:szCs w:val="24"/>
        </w:rPr>
        <w:t>profesional y paciente.</w:t>
      </w:r>
      <w:r>
        <w:rPr>
          <w:rFonts w:cstheme="minorHAnsi"/>
          <w:sz w:val="24"/>
          <w:szCs w:val="24"/>
          <w:vertAlign w:val="superscript"/>
        </w:rPr>
        <w:t>29</w:t>
      </w:r>
      <w:r>
        <w:rPr>
          <w:rFonts w:cstheme="minorHAnsi"/>
          <w:sz w:val="24"/>
          <w:szCs w:val="24"/>
        </w:rPr>
        <w:t xml:space="preserve"> </w:t>
      </w:r>
      <w:r w:rsidRPr="00ED152E">
        <w:rPr>
          <w:rFonts w:cstheme="minorHAnsi"/>
          <w:sz w:val="24"/>
          <w:szCs w:val="24"/>
        </w:rPr>
        <w:t>Del mismo modo, en otras investigaciones,</w:t>
      </w:r>
      <w:r>
        <w:rPr>
          <w:rFonts w:cstheme="minorHAnsi"/>
          <w:sz w:val="24"/>
          <w:szCs w:val="24"/>
        </w:rPr>
        <w:t xml:space="preserve"> se asocia </w:t>
      </w:r>
      <w:r w:rsidRPr="00ED152E">
        <w:rPr>
          <w:rFonts w:cstheme="minorHAnsi"/>
          <w:sz w:val="24"/>
          <w:szCs w:val="24"/>
        </w:rPr>
        <w:t>la ausencia de la variable</w:t>
      </w:r>
      <w:r>
        <w:rPr>
          <w:rFonts w:cstheme="minorHAnsi"/>
          <w:sz w:val="24"/>
          <w:szCs w:val="24"/>
        </w:rPr>
        <w:t xml:space="preserve">, </w:t>
      </w:r>
      <w:r w:rsidRPr="00ED152E">
        <w:rPr>
          <w:rFonts w:cstheme="minorHAnsi"/>
          <w:sz w:val="24"/>
          <w:szCs w:val="24"/>
        </w:rPr>
        <w:t xml:space="preserve">como el principal factor que induce los errores en la dispensación de medicamentos y el deterioro de la calidad y eficacia del tratamiento, haciendo al profesional vulnerable a los litigios debido a la falta de dominio de conceptos y normas que implican la elaboración de recetas </w:t>
      </w:r>
      <w:r>
        <w:rPr>
          <w:rFonts w:cstheme="minorHAnsi"/>
          <w:sz w:val="24"/>
          <w:szCs w:val="24"/>
        </w:rPr>
        <w:t>odontológicas.</w:t>
      </w:r>
      <w:r w:rsidRPr="00ED152E">
        <w:rPr>
          <w:rFonts w:cstheme="minorHAnsi"/>
          <w:sz w:val="24"/>
          <w:szCs w:val="24"/>
        </w:rPr>
        <w:t xml:space="preserve"> </w:t>
      </w:r>
      <w:r w:rsidRPr="00C260F8">
        <w:rPr>
          <w:rFonts w:cstheme="minorHAnsi"/>
          <w:sz w:val="24"/>
          <w:szCs w:val="24"/>
          <w:vertAlign w:val="superscript"/>
        </w:rPr>
        <w:t>23,24,28</w:t>
      </w:r>
    </w:p>
    <w:p w:rsidR="006C6B7E" w:rsidRPr="00B8612E" w:rsidRDefault="006C6B7E" w:rsidP="006C6B7E">
      <w:pPr>
        <w:spacing w:line="240" w:lineRule="auto"/>
        <w:jc w:val="both"/>
        <w:rPr>
          <w:rFonts w:cstheme="minorHAnsi"/>
          <w:sz w:val="24"/>
          <w:szCs w:val="24"/>
        </w:rPr>
      </w:pPr>
      <w:r w:rsidRPr="00C260F8">
        <w:rPr>
          <w:rFonts w:cstheme="minorHAnsi"/>
          <w:sz w:val="24"/>
          <w:szCs w:val="24"/>
        </w:rPr>
        <w:t xml:space="preserve">En el caso de los profesionales de la salud </w:t>
      </w:r>
      <w:r>
        <w:rPr>
          <w:rFonts w:cstheme="minorHAnsi"/>
          <w:sz w:val="24"/>
          <w:szCs w:val="24"/>
        </w:rPr>
        <w:t>aptos para prescripción de recetas</w:t>
      </w:r>
      <w:r w:rsidRPr="00C260F8">
        <w:rPr>
          <w:rFonts w:cstheme="minorHAnsi"/>
          <w:sz w:val="24"/>
          <w:szCs w:val="24"/>
        </w:rPr>
        <w:t>, fue posible verificar que los dentistas especialistas se enfrentar</w:t>
      </w:r>
      <w:r>
        <w:rPr>
          <w:rFonts w:cstheme="minorHAnsi"/>
          <w:sz w:val="24"/>
          <w:szCs w:val="24"/>
        </w:rPr>
        <w:t>o</w:t>
      </w:r>
      <w:r w:rsidRPr="00C260F8">
        <w:rPr>
          <w:rFonts w:cstheme="minorHAnsi"/>
          <w:sz w:val="24"/>
          <w:szCs w:val="24"/>
        </w:rPr>
        <w:t xml:space="preserve">n a imprecisiones en la </w:t>
      </w:r>
      <w:r>
        <w:rPr>
          <w:rFonts w:cstheme="minorHAnsi"/>
          <w:sz w:val="24"/>
          <w:szCs w:val="24"/>
        </w:rPr>
        <w:t>elaboración</w:t>
      </w:r>
      <w:r w:rsidRPr="00C260F8">
        <w:rPr>
          <w:rFonts w:cstheme="minorHAnsi"/>
          <w:sz w:val="24"/>
          <w:szCs w:val="24"/>
        </w:rPr>
        <w:t xml:space="preserve"> del documento en al menos una dimensión, evidenciando la falta de actualización tanto </w:t>
      </w:r>
      <w:r>
        <w:rPr>
          <w:rFonts w:cstheme="minorHAnsi"/>
          <w:sz w:val="24"/>
          <w:szCs w:val="24"/>
        </w:rPr>
        <w:t xml:space="preserve">desde el punto de vista </w:t>
      </w:r>
      <w:r w:rsidRPr="00C260F8">
        <w:rPr>
          <w:rFonts w:cstheme="minorHAnsi"/>
          <w:sz w:val="24"/>
          <w:szCs w:val="24"/>
        </w:rPr>
        <w:t>técnic</w:t>
      </w:r>
      <w:r>
        <w:rPr>
          <w:rFonts w:cstheme="minorHAnsi"/>
          <w:sz w:val="24"/>
          <w:szCs w:val="24"/>
        </w:rPr>
        <w:t>o</w:t>
      </w:r>
      <w:r w:rsidRPr="00C260F8">
        <w:rPr>
          <w:rFonts w:cstheme="minorHAnsi"/>
          <w:sz w:val="24"/>
          <w:szCs w:val="24"/>
        </w:rPr>
        <w:t xml:space="preserve">, así como </w:t>
      </w:r>
      <w:r>
        <w:rPr>
          <w:rFonts w:cstheme="minorHAnsi"/>
          <w:sz w:val="24"/>
          <w:szCs w:val="24"/>
        </w:rPr>
        <w:t xml:space="preserve">de </w:t>
      </w:r>
      <w:r w:rsidRPr="00C260F8">
        <w:rPr>
          <w:rFonts w:cstheme="minorHAnsi"/>
          <w:sz w:val="24"/>
          <w:szCs w:val="24"/>
        </w:rPr>
        <w:t xml:space="preserve">la legislación pertinente para la provisión de ingresos. </w:t>
      </w:r>
      <w:r w:rsidRPr="00276B98">
        <w:rPr>
          <w:rFonts w:cstheme="minorHAnsi"/>
          <w:sz w:val="24"/>
          <w:szCs w:val="24"/>
          <w:vertAlign w:val="superscript"/>
        </w:rPr>
        <w:t>25</w:t>
      </w:r>
      <w:r w:rsidRPr="00C260F8">
        <w:rPr>
          <w:rFonts w:cstheme="minorHAnsi"/>
          <w:sz w:val="24"/>
          <w:szCs w:val="24"/>
        </w:rPr>
        <w:t xml:space="preserve"> Por otra parte, los dentistas tienen la responsabilidad de conocer los aspectos farmacológicos de lo que prescriben, a fin de no convertirse sólo</w:t>
      </w:r>
      <w:r>
        <w:rPr>
          <w:rFonts w:cstheme="minorHAnsi"/>
          <w:sz w:val="24"/>
          <w:szCs w:val="24"/>
        </w:rPr>
        <w:t xml:space="preserve"> en</w:t>
      </w:r>
      <w:r w:rsidRPr="00C260F8">
        <w:rPr>
          <w:rFonts w:cstheme="minorHAnsi"/>
          <w:sz w:val="24"/>
          <w:szCs w:val="24"/>
        </w:rPr>
        <w:t xml:space="preserve"> "repetidores de </w:t>
      </w:r>
      <w:r>
        <w:rPr>
          <w:rFonts w:cstheme="minorHAnsi"/>
          <w:sz w:val="24"/>
          <w:szCs w:val="24"/>
        </w:rPr>
        <w:t xml:space="preserve">prospectos </w:t>
      </w:r>
      <w:r w:rsidRPr="00C260F8">
        <w:rPr>
          <w:rFonts w:cstheme="minorHAnsi"/>
          <w:sz w:val="24"/>
          <w:szCs w:val="24"/>
        </w:rPr>
        <w:t>".</w:t>
      </w:r>
      <w:r w:rsidRPr="00B8612E">
        <w:rPr>
          <w:rFonts w:cstheme="minorHAnsi"/>
          <w:sz w:val="24"/>
          <w:szCs w:val="24"/>
          <w:vertAlign w:val="superscript"/>
        </w:rPr>
        <w:t>4</w:t>
      </w:r>
    </w:p>
    <w:p w:rsidR="006C6B7E" w:rsidRPr="00B8612E" w:rsidRDefault="006C6B7E" w:rsidP="006C6B7E">
      <w:pPr>
        <w:spacing w:line="240" w:lineRule="auto"/>
        <w:jc w:val="both"/>
        <w:rPr>
          <w:rFonts w:cstheme="minorHAnsi"/>
          <w:sz w:val="24"/>
          <w:szCs w:val="24"/>
        </w:rPr>
      </w:pPr>
      <w:r w:rsidRPr="00B8612E">
        <w:rPr>
          <w:rFonts w:cstheme="minorHAnsi"/>
          <w:sz w:val="24"/>
          <w:szCs w:val="24"/>
        </w:rPr>
        <w:t xml:space="preserve">Es necesario que el medicamento recetado no </w:t>
      </w:r>
      <w:r>
        <w:rPr>
          <w:rFonts w:cstheme="minorHAnsi"/>
          <w:sz w:val="24"/>
          <w:szCs w:val="24"/>
        </w:rPr>
        <w:t xml:space="preserve">sea visto solamente como </w:t>
      </w:r>
      <w:r w:rsidRPr="00B8612E">
        <w:rPr>
          <w:rFonts w:cstheme="minorHAnsi"/>
          <w:sz w:val="24"/>
          <w:szCs w:val="24"/>
        </w:rPr>
        <w:t xml:space="preserve">un documento terapéutico, sino más bien como </w:t>
      </w:r>
      <w:r>
        <w:rPr>
          <w:rFonts w:cstheme="minorHAnsi"/>
          <w:sz w:val="24"/>
          <w:szCs w:val="24"/>
        </w:rPr>
        <w:t>la</w:t>
      </w:r>
      <w:r w:rsidRPr="00B8612E">
        <w:rPr>
          <w:rFonts w:cstheme="minorHAnsi"/>
          <w:sz w:val="24"/>
          <w:szCs w:val="24"/>
        </w:rPr>
        <w:t xml:space="preserve"> forma </w:t>
      </w:r>
      <w:r>
        <w:rPr>
          <w:rFonts w:cstheme="minorHAnsi"/>
          <w:sz w:val="24"/>
          <w:szCs w:val="24"/>
        </w:rPr>
        <w:t>de</w:t>
      </w:r>
      <w:r w:rsidRPr="00B8612E">
        <w:rPr>
          <w:rFonts w:cstheme="minorHAnsi"/>
          <w:sz w:val="24"/>
          <w:szCs w:val="24"/>
        </w:rPr>
        <w:t xml:space="preserve"> protege</w:t>
      </w:r>
      <w:r>
        <w:rPr>
          <w:rFonts w:cstheme="minorHAnsi"/>
          <w:sz w:val="24"/>
          <w:szCs w:val="24"/>
        </w:rPr>
        <w:t>r</w:t>
      </w:r>
      <w:r w:rsidRPr="00B8612E">
        <w:rPr>
          <w:rFonts w:cstheme="minorHAnsi"/>
          <w:sz w:val="24"/>
          <w:szCs w:val="24"/>
        </w:rPr>
        <w:t xml:space="preserve"> al dentista de los impases judiciales. Por esta razón, el profesional debe entender los aspectos ético-</w:t>
      </w:r>
      <w:r>
        <w:rPr>
          <w:rFonts w:cstheme="minorHAnsi"/>
          <w:sz w:val="24"/>
          <w:szCs w:val="24"/>
        </w:rPr>
        <w:t>legales</w:t>
      </w:r>
      <w:r w:rsidRPr="00B8612E">
        <w:rPr>
          <w:rFonts w:cstheme="minorHAnsi"/>
          <w:sz w:val="24"/>
          <w:szCs w:val="24"/>
        </w:rPr>
        <w:t xml:space="preserve"> y técnico-farmacológicos </w:t>
      </w:r>
      <w:r>
        <w:rPr>
          <w:rFonts w:cstheme="minorHAnsi"/>
          <w:sz w:val="24"/>
          <w:szCs w:val="24"/>
        </w:rPr>
        <w:t xml:space="preserve">para </w:t>
      </w:r>
      <w:r w:rsidRPr="00B8612E">
        <w:rPr>
          <w:rFonts w:cstheme="minorHAnsi"/>
          <w:sz w:val="24"/>
          <w:szCs w:val="24"/>
        </w:rPr>
        <w:t>prescribir</w:t>
      </w:r>
      <w:r>
        <w:rPr>
          <w:rFonts w:cstheme="minorHAnsi"/>
          <w:sz w:val="24"/>
          <w:szCs w:val="24"/>
        </w:rPr>
        <w:t xml:space="preserve"> </w:t>
      </w:r>
      <w:r w:rsidRPr="00B8612E">
        <w:rPr>
          <w:rFonts w:cstheme="minorHAnsi"/>
          <w:sz w:val="24"/>
          <w:szCs w:val="24"/>
        </w:rPr>
        <w:t xml:space="preserve">y </w:t>
      </w:r>
      <w:r>
        <w:rPr>
          <w:rFonts w:cstheme="minorHAnsi"/>
          <w:sz w:val="24"/>
          <w:szCs w:val="24"/>
        </w:rPr>
        <w:t>recetar</w:t>
      </w:r>
      <w:r w:rsidRPr="00B8612E">
        <w:rPr>
          <w:rFonts w:cstheme="minorHAnsi"/>
          <w:sz w:val="24"/>
          <w:szCs w:val="24"/>
        </w:rPr>
        <w:t xml:space="preserve"> </w:t>
      </w:r>
      <w:r>
        <w:rPr>
          <w:rFonts w:cstheme="minorHAnsi"/>
          <w:sz w:val="24"/>
          <w:szCs w:val="24"/>
        </w:rPr>
        <w:t xml:space="preserve">medicamentos </w:t>
      </w:r>
      <w:r w:rsidRPr="00B8612E">
        <w:rPr>
          <w:rFonts w:cstheme="minorHAnsi"/>
          <w:sz w:val="24"/>
          <w:szCs w:val="24"/>
        </w:rPr>
        <w:t xml:space="preserve">obedeciendo los preceptos de la legislación, </w:t>
      </w:r>
      <w:r>
        <w:rPr>
          <w:rFonts w:cstheme="minorHAnsi"/>
          <w:sz w:val="24"/>
          <w:szCs w:val="24"/>
        </w:rPr>
        <w:t>estando</w:t>
      </w:r>
      <w:r w:rsidRPr="00B8612E">
        <w:rPr>
          <w:rFonts w:cstheme="minorHAnsi"/>
          <w:sz w:val="24"/>
          <w:szCs w:val="24"/>
        </w:rPr>
        <w:t xml:space="preserve"> conscientes de su papel y</w:t>
      </w:r>
      <w:r>
        <w:rPr>
          <w:rFonts w:cstheme="minorHAnsi"/>
          <w:sz w:val="24"/>
          <w:szCs w:val="24"/>
        </w:rPr>
        <w:t xml:space="preserve"> de</w:t>
      </w:r>
      <w:r w:rsidRPr="00B8612E">
        <w:rPr>
          <w:rFonts w:cstheme="minorHAnsi"/>
          <w:sz w:val="24"/>
          <w:szCs w:val="24"/>
        </w:rPr>
        <w:t xml:space="preserve"> la responsabilidad que caracteriza la profesión.</w:t>
      </w:r>
    </w:p>
    <w:p w:rsidR="006C6B7E" w:rsidRDefault="006C6B7E" w:rsidP="006C6B7E">
      <w:pPr>
        <w:pStyle w:val="HTMLconformatoprevio"/>
        <w:shd w:val="clear" w:color="auto" w:fill="FFFFFF"/>
        <w:jc w:val="both"/>
        <w:rPr>
          <w:rFonts w:asciiTheme="minorHAnsi" w:hAnsiTheme="minorHAnsi" w:cstheme="minorHAnsi"/>
          <w:b/>
          <w:color w:val="212121"/>
          <w:sz w:val="24"/>
          <w:szCs w:val="24"/>
        </w:rPr>
      </w:pPr>
    </w:p>
    <w:p w:rsidR="006C6B7E" w:rsidRPr="00E5043A" w:rsidRDefault="006C6B7E" w:rsidP="006C6B7E">
      <w:pPr>
        <w:pStyle w:val="HTMLconformatoprevio"/>
        <w:shd w:val="clear" w:color="auto" w:fill="FFFFFF"/>
        <w:jc w:val="both"/>
        <w:rPr>
          <w:rFonts w:asciiTheme="minorHAnsi" w:hAnsiTheme="minorHAnsi" w:cstheme="minorHAnsi"/>
          <w:b/>
          <w:color w:val="212121"/>
          <w:sz w:val="24"/>
          <w:szCs w:val="24"/>
        </w:rPr>
      </w:pPr>
    </w:p>
    <w:p w:rsidR="006C6B7E" w:rsidRPr="00A95A7F" w:rsidRDefault="006C6B7E" w:rsidP="006C6B7E">
      <w:pPr>
        <w:pStyle w:val="HTMLconformatoprevio"/>
        <w:shd w:val="clear" w:color="auto" w:fill="FFFFFF"/>
        <w:jc w:val="both"/>
        <w:rPr>
          <w:rFonts w:asciiTheme="minorHAnsi" w:hAnsiTheme="minorHAnsi" w:cstheme="minorHAnsi"/>
          <w:b/>
          <w:color w:val="212121"/>
          <w:sz w:val="24"/>
          <w:szCs w:val="24"/>
        </w:rPr>
      </w:pPr>
      <w:r w:rsidRPr="00A95A7F">
        <w:rPr>
          <w:rFonts w:asciiTheme="minorHAnsi" w:hAnsiTheme="minorHAnsi" w:cstheme="minorHAnsi"/>
          <w:b/>
          <w:color w:val="212121"/>
          <w:sz w:val="24"/>
          <w:szCs w:val="24"/>
        </w:rPr>
        <w:t>Conclusión</w:t>
      </w:r>
    </w:p>
    <w:p w:rsidR="006C6B7E" w:rsidRPr="00897354" w:rsidRDefault="006C6B7E" w:rsidP="006C6B7E">
      <w:pPr>
        <w:pStyle w:val="HTMLconformatoprevio"/>
        <w:shd w:val="clear" w:color="auto" w:fill="FFFFFF"/>
        <w:jc w:val="both"/>
        <w:rPr>
          <w:rFonts w:asciiTheme="minorHAnsi" w:hAnsiTheme="minorHAnsi" w:cstheme="minorHAnsi"/>
          <w:color w:val="212121"/>
          <w:sz w:val="24"/>
          <w:szCs w:val="24"/>
        </w:rPr>
      </w:pPr>
    </w:p>
    <w:p w:rsidR="006C6B7E" w:rsidRPr="00A95A7F" w:rsidRDefault="006C6B7E" w:rsidP="006C6B7E">
      <w:pPr>
        <w:pStyle w:val="HTMLconformatoprevio"/>
        <w:shd w:val="clear" w:color="auto" w:fill="FFFFFF"/>
        <w:jc w:val="both"/>
        <w:rPr>
          <w:rFonts w:asciiTheme="minorHAnsi" w:hAnsiTheme="minorHAnsi" w:cstheme="minorHAnsi"/>
          <w:color w:val="212121"/>
          <w:sz w:val="24"/>
          <w:szCs w:val="24"/>
        </w:rPr>
      </w:pPr>
      <w:r w:rsidRPr="00A95A7F">
        <w:rPr>
          <w:rFonts w:asciiTheme="minorHAnsi" w:hAnsiTheme="minorHAnsi" w:cstheme="minorHAnsi"/>
          <w:color w:val="212121"/>
          <w:sz w:val="24"/>
          <w:szCs w:val="24"/>
        </w:rPr>
        <w:lastRenderedPageBreak/>
        <w:t>Se concluye con el estudio que la mayoría de las prescripciones medicamentosas analizadas no estaban de acuerdo con los aspectos ético-legales y técnico-farmacológicos, que orientan la emisión de este documento y resguardan al profesional de litigios judiciales.</w:t>
      </w:r>
    </w:p>
    <w:p w:rsidR="006C6B7E" w:rsidRPr="00897354" w:rsidRDefault="006C6B7E" w:rsidP="006C6B7E">
      <w:pPr>
        <w:spacing w:line="276" w:lineRule="auto"/>
        <w:jc w:val="both"/>
        <w:rPr>
          <w:rFonts w:ascii="Times New Roman" w:hAnsi="Times New Roman" w:cs="Times New Roman"/>
          <w:b/>
          <w:sz w:val="24"/>
          <w:szCs w:val="24"/>
        </w:rPr>
      </w:pPr>
    </w:p>
    <w:p w:rsidR="006C6B7E" w:rsidRPr="00FF6F3A" w:rsidRDefault="006C6B7E" w:rsidP="006C6B7E">
      <w:pPr>
        <w:spacing w:line="276" w:lineRule="auto"/>
        <w:jc w:val="both"/>
        <w:rPr>
          <w:rFonts w:cstheme="minorHAnsi"/>
          <w:b/>
          <w:szCs w:val="24"/>
        </w:rPr>
      </w:pPr>
      <w:r w:rsidRPr="00FF6F3A">
        <w:rPr>
          <w:rFonts w:cstheme="minorHAnsi"/>
          <w:b/>
          <w:szCs w:val="24"/>
        </w:rPr>
        <w:t>Referencias</w:t>
      </w:r>
    </w:p>
    <w:p w:rsidR="006C6B7E" w:rsidRPr="0074186C" w:rsidRDefault="006C6B7E" w:rsidP="006C6B7E">
      <w:pPr>
        <w:pStyle w:val="Prrafodelista"/>
        <w:numPr>
          <w:ilvl w:val="0"/>
          <w:numId w:val="1"/>
        </w:numPr>
        <w:spacing w:line="276" w:lineRule="auto"/>
        <w:jc w:val="both"/>
        <w:rPr>
          <w:rFonts w:cstheme="minorHAnsi"/>
        </w:rPr>
      </w:pPr>
      <w:proofErr w:type="spellStart"/>
      <w:r w:rsidRPr="0074186C">
        <w:rPr>
          <w:rFonts w:cstheme="minorHAnsi"/>
          <w:lang w:val="en-US"/>
        </w:rPr>
        <w:t>Hussanin</w:t>
      </w:r>
      <w:proofErr w:type="spellEnd"/>
      <w:r w:rsidRPr="0074186C">
        <w:rPr>
          <w:rFonts w:cstheme="minorHAnsi"/>
          <w:lang w:val="en-US"/>
        </w:rPr>
        <w:t xml:space="preserve"> S, Yadav SS, </w:t>
      </w:r>
      <w:proofErr w:type="spellStart"/>
      <w:r w:rsidRPr="0074186C">
        <w:rPr>
          <w:rFonts w:cstheme="minorHAnsi"/>
          <w:lang w:val="en-US"/>
        </w:rPr>
        <w:t>Sawlani</w:t>
      </w:r>
      <w:proofErr w:type="spellEnd"/>
      <w:r w:rsidRPr="0074186C">
        <w:rPr>
          <w:rFonts w:cstheme="minorHAnsi"/>
          <w:lang w:val="en-US"/>
        </w:rPr>
        <w:t xml:space="preserve"> KK, </w:t>
      </w:r>
      <w:proofErr w:type="spellStart"/>
      <w:r w:rsidRPr="0074186C">
        <w:rPr>
          <w:rFonts w:cstheme="minorHAnsi"/>
          <w:lang w:val="en-US"/>
        </w:rPr>
        <w:t>Khattri</w:t>
      </w:r>
      <w:proofErr w:type="spellEnd"/>
      <w:r w:rsidRPr="0074186C">
        <w:rPr>
          <w:rFonts w:cstheme="minorHAnsi"/>
          <w:lang w:val="en-US"/>
        </w:rPr>
        <w:t xml:space="preserve"> S. Assessment of dug prescribing pattern using world health organization indicators in a tertiary care teaching hospital. </w:t>
      </w:r>
      <w:proofErr w:type="spellStart"/>
      <w:r w:rsidRPr="0074186C">
        <w:rPr>
          <w:rFonts w:cstheme="minorHAnsi"/>
        </w:rPr>
        <w:t>Indian</w:t>
      </w:r>
      <w:proofErr w:type="spellEnd"/>
      <w:r w:rsidRPr="0074186C">
        <w:rPr>
          <w:rFonts w:cstheme="minorHAnsi"/>
        </w:rPr>
        <w:t xml:space="preserve"> J </w:t>
      </w:r>
      <w:proofErr w:type="spellStart"/>
      <w:r w:rsidRPr="0074186C">
        <w:rPr>
          <w:rFonts w:cstheme="minorHAnsi"/>
        </w:rPr>
        <w:t>Public</w:t>
      </w:r>
      <w:proofErr w:type="spellEnd"/>
      <w:r w:rsidRPr="0074186C">
        <w:rPr>
          <w:rFonts w:cstheme="minorHAnsi"/>
        </w:rPr>
        <w:t xml:space="preserve"> Health.2018; (62) :156-8.</w:t>
      </w:r>
    </w:p>
    <w:p w:rsidR="006C6B7E" w:rsidRPr="0074186C" w:rsidRDefault="006C6B7E" w:rsidP="006C6B7E">
      <w:pPr>
        <w:pStyle w:val="Prrafodelista"/>
        <w:spacing w:line="276" w:lineRule="auto"/>
        <w:ind w:left="644"/>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74186C">
        <w:rPr>
          <w:rFonts w:cstheme="minorHAnsi"/>
          <w:lang w:val="en-US"/>
        </w:rPr>
        <w:t xml:space="preserve">Chhabra KG, Sharma A, Chhabra C, Reddy JJ, </w:t>
      </w:r>
      <w:proofErr w:type="spellStart"/>
      <w:r w:rsidRPr="0074186C">
        <w:rPr>
          <w:rFonts w:cstheme="minorHAnsi"/>
          <w:lang w:val="en-US"/>
        </w:rPr>
        <w:t>Deolia</w:t>
      </w:r>
      <w:proofErr w:type="spellEnd"/>
      <w:r w:rsidRPr="0074186C">
        <w:rPr>
          <w:rFonts w:cstheme="minorHAnsi"/>
          <w:lang w:val="en-US"/>
        </w:rPr>
        <w:t xml:space="preserve"> SG, Mittal Y. Knowledge, Attitude, and Practices regarding Pharmacovigilance and Adverse Drug Reaction reporting among Dental Students in a Teaching Hospital, Jodhpur, India: A Cross-sectional Study. </w:t>
      </w:r>
      <w:r w:rsidRPr="0074186C">
        <w:rPr>
          <w:rFonts w:cstheme="minorHAnsi"/>
        </w:rPr>
        <w:t xml:space="preserve">J </w:t>
      </w:r>
      <w:proofErr w:type="spellStart"/>
      <w:r w:rsidRPr="0074186C">
        <w:rPr>
          <w:rFonts w:cstheme="minorHAnsi"/>
        </w:rPr>
        <w:t>Contemp</w:t>
      </w:r>
      <w:proofErr w:type="spellEnd"/>
      <w:r w:rsidRPr="0074186C">
        <w:rPr>
          <w:rFonts w:cstheme="minorHAnsi"/>
        </w:rPr>
        <w:t xml:space="preserve"> </w:t>
      </w:r>
      <w:proofErr w:type="spellStart"/>
      <w:r w:rsidRPr="0074186C">
        <w:rPr>
          <w:rFonts w:cstheme="minorHAnsi"/>
        </w:rPr>
        <w:t>Dent</w:t>
      </w:r>
      <w:proofErr w:type="spellEnd"/>
      <w:r w:rsidRPr="0074186C">
        <w:rPr>
          <w:rFonts w:cstheme="minorHAnsi"/>
        </w:rPr>
        <w:t xml:space="preserve"> Pract.2017;18(10):964-969.</w:t>
      </w:r>
    </w:p>
    <w:p w:rsidR="006C6B7E" w:rsidRPr="0074186C" w:rsidRDefault="006C6B7E" w:rsidP="006C6B7E">
      <w:pPr>
        <w:pStyle w:val="Prrafodelista"/>
        <w:spacing w:line="276" w:lineRule="auto"/>
        <w:ind w:left="644"/>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74186C">
        <w:rPr>
          <w:rFonts w:cstheme="minorHAnsi"/>
          <w:color w:val="000000"/>
        </w:rPr>
        <w:t xml:space="preserve">Machado D, Manuel E. Enrique </w:t>
      </w:r>
      <w:proofErr w:type="spellStart"/>
      <w:r w:rsidRPr="0074186C">
        <w:rPr>
          <w:rFonts w:cstheme="minorHAnsi"/>
          <w:color w:val="000000"/>
        </w:rPr>
        <w:t>Jorge.</w:t>
      </w:r>
      <w:r w:rsidRPr="00897354">
        <w:rPr>
          <w:rFonts w:cstheme="minorHAnsi"/>
          <w:color w:val="000000"/>
        </w:rPr>
        <w:t>Utilización</w:t>
      </w:r>
      <w:proofErr w:type="spellEnd"/>
      <w:r w:rsidRPr="00897354">
        <w:rPr>
          <w:rFonts w:cstheme="minorHAnsi"/>
          <w:color w:val="000000"/>
        </w:rPr>
        <w:t xml:space="preserve"> de medicamentos antidepresivos en </w:t>
      </w:r>
      <w:proofErr w:type="spellStart"/>
      <w:r w:rsidRPr="00897354">
        <w:rPr>
          <w:rFonts w:cstheme="minorHAnsi"/>
          <w:color w:val="000000"/>
        </w:rPr>
        <w:t>población</w:t>
      </w:r>
      <w:proofErr w:type="spellEnd"/>
      <w:r w:rsidRPr="00897354">
        <w:rPr>
          <w:rFonts w:cstheme="minorHAnsi"/>
          <w:color w:val="000000"/>
        </w:rPr>
        <w:t xml:space="preserve"> adolescente de Colombia: un estudio tipo </w:t>
      </w:r>
      <w:proofErr w:type="spellStart"/>
      <w:r w:rsidRPr="00897354">
        <w:rPr>
          <w:rFonts w:cstheme="minorHAnsi"/>
          <w:color w:val="000000"/>
        </w:rPr>
        <w:t>prescripción-indicación</w:t>
      </w:r>
      <w:proofErr w:type="spellEnd"/>
      <w:r w:rsidRPr="00897354">
        <w:rPr>
          <w:rFonts w:cstheme="minorHAnsi"/>
          <w:color w:val="000000"/>
        </w:rPr>
        <w:t>. </w:t>
      </w:r>
      <w:r w:rsidRPr="00897354">
        <w:rPr>
          <w:rStyle w:val="Textoennegrita"/>
          <w:rFonts w:cstheme="minorHAnsi"/>
          <w:color w:val="000000"/>
        </w:rPr>
        <w:t xml:space="preserve">Revista Ciencias de la Salud. </w:t>
      </w:r>
      <w:r w:rsidRPr="0074186C">
        <w:rPr>
          <w:rFonts w:cstheme="minorHAnsi"/>
          <w:color w:val="000000"/>
        </w:rPr>
        <w:t>2017;15(3): 387-396.</w:t>
      </w:r>
      <w:r w:rsidRPr="0074186C">
        <w:rPr>
          <w:rFonts w:cstheme="minorHAnsi"/>
        </w:rPr>
        <w:t xml:space="preserve"> </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shd w:val="clear" w:color="auto" w:fill="FFFFFF"/>
          <w:lang w:val="pt-BR"/>
        </w:rPr>
        <w:t xml:space="preserve">Garbin CAS, Garbin AJI, </w:t>
      </w:r>
      <w:proofErr w:type="spellStart"/>
      <w:r w:rsidRPr="00E5043A">
        <w:rPr>
          <w:rFonts w:cstheme="minorHAnsi"/>
          <w:shd w:val="clear" w:color="auto" w:fill="FFFFFF"/>
          <w:lang w:val="pt-BR"/>
        </w:rPr>
        <w:t>Rovida</w:t>
      </w:r>
      <w:proofErr w:type="spellEnd"/>
      <w:r w:rsidRPr="00E5043A">
        <w:rPr>
          <w:rFonts w:cstheme="minorHAnsi"/>
          <w:shd w:val="clear" w:color="auto" w:fill="FFFFFF"/>
          <w:lang w:val="pt-BR"/>
        </w:rPr>
        <w:t xml:space="preserve">, TAS, Moroso TT, </w:t>
      </w:r>
      <w:proofErr w:type="spellStart"/>
      <w:r w:rsidRPr="00E5043A">
        <w:rPr>
          <w:rFonts w:cstheme="minorHAnsi"/>
          <w:shd w:val="clear" w:color="auto" w:fill="FFFFFF"/>
          <w:lang w:val="pt-BR"/>
        </w:rPr>
        <w:t>Dossi</w:t>
      </w:r>
      <w:proofErr w:type="spellEnd"/>
      <w:r w:rsidRPr="00E5043A">
        <w:rPr>
          <w:rFonts w:cstheme="minorHAnsi"/>
          <w:shd w:val="clear" w:color="auto" w:fill="FFFFFF"/>
          <w:lang w:val="pt-BR"/>
        </w:rPr>
        <w:t xml:space="preserve"> </w:t>
      </w:r>
      <w:proofErr w:type="spellStart"/>
      <w:proofErr w:type="gramStart"/>
      <w:r w:rsidRPr="00E5043A">
        <w:rPr>
          <w:rFonts w:cstheme="minorHAnsi"/>
          <w:shd w:val="clear" w:color="auto" w:fill="FFFFFF"/>
          <w:lang w:val="pt-BR"/>
        </w:rPr>
        <w:t>AP.Conhecimento</w:t>
      </w:r>
      <w:proofErr w:type="spellEnd"/>
      <w:proofErr w:type="gramEnd"/>
      <w:r w:rsidRPr="00E5043A">
        <w:rPr>
          <w:rFonts w:cstheme="minorHAnsi"/>
          <w:shd w:val="clear" w:color="auto" w:fill="FFFFFF"/>
          <w:lang w:val="pt-BR"/>
        </w:rPr>
        <w:t xml:space="preserve"> sobre prescrição medicamentosa entre alunos de odontologia: o que sabem os futuros profissionais. </w:t>
      </w:r>
      <w:proofErr w:type="spellStart"/>
      <w:r w:rsidRPr="0074186C">
        <w:rPr>
          <w:rFonts w:cstheme="minorHAnsi"/>
          <w:iCs/>
          <w:shd w:val="clear" w:color="auto" w:fill="FFFFFF"/>
        </w:rPr>
        <w:t>Rev</w:t>
      </w:r>
      <w:proofErr w:type="spellEnd"/>
      <w:r w:rsidRPr="0074186C">
        <w:rPr>
          <w:rFonts w:cstheme="minorHAnsi"/>
          <w:iCs/>
          <w:shd w:val="clear" w:color="auto" w:fill="FFFFFF"/>
        </w:rPr>
        <w:t xml:space="preserve"> </w:t>
      </w:r>
      <w:proofErr w:type="spellStart"/>
      <w:r w:rsidRPr="0074186C">
        <w:rPr>
          <w:rFonts w:cstheme="minorHAnsi"/>
          <w:iCs/>
          <w:shd w:val="clear" w:color="auto" w:fill="FFFFFF"/>
        </w:rPr>
        <w:t>Odontol</w:t>
      </w:r>
      <w:proofErr w:type="spellEnd"/>
      <w:r w:rsidRPr="0074186C">
        <w:rPr>
          <w:rFonts w:cstheme="minorHAnsi"/>
          <w:iCs/>
          <w:shd w:val="clear" w:color="auto" w:fill="FFFFFF"/>
        </w:rPr>
        <w:t xml:space="preserve"> UNESP</w:t>
      </w:r>
      <w:r w:rsidRPr="0074186C">
        <w:rPr>
          <w:rFonts w:cstheme="minorHAnsi"/>
          <w:shd w:val="clear" w:color="auto" w:fill="FFFFFF"/>
        </w:rPr>
        <w:t xml:space="preserve">. 2013; </w:t>
      </w:r>
      <w:r w:rsidRPr="0074186C">
        <w:rPr>
          <w:rFonts w:cstheme="minorHAnsi"/>
          <w:iCs/>
          <w:shd w:val="clear" w:color="auto" w:fill="FFFFFF"/>
        </w:rPr>
        <w:t>36</w:t>
      </w:r>
      <w:r w:rsidRPr="0074186C">
        <w:rPr>
          <w:rFonts w:cstheme="minorHAnsi"/>
          <w:shd w:val="clear" w:color="auto" w:fill="FFFFFF"/>
        </w:rPr>
        <w:t>(4):323-9.</w:t>
      </w:r>
    </w:p>
    <w:p w:rsidR="006C6B7E" w:rsidRPr="0074186C" w:rsidRDefault="006C6B7E" w:rsidP="006C6B7E">
      <w:pPr>
        <w:pStyle w:val="Prrafodelista"/>
        <w:jc w:val="both"/>
        <w:rPr>
          <w:rFonts w:cstheme="minorHAnsi"/>
          <w:color w:val="222222"/>
          <w:shd w:val="clear" w:color="auto" w:fill="FFFFFF"/>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shd w:val="clear" w:color="auto" w:fill="FFFFFF"/>
          <w:lang w:val="pt-BR"/>
        </w:rPr>
        <w:t xml:space="preserve">Garbin CAS, Martins RJ, </w:t>
      </w:r>
      <w:proofErr w:type="spellStart"/>
      <w:r w:rsidRPr="00E5043A">
        <w:rPr>
          <w:rFonts w:cstheme="minorHAnsi"/>
          <w:shd w:val="clear" w:color="auto" w:fill="FFFFFF"/>
          <w:lang w:val="pt-BR"/>
        </w:rPr>
        <w:t>Belila</w:t>
      </w:r>
      <w:proofErr w:type="spellEnd"/>
      <w:r w:rsidRPr="00E5043A">
        <w:rPr>
          <w:rFonts w:cstheme="minorHAnsi"/>
          <w:shd w:val="clear" w:color="auto" w:fill="FFFFFF"/>
          <w:lang w:val="pt-BR"/>
        </w:rPr>
        <w:t xml:space="preserve">, NM, </w:t>
      </w:r>
      <w:proofErr w:type="spellStart"/>
      <w:r w:rsidRPr="00E5043A">
        <w:rPr>
          <w:rFonts w:cstheme="minorHAnsi"/>
          <w:shd w:val="clear" w:color="auto" w:fill="FFFFFF"/>
          <w:lang w:val="pt-BR"/>
        </w:rPr>
        <w:t>Saliba</w:t>
      </w:r>
      <w:proofErr w:type="spellEnd"/>
      <w:r w:rsidRPr="00E5043A">
        <w:rPr>
          <w:rFonts w:cstheme="minorHAnsi"/>
          <w:shd w:val="clear" w:color="auto" w:fill="FFFFFF"/>
          <w:lang w:val="pt-BR"/>
        </w:rPr>
        <w:t xml:space="preserve">, TA, Garbin, AJI. 2018. </w:t>
      </w:r>
      <w:r w:rsidRPr="0074186C">
        <w:rPr>
          <w:rFonts w:cstheme="minorHAnsi"/>
          <w:shd w:val="clear" w:color="auto" w:fill="FFFFFF"/>
        </w:rPr>
        <w:t>Análisis de la Cumplimentación de Certificados Médicos por Estudiantes y Profesionales de Odontología. </w:t>
      </w:r>
      <w:r w:rsidRPr="0074186C">
        <w:rPr>
          <w:rFonts w:cstheme="minorHAnsi"/>
          <w:iCs/>
          <w:shd w:val="clear" w:color="auto" w:fill="FFFFFF"/>
        </w:rPr>
        <w:t>Ciencia &amp; trabajo</w:t>
      </w:r>
      <w:r w:rsidRPr="0074186C">
        <w:rPr>
          <w:rFonts w:cstheme="minorHAnsi"/>
          <w:shd w:val="clear" w:color="auto" w:fill="FFFFFF"/>
        </w:rPr>
        <w:t xml:space="preserve">. 2018; </w:t>
      </w:r>
      <w:r w:rsidRPr="0074186C">
        <w:rPr>
          <w:rFonts w:cstheme="minorHAnsi"/>
          <w:iCs/>
          <w:shd w:val="clear" w:color="auto" w:fill="FFFFFF"/>
        </w:rPr>
        <w:t>20</w:t>
      </w:r>
      <w:r w:rsidRPr="0074186C">
        <w:rPr>
          <w:rFonts w:cstheme="minorHAnsi"/>
          <w:shd w:val="clear" w:color="auto" w:fill="FFFFFF"/>
        </w:rPr>
        <w:t>(61): 27-30.</w:t>
      </w:r>
    </w:p>
    <w:p w:rsidR="006C6B7E" w:rsidRPr="0074186C" w:rsidRDefault="006C6B7E" w:rsidP="006C6B7E">
      <w:pPr>
        <w:pStyle w:val="Prrafodelista"/>
        <w:jc w:val="both"/>
        <w:rPr>
          <w:rFonts w:cstheme="minorHAnsi"/>
          <w:shd w:val="clear" w:color="auto" w:fill="F2F2F2"/>
        </w:rPr>
      </w:pPr>
    </w:p>
    <w:p w:rsidR="006C6B7E" w:rsidRPr="0074186C" w:rsidRDefault="006C6B7E" w:rsidP="006C6B7E">
      <w:pPr>
        <w:pStyle w:val="Prrafodelista"/>
        <w:numPr>
          <w:ilvl w:val="0"/>
          <w:numId w:val="1"/>
        </w:numPr>
        <w:spacing w:line="276" w:lineRule="auto"/>
        <w:jc w:val="both"/>
        <w:rPr>
          <w:rFonts w:cstheme="minorHAnsi"/>
          <w:lang w:val="en-US"/>
        </w:rPr>
      </w:pPr>
      <w:r w:rsidRPr="0074186C">
        <w:rPr>
          <w:rFonts w:cstheme="minorHAnsi"/>
          <w:shd w:val="clear" w:color="auto" w:fill="FFFFFF"/>
          <w:lang w:val="en-US"/>
        </w:rPr>
        <w:t xml:space="preserve">FIGMAN </w:t>
      </w:r>
      <w:proofErr w:type="spellStart"/>
      <w:r w:rsidRPr="0074186C">
        <w:rPr>
          <w:rFonts w:cstheme="minorHAnsi"/>
          <w:shd w:val="clear" w:color="auto" w:fill="FFFFFF"/>
          <w:lang w:val="en-US"/>
        </w:rPr>
        <w:t>HH.The</w:t>
      </w:r>
      <w:proofErr w:type="spellEnd"/>
      <w:r w:rsidRPr="0074186C">
        <w:rPr>
          <w:rFonts w:cstheme="minorHAnsi"/>
          <w:shd w:val="clear" w:color="auto" w:fill="FFFFFF"/>
          <w:lang w:val="en-US"/>
        </w:rPr>
        <w:t xml:space="preserve"> Legal Prescription for Your Dental Practice. </w:t>
      </w:r>
      <w:r w:rsidRPr="0074186C">
        <w:rPr>
          <w:rFonts w:cstheme="minorHAnsi"/>
          <w:bCs/>
          <w:shd w:val="clear" w:color="auto" w:fill="FFFFFF"/>
          <w:lang w:val="en-US"/>
        </w:rPr>
        <w:t>Journal of the Massachusetts Dental Society</w:t>
      </w:r>
      <w:r w:rsidRPr="0074186C">
        <w:rPr>
          <w:rFonts w:cstheme="minorHAnsi"/>
          <w:shd w:val="clear" w:color="auto" w:fill="FFFFFF"/>
          <w:lang w:val="en-US"/>
        </w:rPr>
        <w:t xml:space="preserve">. </w:t>
      </w:r>
      <w:proofErr w:type="gramStart"/>
      <w:r w:rsidRPr="0074186C">
        <w:rPr>
          <w:rFonts w:cstheme="minorHAnsi"/>
          <w:shd w:val="clear" w:color="auto" w:fill="FFFFFF"/>
          <w:lang w:val="en-US"/>
        </w:rPr>
        <w:t>2016</w:t>
      </w:r>
      <w:proofErr w:type="gramEnd"/>
      <w:r w:rsidRPr="0074186C">
        <w:rPr>
          <w:rFonts w:cstheme="minorHAnsi"/>
          <w:shd w:val="clear" w:color="auto" w:fill="FFFFFF"/>
          <w:lang w:val="en-US"/>
        </w:rPr>
        <w:t>; 65(3):16.</w:t>
      </w:r>
    </w:p>
    <w:p w:rsidR="006C6B7E" w:rsidRPr="0074186C" w:rsidRDefault="006C6B7E" w:rsidP="006C6B7E">
      <w:pPr>
        <w:pStyle w:val="Prrafodelista"/>
        <w:jc w:val="both"/>
        <w:rPr>
          <w:rFonts w:cstheme="minorHAnsi"/>
          <w:lang w:val="en-US"/>
        </w:rPr>
      </w:pPr>
    </w:p>
    <w:p w:rsidR="006C6B7E" w:rsidRPr="0074186C" w:rsidRDefault="006C6B7E" w:rsidP="006C6B7E">
      <w:pPr>
        <w:pStyle w:val="Prrafodelista"/>
        <w:numPr>
          <w:ilvl w:val="0"/>
          <w:numId w:val="1"/>
        </w:numPr>
        <w:spacing w:after="0" w:line="276" w:lineRule="auto"/>
        <w:jc w:val="both"/>
        <w:rPr>
          <w:rFonts w:cstheme="minorHAnsi"/>
        </w:rPr>
      </w:pPr>
      <w:r w:rsidRPr="00897354">
        <w:rPr>
          <w:rFonts w:cstheme="minorHAnsi"/>
        </w:rPr>
        <w:t xml:space="preserve">Berna CDR, Gaitán JC, León </w:t>
      </w:r>
      <w:proofErr w:type="spellStart"/>
      <w:r w:rsidRPr="00897354">
        <w:rPr>
          <w:rFonts w:cstheme="minorHAnsi"/>
        </w:rPr>
        <w:t>Robayo</w:t>
      </w:r>
      <w:proofErr w:type="spellEnd"/>
      <w:r w:rsidRPr="00897354">
        <w:rPr>
          <w:rFonts w:cstheme="minorHAnsi"/>
        </w:rPr>
        <w:t xml:space="preserve"> EI. Medicamentos biosimilares en Colombia: una revisión desde el consumo informado. </w:t>
      </w:r>
      <w:proofErr w:type="spellStart"/>
      <w:r w:rsidRPr="0074186C">
        <w:rPr>
          <w:rFonts w:cstheme="minorHAnsi"/>
        </w:rPr>
        <w:t>Rev</w:t>
      </w:r>
      <w:proofErr w:type="spellEnd"/>
      <w:r w:rsidRPr="0074186C">
        <w:rPr>
          <w:rFonts w:cstheme="minorHAnsi"/>
        </w:rPr>
        <w:t xml:space="preserve"> </w:t>
      </w:r>
      <w:proofErr w:type="spellStart"/>
      <w:r w:rsidRPr="0074186C">
        <w:rPr>
          <w:rFonts w:cstheme="minorHAnsi"/>
        </w:rPr>
        <w:t>Cienc</w:t>
      </w:r>
      <w:proofErr w:type="spellEnd"/>
      <w:r w:rsidRPr="0074186C">
        <w:rPr>
          <w:rFonts w:cstheme="minorHAnsi"/>
        </w:rPr>
        <w:t xml:space="preserve"> Salud. 2018;16(2):311-339.</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lang w:val="pt-BR"/>
        </w:rPr>
        <w:t xml:space="preserve">Brasil. Presidência da República. Casa Civil. Lei no 5.991, de 17 de dezembro de 1973. </w:t>
      </w:r>
      <w:proofErr w:type="spellStart"/>
      <w:r w:rsidRPr="0074186C">
        <w:rPr>
          <w:rFonts w:cstheme="minorHAnsi"/>
        </w:rPr>
        <w:t>Brasília</w:t>
      </w:r>
      <w:proofErr w:type="spellEnd"/>
      <w:r w:rsidRPr="0074186C">
        <w:rPr>
          <w:rFonts w:cstheme="minorHAnsi"/>
        </w:rPr>
        <w:t xml:space="preserve">: Casa Civil; </w:t>
      </w:r>
    </w:p>
    <w:p w:rsidR="006C6B7E" w:rsidRPr="0074186C" w:rsidRDefault="006C6B7E" w:rsidP="006C6B7E">
      <w:pPr>
        <w:pStyle w:val="Prrafodelista"/>
        <w:jc w:val="both"/>
        <w:rPr>
          <w:rFonts w:cstheme="minorHAnsi"/>
        </w:rPr>
      </w:pPr>
    </w:p>
    <w:p w:rsidR="006C6B7E" w:rsidRPr="00897354" w:rsidRDefault="006C6B7E" w:rsidP="006C6B7E">
      <w:pPr>
        <w:pStyle w:val="Prrafodelista"/>
        <w:numPr>
          <w:ilvl w:val="0"/>
          <w:numId w:val="1"/>
        </w:numPr>
        <w:spacing w:line="276" w:lineRule="auto"/>
        <w:jc w:val="both"/>
        <w:rPr>
          <w:rFonts w:cstheme="minorHAnsi"/>
        </w:rPr>
      </w:pPr>
      <w:proofErr w:type="spellStart"/>
      <w:r w:rsidRPr="00E5043A">
        <w:rPr>
          <w:rFonts w:cstheme="minorHAnsi"/>
          <w:shd w:val="clear" w:color="auto" w:fill="FFFFFF"/>
          <w:lang w:val="pt-BR"/>
        </w:rPr>
        <w:t>Orsini</w:t>
      </w:r>
      <w:proofErr w:type="spellEnd"/>
      <w:r w:rsidRPr="00E5043A">
        <w:rPr>
          <w:rFonts w:cstheme="minorHAnsi"/>
          <w:shd w:val="clear" w:color="auto" w:fill="FFFFFF"/>
          <w:lang w:val="pt-BR"/>
        </w:rPr>
        <w:t xml:space="preserve"> EA. Dificuldade de prescrever. </w:t>
      </w:r>
      <w:proofErr w:type="spellStart"/>
      <w:r w:rsidRPr="0074186C">
        <w:rPr>
          <w:rFonts w:cstheme="minorHAnsi"/>
          <w:shd w:val="clear" w:color="auto" w:fill="FFFFFF"/>
        </w:rPr>
        <w:t>Campinas</w:t>
      </w:r>
      <w:proofErr w:type="spellEnd"/>
      <w:r w:rsidRPr="0074186C">
        <w:rPr>
          <w:rFonts w:cstheme="minorHAnsi"/>
          <w:shd w:val="clear" w:color="auto" w:fill="FFFFFF"/>
        </w:rPr>
        <w:t xml:space="preserve">: </w:t>
      </w:r>
      <w:proofErr w:type="spellStart"/>
      <w:r w:rsidRPr="0074186C">
        <w:rPr>
          <w:rFonts w:cstheme="minorHAnsi"/>
          <w:shd w:val="clear" w:color="auto" w:fill="FFFFFF"/>
        </w:rPr>
        <w:t>Odonto</w:t>
      </w:r>
      <w:proofErr w:type="spellEnd"/>
      <w:r w:rsidRPr="0074186C">
        <w:rPr>
          <w:rFonts w:cstheme="minorHAnsi"/>
          <w:shd w:val="clear" w:color="auto" w:fill="FFFFFF"/>
        </w:rPr>
        <w:t xml:space="preserve"> </w:t>
      </w:r>
      <w:proofErr w:type="spellStart"/>
      <w:r w:rsidRPr="0074186C">
        <w:rPr>
          <w:rFonts w:cstheme="minorHAnsi"/>
          <w:shd w:val="clear" w:color="auto" w:fill="FFFFFF"/>
        </w:rPr>
        <w:t>Medley</w:t>
      </w:r>
      <w:proofErr w:type="spellEnd"/>
      <w:r w:rsidRPr="0074186C">
        <w:rPr>
          <w:rFonts w:cstheme="minorHAnsi"/>
          <w:shd w:val="clear" w:color="auto" w:fill="FFFFFF"/>
        </w:rPr>
        <w:t>; s.d. </w:t>
      </w:r>
    </w:p>
    <w:p w:rsidR="006C6B7E" w:rsidRPr="00897354" w:rsidRDefault="006C6B7E" w:rsidP="006C6B7E">
      <w:pPr>
        <w:pStyle w:val="Prrafodelista"/>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74186C">
        <w:rPr>
          <w:rFonts w:cstheme="minorHAnsi"/>
          <w:lang w:val="en-US"/>
        </w:rPr>
        <w:t xml:space="preserve">Jain A, </w:t>
      </w:r>
      <w:proofErr w:type="spellStart"/>
      <w:r w:rsidRPr="0074186C">
        <w:rPr>
          <w:rFonts w:cstheme="minorHAnsi"/>
          <w:lang w:val="en-US"/>
        </w:rPr>
        <w:t>Bhaskar</w:t>
      </w:r>
      <w:proofErr w:type="spellEnd"/>
      <w:r w:rsidRPr="0074186C">
        <w:rPr>
          <w:rFonts w:cstheme="minorHAnsi"/>
          <w:lang w:val="en-US"/>
        </w:rPr>
        <w:t xml:space="preserve"> DJ, Gupta D, Yadav P, Dalai DR, </w:t>
      </w:r>
      <w:proofErr w:type="spellStart"/>
      <w:r w:rsidRPr="0074186C">
        <w:rPr>
          <w:rFonts w:cstheme="minorHAnsi"/>
          <w:lang w:val="en-US"/>
        </w:rPr>
        <w:t>Jhingala</w:t>
      </w:r>
      <w:proofErr w:type="spellEnd"/>
      <w:r w:rsidRPr="0074186C">
        <w:rPr>
          <w:rFonts w:cstheme="minorHAnsi"/>
          <w:lang w:val="en-US"/>
        </w:rPr>
        <w:t xml:space="preserve"> V, Garg </w:t>
      </w:r>
      <w:proofErr w:type="spellStart"/>
      <w:r w:rsidRPr="0074186C">
        <w:rPr>
          <w:rFonts w:cstheme="minorHAnsi"/>
          <w:lang w:val="en-US"/>
        </w:rPr>
        <w:t>Y.Drug</w:t>
      </w:r>
      <w:proofErr w:type="spellEnd"/>
      <w:r w:rsidRPr="0074186C">
        <w:rPr>
          <w:rFonts w:cstheme="minorHAnsi"/>
          <w:lang w:val="en-US"/>
        </w:rPr>
        <w:t xml:space="preserve"> prescription awareness among the 3rd year and final year dental students: A cross-</w:t>
      </w:r>
      <w:proofErr w:type="spellStart"/>
      <w:r w:rsidRPr="0074186C">
        <w:rPr>
          <w:rFonts w:cstheme="minorHAnsi"/>
          <w:lang w:val="en-US"/>
        </w:rPr>
        <w:t>seccional</w:t>
      </w:r>
      <w:proofErr w:type="spellEnd"/>
      <w:r w:rsidRPr="0074186C">
        <w:rPr>
          <w:rFonts w:cstheme="minorHAnsi"/>
          <w:lang w:val="en-US"/>
        </w:rPr>
        <w:t xml:space="preserve"> survey. </w:t>
      </w:r>
      <w:r w:rsidRPr="0074186C">
        <w:rPr>
          <w:rFonts w:cstheme="minorHAnsi"/>
        </w:rPr>
        <w:t xml:space="preserve">J </w:t>
      </w:r>
      <w:proofErr w:type="spellStart"/>
      <w:r w:rsidRPr="0074186C">
        <w:rPr>
          <w:rFonts w:cstheme="minorHAnsi"/>
        </w:rPr>
        <w:t>Indian</w:t>
      </w:r>
      <w:proofErr w:type="spellEnd"/>
      <w:r w:rsidRPr="0074186C">
        <w:rPr>
          <w:rFonts w:cstheme="minorHAnsi"/>
        </w:rPr>
        <w:t xml:space="preserve"> </w:t>
      </w:r>
      <w:proofErr w:type="spellStart"/>
      <w:r w:rsidRPr="0074186C">
        <w:rPr>
          <w:rFonts w:cstheme="minorHAnsi"/>
        </w:rPr>
        <w:t>Assoc</w:t>
      </w:r>
      <w:proofErr w:type="spellEnd"/>
      <w:r w:rsidRPr="0074186C">
        <w:rPr>
          <w:rFonts w:cstheme="minorHAnsi"/>
        </w:rPr>
        <w:t xml:space="preserve"> </w:t>
      </w:r>
      <w:proofErr w:type="spellStart"/>
      <w:r w:rsidRPr="0074186C">
        <w:rPr>
          <w:rFonts w:cstheme="minorHAnsi"/>
        </w:rPr>
        <w:t>Public</w:t>
      </w:r>
      <w:proofErr w:type="spellEnd"/>
      <w:r w:rsidRPr="0074186C">
        <w:rPr>
          <w:rFonts w:cstheme="minorHAnsi"/>
        </w:rPr>
        <w:t xml:space="preserve"> </w:t>
      </w:r>
      <w:proofErr w:type="spellStart"/>
      <w:r w:rsidRPr="0074186C">
        <w:rPr>
          <w:rFonts w:cstheme="minorHAnsi"/>
        </w:rPr>
        <w:t>Health</w:t>
      </w:r>
      <w:proofErr w:type="spellEnd"/>
      <w:r w:rsidRPr="0074186C">
        <w:rPr>
          <w:rFonts w:cstheme="minorHAnsi"/>
        </w:rPr>
        <w:t xml:space="preserve"> </w:t>
      </w:r>
      <w:proofErr w:type="spellStart"/>
      <w:r w:rsidRPr="0074186C">
        <w:rPr>
          <w:rFonts w:cstheme="minorHAnsi"/>
        </w:rPr>
        <w:t>Dent</w:t>
      </w:r>
      <w:proofErr w:type="spellEnd"/>
      <w:r w:rsidRPr="0074186C">
        <w:rPr>
          <w:rFonts w:cstheme="minorHAnsi"/>
        </w:rPr>
        <w:t xml:space="preserve">. </w:t>
      </w:r>
      <w:proofErr w:type="gramStart"/>
      <w:r w:rsidRPr="0074186C">
        <w:rPr>
          <w:rFonts w:cstheme="minorHAnsi"/>
        </w:rPr>
        <w:t>2015;13:73</w:t>
      </w:r>
      <w:proofErr w:type="gramEnd"/>
      <w:r w:rsidRPr="0074186C">
        <w:rPr>
          <w:rFonts w:cstheme="minorHAnsi"/>
        </w:rPr>
        <w:t>-8.</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74186C">
        <w:rPr>
          <w:rFonts w:cstheme="minorHAnsi"/>
          <w:color w:val="1C1D1E"/>
          <w:shd w:val="clear" w:color="auto" w:fill="FFFFFF"/>
        </w:rPr>
        <w:lastRenderedPageBreak/>
        <w:t xml:space="preserve">Martín JM, Martín BB, López LJ, Alonso EO, Velasco OE, Jiménez SMC. </w:t>
      </w:r>
      <w:r w:rsidRPr="0074186C">
        <w:rPr>
          <w:rStyle w:val="articletitle"/>
          <w:rFonts w:cstheme="minorHAnsi"/>
          <w:color w:val="1C1D1E"/>
          <w:shd w:val="clear" w:color="auto" w:fill="FFFFFF"/>
          <w:lang w:val="en-US"/>
        </w:rPr>
        <w:t>Dental students’ knowledge regarding the indications for antibiotics in the management of endodontic infections</w:t>
      </w:r>
      <w:r w:rsidRPr="0074186C">
        <w:rPr>
          <w:rFonts w:cstheme="minorHAnsi"/>
          <w:color w:val="1C1D1E"/>
          <w:shd w:val="clear" w:color="auto" w:fill="FFFFFF"/>
          <w:lang w:val="en-US"/>
        </w:rPr>
        <w:t>. </w:t>
      </w:r>
      <w:r w:rsidRPr="0074186C">
        <w:rPr>
          <w:rFonts w:cstheme="minorHAnsi"/>
          <w:iCs/>
          <w:color w:val="1C1D1E"/>
          <w:shd w:val="clear" w:color="auto" w:fill="FFFFFF"/>
        </w:rPr>
        <w:t xml:space="preserve">International </w:t>
      </w:r>
      <w:proofErr w:type="spellStart"/>
      <w:r w:rsidRPr="0074186C">
        <w:rPr>
          <w:rFonts w:cstheme="minorHAnsi"/>
          <w:iCs/>
          <w:color w:val="1C1D1E"/>
          <w:shd w:val="clear" w:color="auto" w:fill="FFFFFF"/>
        </w:rPr>
        <w:t>Endodontic</w:t>
      </w:r>
      <w:proofErr w:type="spellEnd"/>
      <w:r w:rsidRPr="0074186C">
        <w:rPr>
          <w:rFonts w:cstheme="minorHAnsi"/>
          <w:iCs/>
          <w:color w:val="1C1D1E"/>
          <w:shd w:val="clear" w:color="auto" w:fill="FFFFFF"/>
        </w:rPr>
        <w:t xml:space="preserve"> </w:t>
      </w:r>
      <w:proofErr w:type="spellStart"/>
      <w:r w:rsidRPr="0074186C">
        <w:rPr>
          <w:rFonts w:cstheme="minorHAnsi"/>
          <w:iCs/>
          <w:color w:val="1C1D1E"/>
          <w:shd w:val="clear" w:color="auto" w:fill="FFFFFF"/>
        </w:rPr>
        <w:t>Journal</w:t>
      </w:r>
      <w:proofErr w:type="spellEnd"/>
      <w:r w:rsidRPr="0074186C">
        <w:rPr>
          <w:rFonts w:cstheme="minorHAnsi"/>
          <w:iCs/>
          <w:color w:val="1C1D1E"/>
          <w:shd w:val="clear" w:color="auto" w:fill="FFFFFF"/>
        </w:rPr>
        <w:t xml:space="preserve"> </w:t>
      </w:r>
      <w:r w:rsidRPr="0074186C">
        <w:rPr>
          <w:rFonts w:cstheme="minorHAnsi"/>
          <w:color w:val="1C1D1E"/>
          <w:shd w:val="clear" w:color="auto" w:fill="FFFFFF"/>
        </w:rPr>
        <w:t>.2018; (</w:t>
      </w:r>
      <w:r w:rsidRPr="0074186C">
        <w:rPr>
          <w:rStyle w:val="vol"/>
          <w:rFonts w:cstheme="minorHAnsi"/>
          <w:color w:val="1C1D1E"/>
          <w:shd w:val="clear" w:color="auto" w:fill="FFFFFF"/>
        </w:rPr>
        <w:t>51)</w:t>
      </w:r>
      <w:r w:rsidRPr="0074186C">
        <w:rPr>
          <w:rFonts w:cstheme="minorHAnsi"/>
          <w:color w:val="1C1D1E"/>
          <w:shd w:val="clear" w:color="auto" w:fill="FFFFFF"/>
        </w:rPr>
        <w:t>: 118–127.</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lang w:val="pt-BR"/>
        </w:rPr>
        <w:t xml:space="preserve">AMORIM </w:t>
      </w:r>
      <w:proofErr w:type="gramStart"/>
      <w:r w:rsidRPr="00E5043A">
        <w:rPr>
          <w:rFonts w:cstheme="minorHAnsi"/>
          <w:lang w:val="pt-BR"/>
        </w:rPr>
        <w:t>HP.A</w:t>
      </w:r>
      <w:proofErr w:type="gramEnd"/>
      <w:r w:rsidRPr="00E5043A">
        <w:rPr>
          <w:rFonts w:cstheme="minorHAnsi"/>
          <w:lang w:val="pt-BR"/>
        </w:rPr>
        <w:t xml:space="preserve"> importância do preenchimento adequado dos prontuários para evitar processos em Odontologia.</w:t>
      </w:r>
      <w:r w:rsidRPr="00E5043A">
        <w:rPr>
          <w:rFonts w:cstheme="minorHAnsi"/>
          <w:b/>
          <w:bCs/>
          <w:lang w:val="pt-BR"/>
        </w:rPr>
        <w:t> </w:t>
      </w:r>
      <w:r w:rsidRPr="0074186C">
        <w:rPr>
          <w:rFonts w:cstheme="minorHAnsi"/>
          <w:bCs/>
        </w:rPr>
        <w:t xml:space="preserve">Arq. </w:t>
      </w:r>
      <w:proofErr w:type="spellStart"/>
      <w:r w:rsidRPr="0074186C">
        <w:rPr>
          <w:rFonts w:cstheme="minorHAnsi"/>
          <w:bCs/>
        </w:rPr>
        <w:t>Odontol</w:t>
      </w:r>
      <w:proofErr w:type="spellEnd"/>
      <w:r w:rsidRPr="0074186C">
        <w:rPr>
          <w:rFonts w:cstheme="minorHAnsi"/>
          <w:b/>
          <w:bCs/>
        </w:rPr>
        <w:t xml:space="preserve">. </w:t>
      </w:r>
      <w:r w:rsidRPr="0074186C">
        <w:rPr>
          <w:rFonts w:cstheme="minorHAnsi"/>
        </w:rPr>
        <w:t>Belo Horizonte. 2016; (52). </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proofErr w:type="spellStart"/>
      <w:r w:rsidRPr="0074186C">
        <w:rPr>
          <w:rFonts w:cstheme="minorHAnsi"/>
          <w:shd w:val="clear" w:color="auto" w:fill="FFFFFF"/>
          <w:lang w:val="en-US"/>
        </w:rPr>
        <w:t>Marra</w:t>
      </w:r>
      <w:proofErr w:type="spellEnd"/>
      <w:r w:rsidRPr="0074186C">
        <w:rPr>
          <w:rFonts w:cstheme="minorHAnsi"/>
          <w:shd w:val="clear" w:color="auto" w:fill="FFFFFF"/>
          <w:lang w:val="en-US"/>
        </w:rPr>
        <w:t xml:space="preserve"> F, George D, Chong M, Sutherland S, Patrick </w:t>
      </w:r>
      <w:proofErr w:type="spellStart"/>
      <w:r w:rsidRPr="0074186C">
        <w:rPr>
          <w:rFonts w:cstheme="minorHAnsi"/>
          <w:shd w:val="clear" w:color="auto" w:fill="FFFFFF"/>
          <w:lang w:val="en-US"/>
        </w:rPr>
        <w:t>DM.Antibiotic</w:t>
      </w:r>
      <w:proofErr w:type="spellEnd"/>
      <w:r w:rsidRPr="0074186C">
        <w:rPr>
          <w:rFonts w:cstheme="minorHAnsi"/>
          <w:shd w:val="clear" w:color="auto" w:fill="FFFFFF"/>
          <w:lang w:val="en-US"/>
        </w:rPr>
        <w:t xml:space="preserve"> prescribing by dentists has increased: Why?. </w:t>
      </w:r>
      <w:proofErr w:type="spellStart"/>
      <w:r w:rsidRPr="0074186C">
        <w:rPr>
          <w:rFonts w:cstheme="minorHAnsi"/>
          <w:iCs/>
          <w:shd w:val="clear" w:color="auto" w:fill="FFFFFF"/>
        </w:rPr>
        <w:t>The</w:t>
      </w:r>
      <w:proofErr w:type="spellEnd"/>
      <w:r w:rsidRPr="0074186C">
        <w:rPr>
          <w:rFonts w:cstheme="minorHAnsi"/>
          <w:iCs/>
          <w:shd w:val="clear" w:color="auto" w:fill="FFFFFF"/>
        </w:rPr>
        <w:t xml:space="preserve"> </w:t>
      </w:r>
      <w:proofErr w:type="spellStart"/>
      <w:r w:rsidRPr="0074186C">
        <w:rPr>
          <w:rFonts w:cstheme="minorHAnsi"/>
          <w:iCs/>
          <w:shd w:val="clear" w:color="auto" w:fill="FFFFFF"/>
        </w:rPr>
        <w:t>Journal</w:t>
      </w:r>
      <w:proofErr w:type="spellEnd"/>
      <w:r w:rsidRPr="0074186C">
        <w:rPr>
          <w:rFonts w:cstheme="minorHAnsi"/>
          <w:iCs/>
          <w:shd w:val="clear" w:color="auto" w:fill="FFFFFF"/>
        </w:rPr>
        <w:t xml:space="preserve"> of </w:t>
      </w:r>
      <w:proofErr w:type="spellStart"/>
      <w:r w:rsidRPr="0074186C">
        <w:rPr>
          <w:rFonts w:cstheme="minorHAnsi"/>
          <w:iCs/>
          <w:shd w:val="clear" w:color="auto" w:fill="FFFFFF"/>
        </w:rPr>
        <w:t>the</w:t>
      </w:r>
      <w:proofErr w:type="spellEnd"/>
      <w:r w:rsidRPr="0074186C">
        <w:rPr>
          <w:rFonts w:cstheme="minorHAnsi"/>
          <w:iCs/>
          <w:shd w:val="clear" w:color="auto" w:fill="FFFFFF"/>
        </w:rPr>
        <w:t xml:space="preserve"> American Dental </w:t>
      </w:r>
      <w:proofErr w:type="spellStart"/>
      <w:r w:rsidRPr="0074186C">
        <w:rPr>
          <w:rFonts w:cstheme="minorHAnsi"/>
          <w:iCs/>
          <w:shd w:val="clear" w:color="auto" w:fill="FFFFFF"/>
        </w:rPr>
        <w:t>Association</w:t>
      </w:r>
      <w:proofErr w:type="spellEnd"/>
      <w:r w:rsidRPr="0074186C">
        <w:rPr>
          <w:rFonts w:cstheme="minorHAnsi"/>
          <w:shd w:val="clear" w:color="auto" w:fill="FFFFFF"/>
        </w:rPr>
        <w:t xml:space="preserve">. </w:t>
      </w:r>
      <w:proofErr w:type="gramStart"/>
      <w:r w:rsidRPr="0074186C">
        <w:rPr>
          <w:rFonts w:cstheme="minorHAnsi"/>
          <w:shd w:val="clear" w:color="auto" w:fill="FFFFFF"/>
        </w:rPr>
        <w:t>2016 ;</w:t>
      </w:r>
      <w:proofErr w:type="gramEnd"/>
      <w:r w:rsidRPr="0074186C">
        <w:rPr>
          <w:rFonts w:cstheme="minorHAnsi"/>
          <w:shd w:val="clear" w:color="auto" w:fill="FFFFFF"/>
        </w:rPr>
        <w:t xml:space="preserve">  </w:t>
      </w:r>
      <w:r w:rsidRPr="0074186C">
        <w:rPr>
          <w:rFonts w:cstheme="minorHAnsi"/>
          <w:i/>
          <w:iCs/>
          <w:shd w:val="clear" w:color="auto" w:fill="FFFFFF"/>
        </w:rPr>
        <w:t>147</w:t>
      </w:r>
      <w:r w:rsidRPr="0074186C">
        <w:rPr>
          <w:rFonts w:cstheme="minorHAnsi"/>
          <w:shd w:val="clear" w:color="auto" w:fill="FFFFFF"/>
        </w:rPr>
        <w:t>(5): 320-327.</w:t>
      </w:r>
    </w:p>
    <w:p w:rsidR="006C6B7E" w:rsidRPr="0074186C" w:rsidRDefault="006C6B7E" w:rsidP="006C6B7E">
      <w:pPr>
        <w:pStyle w:val="Prrafodelista"/>
        <w:spacing w:line="276" w:lineRule="auto"/>
        <w:ind w:left="644"/>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lang w:val="pt-BR"/>
        </w:rPr>
        <w:t xml:space="preserve">Brasil. Presidência da República. Casa Civil. Artigo 6o da lei no 5.081, de 24 de agosto de 1966. </w:t>
      </w:r>
      <w:proofErr w:type="spellStart"/>
      <w:r w:rsidRPr="0074186C">
        <w:rPr>
          <w:rFonts w:cstheme="minorHAnsi"/>
        </w:rPr>
        <w:t>Brasília</w:t>
      </w:r>
      <w:proofErr w:type="spellEnd"/>
      <w:r w:rsidRPr="0074186C">
        <w:rPr>
          <w:rFonts w:cstheme="minorHAnsi"/>
        </w:rPr>
        <w:t>: Casa Civil;</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proofErr w:type="spellStart"/>
      <w:r w:rsidRPr="0074186C">
        <w:rPr>
          <w:rFonts w:cstheme="minorHAnsi"/>
          <w:shd w:val="clear" w:color="auto" w:fill="FFFFFF"/>
          <w:lang w:val="en-US"/>
        </w:rPr>
        <w:t>Ghoto</w:t>
      </w:r>
      <w:proofErr w:type="spellEnd"/>
      <w:r w:rsidRPr="0074186C">
        <w:rPr>
          <w:rFonts w:cstheme="minorHAnsi"/>
          <w:shd w:val="clear" w:color="auto" w:fill="FFFFFF"/>
          <w:lang w:val="en-US"/>
        </w:rPr>
        <w:t xml:space="preserve"> MA, </w:t>
      </w:r>
      <w:proofErr w:type="spellStart"/>
      <w:r w:rsidRPr="0074186C">
        <w:rPr>
          <w:rFonts w:cstheme="minorHAnsi"/>
          <w:shd w:val="clear" w:color="auto" w:fill="FFFFFF"/>
          <w:lang w:val="en-US"/>
        </w:rPr>
        <w:t>Dayo</w:t>
      </w:r>
      <w:proofErr w:type="spellEnd"/>
      <w:r w:rsidRPr="0074186C">
        <w:rPr>
          <w:rFonts w:cstheme="minorHAnsi"/>
          <w:shd w:val="clear" w:color="auto" w:fill="FFFFFF"/>
          <w:lang w:val="en-US"/>
        </w:rPr>
        <w:t xml:space="preserve"> A, </w:t>
      </w:r>
      <w:proofErr w:type="spellStart"/>
      <w:r w:rsidRPr="0074186C">
        <w:rPr>
          <w:rFonts w:cstheme="minorHAnsi"/>
          <w:shd w:val="clear" w:color="auto" w:fill="FFFFFF"/>
          <w:lang w:val="en-US"/>
        </w:rPr>
        <w:t>Akram</w:t>
      </w:r>
      <w:proofErr w:type="spellEnd"/>
      <w:r w:rsidRPr="0074186C">
        <w:rPr>
          <w:rFonts w:cstheme="minorHAnsi"/>
          <w:shd w:val="clear" w:color="auto" w:fill="FFFFFF"/>
          <w:lang w:val="en-US"/>
        </w:rPr>
        <w:t xml:space="preserve"> M, </w:t>
      </w:r>
      <w:proofErr w:type="spellStart"/>
      <w:r w:rsidRPr="0074186C">
        <w:rPr>
          <w:rFonts w:cstheme="minorHAnsi"/>
          <w:shd w:val="clear" w:color="auto" w:fill="FFFFFF"/>
          <w:lang w:val="en-US"/>
        </w:rPr>
        <w:t>Surehyani</w:t>
      </w:r>
      <w:proofErr w:type="spellEnd"/>
      <w:r w:rsidRPr="0074186C">
        <w:rPr>
          <w:rFonts w:cstheme="minorHAnsi"/>
          <w:shd w:val="clear" w:color="auto" w:fill="FFFFFF"/>
          <w:lang w:val="en-US"/>
        </w:rPr>
        <w:t xml:space="preserve"> I, Ali </w:t>
      </w:r>
      <w:proofErr w:type="spellStart"/>
      <w:r w:rsidRPr="0074186C">
        <w:rPr>
          <w:rFonts w:cstheme="minorHAnsi"/>
          <w:shd w:val="clear" w:color="auto" w:fill="FFFFFF"/>
          <w:lang w:val="en-US"/>
        </w:rPr>
        <w:t>A.Identification</w:t>
      </w:r>
      <w:proofErr w:type="spellEnd"/>
      <w:r w:rsidRPr="0074186C">
        <w:rPr>
          <w:rFonts w:cstheme="minorHAnsi"/>
          <w:shd w:val="clear" w:color="auto" w:fill="FFFFFF"/>
          <w:lang w:val="en-US"/>
        </w:rPr>
        <w:t xml:space="preserve"> of errors in antibiotics’ prescriptions and prescription writing trends in areas of Hyderabad Sindh, Pakistan. </w:t>
      </w:r>
      <w:r w:rsidRPr="0074186C">
        <w:rPr>
          <w:rStyle w:val="ref-journal"/>
          <w:rFonts w:cstheme="minorHAnsi"/>
          <w:shd w:val="clear" w:color="auto" w:fill="FFFFFF"/>
        </w:rPr>
        <w:t xml:space="preserve">AJPP. 2013; </w:t>
      </w:r>
      <w:r w:rsidRPr="0074186C">
        <w:rPr>
          <w:rStyle w:val="ref-vol"/>
          <w:rFonts w:cstheme="minorHAnsi"/>
          <w:shd w:val="clear" w:color="auto" w:fill="FFFFFF"/>
        </w:rPr>
        <w:t>7</w:t>
      </w:r>
      <w:r w:rsidRPr="0074186C">
        <w:rPr>
          <w:rFonts w:cstheme="minorHAnsi"/>
          <w:shd w:val="clear" w:color="auto" w:fill="FFFFFF"/>
        </w:rPr>
        <w:t>(17):1009–14.</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lang w:val="en-US"/>
        </w:rPr>
      </w:pPr>
      <w:r w:rsidRPr="00E5043A">
        <w:rPr>
          <w:rFonts w:cstheme="minorHAnsi"/>
          <w:shd w:val="clear" w:color="auto" w:fill="FFFFFF"/>
          <w:lang w:val="pt-BR"/>
        </w:rPr>
        <w:t xml:space="preserve">Mendonça JM, Lyra DP, Rabelo JS, Siqueira JS, </w:t>
      </w:r>
      <w:proofErr w:type="spellStart"/>
      <w:r w:rsidRPr="00E5043A">
        <w:rPr>
          <w:rFonts w:cstheme="minorHAnsi"/>
          <w:shd w:val="clear" w:color="auto" w:fill="FFFFFF"/>
          <w:lang w:val="pt-BR"/>
        </w:rPr>
        <w:t>Balisa</w:t>
      </w:r>
      <w:proofErr w:type="spellEnd"/>
      <w:r w:rsidRPr="00E5043A">
        <w:rPr>
          <w:rFonts w:cstheme="minorHAnsi"/>
          <w:shd w:val="clear" w:color="auto" w:fill="FFFFFF"/>
          <w:lang w:val="pt-BR"/>
        </w:rPr>
        <w:t xml:space="preserve">-Rocha BJ, Gimenes FR. </w:t>
      </w:r>
      <w:r w:rsidRPr="0074186C">
        <w:rPr>
          <w:rFonts w:cstheme="minorHAnsi"/>
          <w:shd w:val="clear" w:color="auto" w:fill="FFFFFF"/>
          <w:lang w:val="en-US"/>
        </w:rPr>
        <w:t>Analysis and detection of dental prescribing errors at primary health care units in Brazil. </w:t>
      </w:r>
      <w:r w:rsidRPr="0074186C">
        <w:rPr>
          <w:rStyle w:val="ref-journal"/>
          <w:rFonts w:cstheme="minorHAnsi"/>
          <w:shd w:val="clear" w:color="auto" w:fill="FFFFFF"/>
          <w:lang w:val="en-US"/>
        </w:rPr>
        <w:t>Pharm World Sci. 2010</w:t>
      </w:r>
      <w:proofErr w:type="gramStart"/>
      <w:r w:rsidRPr="0074186C">
        <w:rPr>
          <w:rStyle w:val="ref-journal"/>
          <w:rFonts w:cstheme="minorHAnsi"/>
          <w:shd w:val="clear" w:color="auto" w:fill="FFFFFF"/>
          <w:lang w:val="en-US"/>
        </w:rPr>
        <w:t>;</w:t>
      </w:r>
      <w:proofErr w:type="gramEnd"/>
      <w:r w:rsidRPr="0074186C">
        <w:rPr>
          <w:rStyle w:val="ref-journal"/>
          <w:rFonts w:cstheme="minorHAnsi"/>
          <w:shd w:val="clear" w:color="auto" w:fill="FFFFFF"/>
          <w:lang w:val="en-US"/>
        </w:rPr>
        <w:t xml:space="preserve"> </w:t>
      </w:r>
      <w:r w:rsidRPr="0074186C">
        <w:rPr>
          <w:rStyle w:val="ref-vol"/>
          <w:rFonts w:cstheme="minorHAnsi"/>
          <w:shd w:val="clear" w:color="auto" w:fill="FFFFFF"/>
          <w:lang w:val="en-US"/>
        </w:rPr>
        <w:t>32</w:t>
      </w:r>
      <w:r w:rsidRPr="0074186C">
        <w:rPr>
          <w:rFonts w:cstheme="minorHAnsi"/>
          <w:shd w:val="clear" w:color="auto" w:fill="FFFFFF"/>
          <w:lang w:val="en-US"/>
        </w:rPr>
        <w:t>(1):30–5.</w:t>
      </w:r>
    </w:p>
    <w:p w:rsidR="006C6B7E" w:rsidRPr="0074186C" w:rsidRDefault="006C6B7E" w:rsidP="006C6B7E">
      <w:pPr>
        <w:pStyle w:val="Prrafodelista"/>
        <w:jc w:val="both"/>
        <w:rPr>
          <w:rFonts w:cstheme="minorHAnsi"/>
          <w:lang w:val="en-US"/>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shd w:val="clear" w:color="auto" w:fill="FFFFFF"/>
          <w:lang w:val="pt-BR"/>
        </w:rPr>
        <w:t>Mastroianni PDC. Análise dos aspectos legais das prescrições de medicamentos. </w:t>
      </w:r>
      <w:r w:rsidRPr="0074186C">
        <w:rPr>
          <w:rFonts w:cstheme="minorHAnsi"/>
          <w:iCs/>
          <w:shd w:val="clear" w:color="auto" w:fill="FFFFFF"/>
        </w:rPr>
        <w:t xml:space="preserve">Revista de </w:t>
      </w:r>
      <w:proofErr w:type="spellStart"/>
      <w:r w:rsidRPr="0074186C">
        <w:rPr>
          <w:rFonts w:cstheme="minorHAnsi"/>
          <w:iCs/>
          <w:shd w:val="clear" w:color="auto" w:fill="FFFFFF"/>
        </w:rPr>
        <w:t>Ciências</w:t>
      </w:r>
      <w:proofErr w:type="spellEnd"/>
      <w:r w:rsidRPr="0074186C">
        <w:rPr>
          <w:rFonts w:cstheme="minorHAnsi"/>
          <w:iCs/>
          <w:shd w:val="clear" w:color="auto" w:fill="FFFFFF"/>
        </w:rPr>
        <w:t xml:space="preserve"> </w:t>
      </w:r>
      <w:proofErr w:type="spellStart"/>
      <w:r w:rsidRPr="0074186C">
        <w:rPr>
          <w:rFonts w:cstheme="minorHAnsi"/>
          <w:iCs/>
          <w:shd w:val="clear" w:color="auto" w:fill="FFFFFF"/>
        </w:rPr>
        <w:t>Farmacêuticas</w:t>
      </w:r>
      <w:proofErr w:type="spellEnd"/>
      <w:r w:rsidRPr="0074186C">
        <w:rPr>
          <w:rFonts w:cstheme="minorHAnsi"/>
          <w:iCs/>
          <w:shd w:val="clear" w:color="auto" w:fill="FFFFFF"/>
        </w:rPr>
        <w:t xml:space="preserve"> Básica </w:t>
      </w:r>
      <w:proofErr w:type="spellStart"/>
      <w:r w:rsidRPr="0074186C">
        <w:rPr>
          <w:rFonts w:cstheme="minorHAnsi"/>
          <w:iCs/>
          <w:shd w:val="clear" w:color="auto" w:fill="FFFFFF"/>
        </w:rPr>
        <w:t>e</w:t>
      </w:r>
      <w:proofErr w:type="spellEnd"/>
      <w:r w:rsidRPr="0074186C">
        <w:rPr>
          <w:rFonts w:cstheme="minorHAnsi"/>
          <w:iCs/>
          <w:shd w:val="clear" w:color="auto" w:fill="FFFFFF"/>
        </w:rPr>
        <w:t xml:space="preserve"> Aplicada</w:t>
      </w:r>
      <w:r w:rsidRPr="0074186C">
        <w:rPr>
          <w:rFonts w:cstheme="minorHAnsi"/>
          <w:shd w:val="clear" w:color="auto" w:fill="FFFFFF"/>
        </w:rPr>
        <w:t>. 2009; </w:t>
      </w:r>
      <w:r w:rsidRPr="0074186C">
        <w:rPr>
          <w:rFonts w:cstheme="minorHAnsi"/>
          <w:i/>
          <w:iCs/>
          <w:shd w:val="clear" w:color="auto" w:fill="FFFFFF"/>
        </w:rPr>
        <w:t>30</w:t>
      </w:r>
      <w:r w:rsidRPr="0074186C">
        <w:rPr>
          <w:rFonts w:cstheme="minorHAnsi"/>
          <w:shd w:val="clear" w:color="auto" w:fill="FFFFFF"/>
        </w:rPr>
        <w:t>(2):173-176.</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74186C">
        <w:rPr>
          <w:rFonts w:cstheme="minorHAnsi"/>
          <w:color w:val="000000"/>
          <w:shd w:val="clear" w:color="auto" w:fill="FFFFFF"/>
          <w:lang w:val="en-US"/>
        </w:rPr>
        <w:t>Al-</w:t>
      </w:r>
      <w:proofErr w:type="spellStart"/>
      <w:r w:rsidRPr="0074186C">
        <w:rPr>
          <w:rFonts w:cstheme="minorHAnsi"/>
          <w:color w:val="000000"/>
          <w:shd w:val="clear" w:color="auto" w:fill="FFFFFF"/>
          <w:lang w:val="en-US"/>
        </w:rPr>
        <w:t>Khani</w:t>
      </w:r>
      <w:proofErr w:type="spellEnd"/>
      <w:r w:rsidRPr="0074186C">
        <w:rPr>
          <w:rFonts w:cstheme="minorHAnsi"/>
          <w:color w:val="000000"/>
          <w:shd w:val="clear" w:color="auto" w:fill="FFFFFF"/>
          <w:lang w:val="en-US"/>
        </w:rPr>
        <w:t xml:space="preserve"> S, </w:t>
      </w:r>
      <w:proofErr w:type="spellStart"/>
      <w:r w:rsidRPr="0074186C">
        <w:rPr>
          <w:rFonts w:cstheme="minorHAnsi"/>
          <w:color w:val="000000"/>
          <w:shd w:val="clear" w:color="auto" w:fill="FFFFFF"/>
          <w:lang w:val="en-US"/>
        </w:rPr>
        <w:t>Moharram</w:t>
      </w:r>
      <w:proofErr w:type="spellEnd"/>
      <w:r w:rsidRPr="0074186C">
        <w:rPr>
          <w:rFonts w:cstheme="minorHAnsi"/>
          <w:color w:val="000000"/>
          <w:shd w:val="clear" w:color="auto" w:fill="FFFFFF"/>
          <w:lang w:val="en-US"/>
        </w:rPr>
        <w:t xml:space="preserve"> A, </w:t>
      </w:r>
      <w:proofErr w:type="spellStart"/>
      <w:r w:rsidRPr="0074186C">
        <w:rPr>
          <w:rFonts w:cstheme="minorHAnsi"/>
          <w:color w:val="000000"/>
          <w:shd w:val="clear" w:color="auto" w:fill="FFFFFF"/>
          <w:lang w:val="en-US"/>
        </w:rPr>
        <w:t>Aljadhey</w:t>
      </w:r>
      <w:proofErr w:type="spellEnd"/>
      <w:r w:rsidRPr="0074186C">
        <w:rPr>
          <w:rFonts w:cstheme="minorHAnsi"/>
          <w:color w:val="000000"/>
          <w:shd w:val="clear" w:color="auto" w:fill="FFFFFF"/>
          <w:lang w:val="en-US"/>
        </w:rPr>
        <w:t xml:space="preserve"> </w:t>
      </w:r>
      <w:proofErr w:type="spellStart"/>
      <w:r w:rsidRPr="0074186C">
        <w:rPr>
          <w:rFonts w:cstheme="minorHAnsi"/>
          <w:color w:val="000000"/>
          <w:shd w:val="clear" w:color="auto" w:fill="FFFFFF"/>
          <w:lang w:val="en-US"/>
        </w:rPr>
        <w:t>H.Factors</w:t>
      </w:r>
      <w:proofErr w:type="spellEnd"/>
      <w:r w:rsidRPr="0074186C">
        <w:rPr>
          <w:rFonts w:cstheme="minorHAnsi"/>
          <w:color w:val="000000"/>
          <w:shd w:val="clear" w:color="auto" w:fill="FFFFFF"/>
          <w:lang w:val="en-US"/>
        </w:rPr>
        <w:t xml:space="preserve"> contributing to the identification and prevention of incorrect drug prescribing errors in outpatient setting. </w:t>
      </w:r>
      <w:proofErr w:type="spellStart"/>
      <w:r w:rsidRPr="0074186C">
        <w:rPr>
          <w:rStyle w:val="ref-journal"/>
          <w:rFonts w:cstheme="minorHAnsi"/>
          <w:color w:val="000000"/>
          <w:shd w:val="clear" w:color="auto" w:fill="FFFFFF"/>
        </w:rPr>
        <w:t>Saudi</w:t>
      </w:r>
      <w:proofErr w:type="spellEnd"/>
      <w:r w:rsidRPr="0074186C">
        <w:rPr>
          <w:rStyle w:val="ref-journal"/>
          <w:rFonts w:cstheme="minorHAnsi"/>
          <w:color w:val="000000"/>
          <w:shd w:val="clear" w:color="auto" w:fill="FFFFFF"/>
        </w:rPr>
        <w:t xml:space="preserve"> </w:t>
      </w:r>
      <w:proofErr w:type="spellStart"/>
      <w:r w:rsidRPr="0074186C">
        <w:rPr>
          <w:rStyle w:val="ref-journal"/>
          <w:rFonts w:cstheme="minorHAnsi"/>
          <w:color w:val="000000"/>
          <w:shd w:val="clear" w:color="auto" w:fill="FFFFFF"/>
        </w:rPr>
        <w:t>Pharm</w:t>
      </w:r>
      <w:proofErr w:type="spellEnd"/>
      <w:r w:rsidRPr="0074186C">
        <w:rPr>
          <w:rStyle w:val="ref-journal"/>
          <w:rFonts w:cstheme="minorHAnsi"/>
          <w:color w:val="000000"/>
          <w:shd w:val="clear" w:color="auto" w:fill="FFFFFF"/>
        </w:rPr>
        <w:t xml:space="preserve"> J. 2014;</w:t>
      </w:r>
      <w:r w:rsidRPr="0074186C">
        <w:rPr>
          <w:rStyle w:val="ref-vol"/>
          <w:rFonts w:cstheme="minorHAnsi"/>
          <w:color w:val="000000"/>
          <w:shd w:val="clear" w:color="auto" w:fill="FFFFFF"/>
        </w:rPr>
        <w:t>22</w:t>
      </w:r>
      <w:r w:rsidRPr="0074186C">
        <w:rPr>
          <w:rFonts w:cstheme="minorHAnsi"/>
          <w:color w:val="000000"/>
          <w:shd w:val="clear" w:color="auto" w:fill="FFFFFF"/>
        </w:rPr>
        <w:t>(5):429–432.</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lang w:val="pt-BR"/>
        </w:rPr>
        <w:t>Dias CRC, Romano-</w:t>
      </w:r>
      <w:proofErr w:type="spellStart"/>
      <w:r w:rsidRPr="00E5043A">
        <w:rPr>
          <w:rFonts w:cstheme="minorHAnsi"/>
          <w:lang w:val="pt-BR"/>
        </w:rPr>
        <w:t>Lieber</w:t>
      </w:r>
      <w:proofErr w:type="spellEnd"/>
      <w:r w:rsidRPr="00E5043A">
        <w:rPr>
          <w:rFonts w:cstheme="minorHAnsi"/>
          <w:lang w:val="pt-BR"/>
        </w:rPr>
        <w:t xml:space="preserve"> </w:t>
      </w:r>
      <w:proofErr w:type="spellStart"/>
      <w:proofErr w:type="gramStart"/>
      <w:r w:rsidRPr="00E5043A">
        <w:rPr>
          <w:rFonts w:cstheme="minorHAnsi"/>
          <w:lang w:val="pt-BR"/>
        </w:rPr>
        <w:t>NS.Processos</w:t>
      </w:r>
      <w:proofErr w:type="spellEnd"/>
      <w:proofErr w:type="gramEnd"/>
      <w:r w:rsidRPr="00E5043A">
        <w:rPr>
          <w:rFonts w:cstheme="minorHAnsi"/>
          <w:lang w:val="pt-BR"/>
        </w:rPr>
        <w:t xml:space="preserve"> da implantação da política de medicamentos genéricos no Brasil. </w:t>
      </w:r>
      <w:proofErr w:type="spellStart"/>
      <w:r w:rsidRPr="0074186C">
        <w:rPr>
          <w:rFonts w:cstheme="minorHAnsi"/>
        </w:rPr>
        <w:t>Cad</w:t>
      </w:r>
      <w:proofErr w:type="spellEnd"/>
      <w:r w:rsidRPr="0074186C">
        <w:rPr>
          <w:rFonts w:cstheme="minorHAnsi"/>
        </w:rPr>
        <w:t xml:space="preserve">. </w:t>
      </w:r>
      <w:proofErr w:type="spellStart"/>
      <w:r w:rsidRPr="0074186C">
        <w:rPr>
          <w:rFonts w:cstheme="minorHAnsi"/>
        </w:rPr>
        <w:t>Saúde</w:t>
      </w:r>
      <w:proofErr w:type="spellEnd"/>
      <w:r w:rsidRPr="0074186C">
        <w:rPr>
          <w:rFonts w:cstheme="minorHAnsi"/>
        </w:rPr>
        <w:t xml:space="preserve"> Pública. 2006; 22(8).</w:t>
      </w:r>
    </w:p>
    <w:p w:rsidR="006C6B7E" w:rsidRPr="0074186C" w:rsidRDefault="006C6B7E" w:rsidP="006C6B7E">
      <w:pPr>
        <w:pStyle w:val="Prrafodelista"/>
        <w:spacing w:line="276" w:lineRule="auto"/>
        <w:ind w:left="644"/>
        <w:jc w:val="both"/>
        <w:rPr>
          <w:rFonts w:cstheme="minorHAnsi"/>
        </w:rPr>
      </w:pPr>
      <w:r w:rsidRPr="0074186C">
        <w:rPr>
          <w:rFonts w:cstheme="minorHAnsi"/>
        </w:rPr>
        <w:t xml:space="preserve">      </w:t>
      </w:r>
    </w:p>
    <w:p w:rsidR="006C6B7E" w:rsidRPr="0074186C" w:rsidRDefault="006C6B7E" w:rsidP="006C6B7E">
      <w:pPr>
        <w:pStyle w:val="Prrafodelista"/>
        <w:numPr>
          <w:ilvl w:val="0"/>
          <w:numId w:val="1"/>
        </w:numPr>
        <w:jc w:val="both"/>
        <w:rPr>
          <w:rFonts w:cstheme="minorHAnsi"/>
        </w:rPr>
      </w:pPr>
      <w:proofErr w:type="spellStart"/>
      <w:r w:rsidRPr="00E5043A">
        <w:rPr>
          <w:rFonts w:cstheme="minorHAnsi"/>
          <w:lang w:val="pt-BR"/>
        </w:rPr>
        <w:t>Nicolini</w:t>
      </w:r>
      <w:proofErr w:type="spellEnd"/>
      <w:r w:rsidRPr="00E5043A">
        <w:rPr>
          <w:rFonts w:cstheme="minorHAnsi"/>
          <w:lang w:val="pt-BR"/>
        </w:rPr>
        <w:t xml:space="preserve"> P, Nascimento JWL, Greco KV, Menezes FG. 2008. Fatores relacionados à Prescrição Médica de Antibióticos em Farmácia Pública da Região Oeste da Cidade de São Paulo. </w:t>
      </w:r>
      <w:proofErr w:type="spellStart"/>
      <w:r w:rsidRPr="0074186C">
        <w:rPr>
          <w:rFonts w:cstheme="minorHAnsi"/>
        </w:rPr>
        <w:t>Ciênc</w:t>
      </w:r>
      <w:proofErr w:type="spellEnd"/>
      <w:r w:rsidRPr="0074186C">
        <w:rPr>
          <w:rFonts w:cstheme="minorHAnsi"/>
        </w:rPr>
        <w:t xml:space="preserve"> </w:t>
      </w:r>
      <w:proofErr w:type="spellStart"/>
      <w:r w:rsidRPr="0074186C">
        <w:rPr>
          <w:rFonts w:cstheme="minorHAnsi"/>
        </w:rPr>
        <w:t>Saúde</w:t>
      </w:r>
      <w:proofErr w:type="spellEnd"/>
      <w:r w:rsidRPr="0074186C">
        <w:rPr>
          <w:rFonts w:cstheme="minorHAnsi"/>
        </w:rPr>
        <w:t xml:space="preserve"> </w:t>
      </w:r>
      <w:proofErr w:type="spellStart"/>
      <w:r w:rsidRPr="0074186C">
        <w:rPr>
          <w:rFonts w:cstheme="minorHAnsi"/>
        </w:rPr>
        <w:t>Coletiva</w:t>
      </w:r>
      <w:proofErr w:type="spellEnd"/>
      <w:r w:rsidRPr="0074186C">
        <w:rPr>
          <w:rFonts w:cstheme="minorHAnsi"/>
        </w:rPr>
        <w:t>. 2008;13(</w:t>
      </w:r>
      <w:proofErr w:type="spellStart"/>
      <w:r w:rsidRPr="0074186C">
        <w:rPr>
          <w:rFonts w:cstheme="minorHAnsi"/>
        </w:rPr>
        <w:t>supl</w:t>
      </w:r>
      <w:proofErr w:type="spellEnd"/>
      <w:r w:rsidRPr="0074186C">
        <w:rPr>
          <w:rFonts w:cstheme="minorHAnsi"/>
        </w:rPr>
        <w:t>):689-96.</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jc w:val="both"/>
        <w:rPr>
          <w:rFonts w:cstheme="minorHAnsi"/>
        </w:rPr>
      </w:pPr>
      <w:r w:rsidRPr="0074186C">
        <w:rPr>
          <w:rFonts w:cstheme="minorHAnsi"/>
          <w:shd w:val="clear" w:color="auto" w:fill="FFFFFF"/>
          <w:lang w:val="en-US"/>
        </w:rPr>
        <w:t>Kamath A. Prescribing generic drugs using a generic name: Are we teaching it right</w:t>
      </w:r>
      <w:proofErr w:type="gramStart"/>
      <w:r w:rsidRPr="0074186C">
        <w:rPr>
          <w:rFonts w:cstheme="minorHAnsi"/>
          <w:shd w:val="clear" w:color="auto" w:fill="FFFFFF"/>
          <w:lang w:val="en-US"/>
        </w:rPr>
        <w:t>?.</w:t>
      </w:r>
      <w:proofErr w:type="gramEnd"/>
      <w:r w:rsidRPr="0074186C">
        <w:rPr>
          <w:rFonts w:cstheme="minorHAnsi"/>
          <w:shd w:val="clear" w:color="auto" w:fill="FFFFFF"/>
          <w:lang w:val="en-US"/>
        </w:rPr>
        <w:t> </w:t>
      </w:r>
      <w:r w:rsidRPr="0074186C">
        <w:rPr>
          <w:rStyle w:val="Textoennegrita"/>
          <w:rFonts w:cstheme="minorHAnsi"/>
          <w:shd w:val="clear" w:color="auto" w:fill="FFFFFF"/>
          <w:lang w:val="en-US"/>
        </w:rPr>
        <w:t xml:space="preserve">Indian Journal of Medical Ethics </w:t>
      </w:r>
      <w:r w:rsidRPr="0074186C">
        <w:rPr>
          <w:rFonts w:cstheme="minorHAnsi"/>
          <w:shd w:val="clear" w:color="auto" w:fill="FFFFFF"/>
          <w:lang w:val="en-US"/>
        </w:rPr>
        <w:t>.</w:t>
      </w:r>
      <w:proofErr w:type="gramStart"/>
      <w:r w:rsidRPr="0074186C">
        <w:rPr>
          <w:rFonts w:cstheme="minorHAnsi"/>
          <w:shd w:val="clear" w:color="auto" w:fill="FFFFFF"/>
          <w:lang w:val="en-US"/>
        </w:rPr>
        <w:t>2016 ;</w:t>
      </w:r>
      <w:proofErr w:type="gramEnd"/>
      <w:r w:rsidRPr="0074186C">
        <w:rPr>
          <w:rFonts w:cstheme="minorHAnsi"/>
          <w:shd w:val="clear" w:color="auto" w:fill="FFFFFF"/>
          <w:lang w:val="en-US"/>
        </w:rPr>
        <w:t xml:space="preserve"> (1):194.</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proofErr w:type="spellStart"/>
      <w:r w:rsidRPr="0074186C">
        <w:rPr>
          <w:rFonts w:cstheme="minorHAnsi"/>
          <w:lang w:val="en-US"/>
        </w:rPr>
        <w:t>Bejamin</w:t>
      </w:r>
      <w:proofErr w:type="spellEnd"/>
      <w:r w:rsidRPr="0074186C">
        <w:rPr>
          <w:rFonts w:cstheme="minorHAnsi"/>
          <w:lang w:val="en-US"/>
        </w:rPr>
        <w:t xml:space="preserve"> D. Reducing medication errors and increasing patient safety: case studies in clinical pharmacology. </w:t>
      </w:r>
      <w:r w:rsidRPr="0074186C">
        <w:rPr>
          <w:rFonts w:cstheme="minorHAnsi"/>
        </w:rPr>
        <w:t xml:space="preserve">J </w:t>
      </w:r>
      <w:proofErr w:type="spellStart"/>
      <w:r w:rsidRPr="0074186C">
        <w:rPr>
          <w:rFonts w:cstheme="minorHAnsi"/>
        </w:rPr>
        <w:t>Clin</w:t>
      </w:r>
      <w:proofErr w:type="spellEnd"/>
      <w:r w:rsidRPr="0074186C">
        <w:rPr>
          <w:rFonts w:cstheme="minorHAnsi"/>
        </w:rPr>
        <w:t xml:space="preserve"> </w:t>
      </w:r>
      <w:proofErr w:type="spellStart"/>
      <w:r w:rsidRPr="0074186C">
        <w:rPr>
          <w:rFonts w:cstheme="minorHAnsi"/>
        </w:rPr>
        <w:t>Pharmacol</w:t>
      </w:r>
      <w:proofErr w:type="spellEnd"/>
      <w:r w:rsidRPr="0074186C">
        <w:rPr>
          <w:rFonts w:cstheme="minorHAnsi"/>
        </w:rPr>
        <w:t>. 2003; (43):768-83.</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lang w:val="en-US"/>
        </w:rPr>
      </w:pPr>
      <w:proofErr w:type="spellStart"/>
      <w:r w:rsidRPr="0074186C">
        <w:rPr>
          <w:rFonts w:cstheme="minorHAnsi"/>
          <w:lang w:val="en-US"/>
        </w:rPr>
        <w:lastRenderedPageBreak/>
        <w:t>Gurwitz</w:t>
      </w:r>
      <w:proofErr w:type="spellEnd"/>
      <w:r w:rsidRPr="0074186C">
        <w:rPr>
          <w:rFonts w:cstheme="minorHAnsi"/>
          <w:lang w:val="en-US"/>
        </w:rPr>
        <w:t xml:space="preserve"> JH, Field TS, Harrold LR, Rothschild J, </w:t>
      </w:r>
      <w:proofErr w:type="spellStart"/>
      <w:r w:rsidRPr="0074186C">
        <w:rPr>
          <w:rFonts w:cstheme="minorHAnsi"/>
          <w:lang w:val="en-US"/>
        </w:rPr>
        <w:t>Debellis</w:t>
      </w:r>
      <w:proofErr w:type="spellEnd"/>
      <w:r w:rsidRPr="0074186C">
        <w:rPr>
          <w:rFonts w:cstheme="minorHAnsi"/>
          <w:lang w:val="en-US"/>
        </w:rPr>
        <w:t xml:space="preserve"> K, </w:t>
      </w:r>
      <w:proofErr w:type="spellStart"/>
      <w:r w:rsidRPr="0074186C">
        <w:rPr>
          <w:rFonts w:cstheme="minorHAnsi"/>
          <w:lang w:val="en-US"/>
        </w:rPr>
        <w:t>Seger</w:t>
      </w:r>
      <w:proofErr w:type="spellEnd"/>
      <w:r w:rsidRPr="0074186C">
        <w:rPr>
          <w:rFonts w:cstheme="minorHAnsi"/>
          <w:lang w:val="en-US"/>
        </w:rPr>
        <w:t xml:space="preserve"> </w:t>
      </w:r>
      <w:proofErr w:type="spellStart"/>
      <w:r w:rsidRPr="0074186C">
        <w:rPr>
          <w:rFonts w:cstheme="minorHAnsi"/>
          <w:lang w:val="en-US"/>
        </w:rPr>
        <w:t>AC.Incidence</w:t>
      </w:r>
      <w:proofErr w:type="spellEnd"/>
      <w:r w:rsidRPr="0074186C">
        <w:rPr>
          <w:rFonts w:cstheme="minorHAnsi"/>
          <w:lang w:val="en-US"/>
        </w:rPr>
        <w:t xml:space="preserve"> and preventability of adverse drug events among older persons in the ambulatory setting. JAMA. </w:t>
      </w:r>
      <w:proofErr w:type="gramStart"/>
      <w:r w:rsidRPr="0074186C">
        <w:rPr>
          <w:rFonts w:cstheme="minorHAnsi"/>
          <w:lang w:val="en-US"/>
        </w:rPr>
        <w:t>2003</w:t>
      </w:r>
      <w:proofErr w:type="gramEnd"/>
      <w:r w:rsidRPr="0074186C">
        <w:rPr>
          <w:rFonts w:cstheme="minorHAnsi"/>
          <w:lang w:val="en-US"/>
        </w:rPr>
        <w:t>; 289(9):1107-16.</w:t>
      </w:r>
    </w:p>
    <w:p w:rsidR="006C6B7E" w:rsidRPr="0074186C" w:rsidRDefault="006C6B7E" w:rsidP="006C6B7E">
      <w:pPr>
        <w:pStyle w:val="Prrafodelista"/>
        <w:jc w:val="both"/>
        <w:rPr>
          <w:rFonts w:cstheme="minorHAnsi"/>
          <w:lang w:val="en-US"/>
        </w:rPr>
      </w:pPr>
    </w:p>
    <w:p w:rsidR="006C6B7E" w:rsidRPr="0074186C" w:rsidRDefault="006C6B7E" w:rsidP="006C6B7E">
      <w:pPr>
        <w:pStyle w:val="Prrafodelista"/>
        <w:numPr>
          <w:ilvl w:val="0"/>
          <w:numId w:val="1"/>
        </w:numPr>
        <w:spacing w:line="276" w:lineRule="auto"/>
        <w:jc w:val="both"/>
        <w:rPr>
          <w:rFonts w:cstheme="minorHAnsi"/>
        </w:rPr>
      </w:pPr>
      <w:proofErr w:type="spellStart"/>
      <w:r w:rsidRPr="00E5043A">
        <w:rPr>
          <w:rFonts w:cstheme="minorHAnsi"/>
          <w:lang w:val="pt-BR"/>
        </w:rPr>
        <w:t>Kawano</w:t>
      </w:r>
      <w:proofErr w:type="spellEnd"/>
      <w:r w:rsidRPr="00E5043A">
        <w:rPr>
          <w:rFonts w:cstheme="minorHAnsi"/>
          <w:lang w:val="pt-BR"/>
        </w:rPr>
        <w:t xml:space="preserve"> DF, Pereira LRL, </w:t>
      </w:r>
      <w:proofErr w:type="spellStart"/>
      <w:r w:rsidRPr="00E5043A">
        <w:rPr>
          <w:rFonts w:cstheme="minorHAnsi"/>
          <w:lang w:val="pt-BR"/>
        </w:rPr>
        <w:t>Ueta</w:t>
      </w:r>
      <w:proofErr w:type="spellEnd"/>
      <w:r w:rsidRPr="00E5043A">
        <w:rPr>
          <w:rFonts w:cstheme="minorHAnsi"/>
          <w:lang w:val="pt-BR"/>
        </w:rPr>
        <w:t xml:space="preserve"> JM, Freitas </w:t>
      </w:r>
      <w:proofErr w:type="spellStart"/>
      <w:proofErr w:type="gramStart"/>
      <w:r w:rsidRPr="00E5043A">
        <w:rPr>
          <w:rFonts w:cstheme="minorHAnsi"/>
          <w:lang w:val="pt-BR"/>
        </w:rPr>
        <w:t>O.Acidentes</w:t>
      </w:r>
      <w:proofErr w:type="spellEnd"/>
      <w:proofErr w:type="gramEnd"/>
      <w:r w:rsidRPr="00E5043A">
        <w:rPr>
          <w:rFonts w:cstheme="minorHAnsi"/>
          <w:lang w:val="pt-BR"/>
        </w:rPr>
        <w:t xml:space="preserve"> com medicamentos: como minimizá-los. </w:t>
      </w:r>
      <w:proofErr w:type="spellStart"/>
      <w:r w:rsidRPr="0074186C">
        <w:rPr>
          <w:rFonts w:cstheme="minorHAnsi"/>
        </w:rPr>
        <w:t>Rev</w:t>
      </w:r>
      <w:proofErr w:type="spellEnd"/>
      <w:r w:rsidRPr="0074186C">
        <w:rPr>
          <w:rFonts w:cstheme="minorHAnsi"/>
        </w:rPr>
        <w:t xml:space="preserve"> </w:t>
      </w:r>
      <w:proofErr w:type="spellStart"/>
      <w:r w:rsidRPr="0074186C">
        <w:rPr>
          <w:rFonts w:cstheme="minorHAnsi"/>
        </w:rPr>
        <w:t>Bras</w:t>
      </w:r>
      <w:proofErr w:type="spellEnd"/>
      <w:r w:rsidRPr="0074186C">
        <w:rPr>
          <w:rFonts w:cstheme="minorHAnsi"/>
        </w:rPr>
        <w:t xml:space="preserve"> </w:t>
      </w:r>
      <w:proofErr w:type="spellStart"/>
      <w:r w:rsidRPr="0074186C">
        <w:rPr>
          <w:rFonts w:cstheme="minorHAnsi"/>
        </w:rPr>
        <w:t>Cienc</w:t>
      </w:r>
      <w:proofErr w:type="spellEnd"/>
      <w:r w:rsidRPr="0074186C">
        <w:rPr>
          <w:rFonts w:cstheme="minorHAnsi"/>
        </w:rPr>
        <w:t xml:space="preserve">. </w:t>
      </w:r>
      <w:proofErr w:type="spellStart"/>
      <w:proofErr w:type="gramStart"/>
      <w:r w:rsidRPr="0074186C">
        <w:rPr>
          <w:rFonts w:cstheme="minorHAnsi"/>
        </w:rPr>
        <w:t>Farm</w:t>
      </w:r>
      <w:proofErr w:type="spellEnd"/>
      <w:r w:rsidRPr="0074186C">
        <w:rPr>
          <w:rFonts w:cstheme="minorHAnsi"/>
        </w:rPr>
        <w:t xml:space="preserve"> .</w:t>
      </w:r>
      <w:proofErr w:type="gramEnd"/>
      <w:r w:rsidRPr="0074186C">
        <w:rPr>
          <w:rFonts w:cstheme="minorHAnsi"/>
        </w:rPr>
        <w:t xml:space="preserve"> 2006 ;42(4):487- 95.</w:t>
      </w:r>
    </w:p>
    <w:p w:rsidR="006C6B7E" w:rsidRPr="0074186C" w:rsidRDefault="006C6B7E" w:rsidP="006C6B7E">
      <w:pPr>
        <w:pStyle w:val="Prrafodelista"/>
        <w:jc w:val="both"/>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E5043A">
        <w:rPr>
          <w:rFonts w:cstheme="minorHAnsi"/>
          <w:shd w:val="clear" w:color="auto" w:fill="FFFFFF"/>
          <w:lang w:val="pt-BR"/>
        </w:rPr>
        <w:t xml:space="preserve">Souza GFM. Silva, KFF. Brito, </w:t>
      </w:r>
      <w:proofErr w:type="spellStart"/>
      <w:r w:rsidRPr="00E5043A">
        <w:rPr>
          <w:rFonts w:cstheme="minorHAnsi"/>
          <w:shd w:val="clear" w:color="auto" w:fill="FFFFFF"/>
          <w:lang w:val="pt-BR"/>
        </w:rPr>
        <w:t>ARM.Prescrição</w:t>
      </w:r>
      <w:proofErr w:type="spellEnd"/>
      <w:r w:rsidRPr="00E5043A">
        <w:rPr>
          <w:rFonts w:cstheme="minorHAnsi"/>
          <w:shd w:val="clear" w:color="auto" w:fill="FFFFFF"/>
          <w:lang w:val="pt-BR"/>
        </w:rPr>
        <w:t xml:space="preserve"> medicamentosa em Odontologia: normas e condutas.</w:t>
      </w:r>
      <w:r w:rsidRPr="00E5043A">
        <w:rPr>
          <w:rFonts w:cstheme="minorHAnsi"/>
          <w:lang w:val="pt-BR"/>
        </w:rPr>
        <w:t xml:space="preserve"> </w:t>
      </w:r>
      <w:proofErr w:type="spellStart"/>
      <w:r w:rsidRPr="0074186C">
        <w:rPr>
          <w:rFonts w:cstheme="minorHAnsi"/>
        </w:rPr>
        <w:t>Cad</w:t>
      </w:r>
      <w:proofErr w:type="spellEnd"/>
      <w:r w:rsidRPr="0074186C">
        <w:rPr>
          <w:rFonts w:cstheme="minorHAnsi"/>
        </w:rPr>
        <w:t xml:space="preserve">. </w:t>
      </w:r>
      <w:proofErr w:type="spellStart"/>
      <w:r w:rsidRPr="0074186C">
        <w:rPr>
          <w:rFonts w:cstheme="minorHAnsi"/>
        </w:rPr>
        <w:t>Saúde</w:t>
      </w:r>
      <w:proofErr w:type="spellEnd"/>
      <w:r w:rsidRPr="0074186C">
        <w:rPr>
          <w:rFonts w:cstheme="minorHAnsi"/>
        </w:rPr>
        <w:t xml:space="preserve"> </w:t>
      </w:r>
      <w:proofErr w:type="spellStart"/>
      <w:r w:rsidRPr="0074186C">
        <w:rPr>
          <w:rFonts w:cstheme="minorHAnsi"/>
        </w:rPr>
        <w:t>Colet</w:t>
      </w:r>
      <w:proofErr w:type="spellEnd"/>
      <w:r w:rsidRPr="0074186C">
        <w:rPr>
          <w:rFonts w:cstheme="minorHAnsi"/>
        </w:rPr>
        <w:t xml:space="preserve">. 2011 ;19 (2): 208-214. </w:t>
      </w:r>
    </w:p>
    <w:p w:rsidR="006C6B7E" w:rsidRPr="0074186C" w:rsidRDefault="006C6B7E" w:rsidP="006C6B7E">
      <w:pPr>
        <w:pStyle w:val="Prrafodelista"/>
        <w:rPr>
          <w:rFonts w:cstheme="minorHAnsi"/>
        </w:rPr>
      </w:pPr>
    </w:p>
    <w:p w:rsidR="006C6B7E" w:rsidRPr="0074186C" w:rsidRDefault="006C6B7E" w:rsidP="006C6B7E">
      <w:pPr>
        <w:pStyle w:val="Prrafodelista"/>
        <w:numPr>
          <w:ilvl w:val="0"/>
          <w:numId w:val="1"/>
        </w:numPr>
        <w:spacing w:line="276" w:lineRule="auto"/>
        <w:jc w:val="both"/>
        <w:rPr>
          <w:rFonts w:cstheme="minorHAnsi"/>
        </w:rPr>
      </w:pPr>
      <w:r w:rsidRPr="00897354">
        <w:rPr>
          <w:rFonts w:cstheme="minorHAnsi"/>
          <w:lang w:val="en-US"/>
        </w:rPr>
        <w:t xml:space="preserve">Varghese NJ, </w:t>
      </w:r>
      <w:proofErr w:type="spellStart"/>
      <w:r w:rsidRPr="00897354">
        <w:rPr>
          <w:rFonts w:cstheme="minorHAnsi"/>
          <w:lang w:val="en-US"/>
        </w:rPr>
        <w:t>Ramanarayanan</w:t>
      </w:r>
      <w:proofErr w:type="spellEnd"/>
      <w:r w:rsidRPr="00897354">
        <w:rPr>
          <w:rFonts w:cstheme="minorHAnsi"/>
          <w:lang w:val="en-US"/>
        </w:rPr>
        <w:t xml:space="preserve"> V, </w:t>
      </w:r>
      <w:proofErr w:type="spellStart"/>
      <w:r w:rsidRPr="00897354">
        <w:rPr>
          <w:rFonts w:cstheme="minorHAnsi"/>
          <w:lang w:val="en-US"/>
        </w:rPr>
        <w:t>Janakiram</w:t>
      </w:r>
      <w:proofErr w:type="spellEnd"/>
      <w:r w:rsidRPr="00897354">
        <w:rPr>
          <w:rFonts w:cstheme="minorHAnsi"/>
          <w:lang w:val="en-US"/>
        </w:rPr>
        <w:t xml:space="preserve"> C, Joseph J. Assessment of Quality of Prescription Writing among Dental and Medical Students and Practitioners in Kerala. </w:t>
      </w:r>
      <w:r w:rsidRPr="0074186C">
        <w:rPr>
          <w:rFonts w:cstheme="minorHAnsi"/>
        </w:rPr>
        <w:t xml:space="preserve">J </w:t>
      </w:r>
      <w:proofErr w:type="spellStart"/>
      <w:r w:rsidRPr="0074186C">
        <w:rPr>
          <w:rFonts w:cstheme="minorHAnsi"/>
        </w:rPr>
        <w:t>Nat</w:t>
      </w:r>
      <w:proofErr w:type="spellEnd"/>
      <w:r w:rsidRPr="0074186C">
        <w:rPr>
          <w:rFonts w:cstheme="minorHAnsi"/>
        </w:rPr>
        <w:t xml:space="preserve"> </w:t>
      </w:r>
      <w:proofErr w:type="spellStart"/>
      <w:r w:rsidRPr="0074186C">
        <w:rPr>
          <w:rFonts w:cstheme="minorHAnsi"/>
        </w:rPr>
        <w:t>Sci</w:t>
      </w:r>
      <w:proofErr w:type="spellEnd"/>
      <w:r w:rsidRPr="0074186C">
        <w:rPr>
          <w:rFonts w:cstheme="minorHAnsi"/>
        </w:rPr>
        <w:t xml:space="preserve"> </w:t>
      </w:r>
      <w:proofErr w:type="spellStart"/>
      <w:r w:rsidRPr="0074186C">
        <w:rPr>
          <w:rFonts w:cstheme="minorHAnsi"/>
        </w:rPr>
        <w:t>Biol</w:t>
      </w:r>
      <w:proofErr w:type="spellEnd"/>
      <w:r w:rsidRPr="0074186C">
        <w:rPr>
          <w:rFonts w:cstheme="minorHAnsi"/>
        </w:rPr>
        <w:t xml:space="preserve"> </w:t>
      </w:r>
      <w:proofErr w:type="spellStart"/>
      <w:r w:rsidRPr="0074186C">
        <w:rPr>
          <w:rFonts w:cstheme="minorHAnsi"/>
        </w:rPr>
        <w:t>Med</w:t>
      </w:r>
      <w:proofErr w:type="spellEnd"/>
      <w:r w:rsidRPr="0074186C">
        <w:rPr>
          <w:rFonts w:cstheme="minorHAnsi"/>
        </w:rPr>
        <w:t xml:space="preserve">. </w:t>
      </w:r>
      <w:proofErr w:type="gramStart"/>
      <w:r w:rsidRPr="0074186C">
        <w:rPr>
          <w:rFonts w:cstheme="minorHAnsi"/>
        </w:rPr>
        <w:t>2018 ;</w:t>
      </w:r>
      <w:proofErr w:type="gramEnd"/>
      <w:r w:rsidRPr="0074186C">
        <w:rPr>
          <w:rFonts w:cstheme="minorHAnsi"/>
        </w:rPr>
        <w:t xml:space="preserve"> 9(1):27–33. </w:t>
      </w:r>
    </w:p>
    <w:p w:rsidR="006C6B7E" w:rsidRPr="0074186C" w:rsidRDefault="006C6B7E" w:rsidP="006C6B7E">
      <w:pPr>
        <w:pStyle w:val="Prrafodelista"/>
        <w:rPr>
          <w:rFonts w:cstheme="minorHAnsi"/>
        </w:rPr>
      </w:pPr>
    </w:p>
    <w:p w:rsidR="006C6B7E" w:rsidRPr="0074186C" w:rsidRDefault="006C6B7E" w:rsidP="006C6B7E">
      <w:pPr>
        <w:pStyle w:val="Prrafodelista"/>
        <w:numPr>
          <w:ilvl w:val="0"/>
          <w:numId w:val="1"/>
        </w:numPr>
        <w:rPr>
          <w:rFonts w:cstheme="minorHAnsi"/>
        </w:rPr>
      </w:pPr>
      <w:proofErr w:type="spellStart"/>
      <w:r w:rsidRPr="00897354">
        <w:rPr>
          <w:rFonts w:cstheme="minorHAnsi"/>
        </w:rPr>
        <w:t>Arreaza</w:t>
      </w:r>
      <w:proofErr w:type="spellEnd"/>
      <w:r w:rsidRPr="00897354">
        <w:rPr>
          <w:rFonts w:cstheme="minorHAnsi"/>
        </w:rPr>
        <w:t xml:space="preserve">, A. Un documento legal en el </w:t>
      </w:r>
      <w:proofErr w:type="gramStart"/>
      <w:r w:rsidRPr="00897354">
        <w:rPr>
          <w:rFonts w:cstheme="minorHAnsi"/>
        </w:rPr>
        <w:t>consultorio::</w:t>
      </w:r>
      <w:proofErr w:type="gramEnd"/>
      <w:r w:rsidRPr="00897354">
        <w:rPr>
          <w:rFonts w:cstheme="minorHAnsi"/>
        </w:rPr>
        <w:t xml:space="preserve"> el récipe farmacológico. </w:t>
      </w:r>
      <w:r w:rsidRPr="0074186C">
        <w:rPr>
          <w:rFonts w:cstheme="minorHAnsi"/>
        </w:rPr>
        <w:t>Acta odontológica venezolana. 2013; 51(1), 53-54.</w:t>
      </w:r>
    </w:p>
    <w:p w:rsidR="006C6B7E" w:rsidRPr="0074186C" w:rsidRDefault="006C6B7E" w:rsidP="006C6B7E">
      <w:pPr>
        <w:pStyle w:val="Prrafodelista"/>
        <w:rPr>
          <w:rFonts w:cstheme="minorHAnsi"/>
        </w:rPr>
      </w:pPr>
    </w:p>
    <w:p w:rsidR="006C6B7E" w:rsidRPr="0074186C" w:rsidRDefault="006C6B7E" w:rsidP="006C6B7E">
      <w:pPr>
        <w:pStyle w:val="Prrafodelista"/>
        <w:numPr>
          <w:ilvl w:val="0"/>
          <w:numId w:val="1"/>
        </w:numPr>
        <w:jc w:val="both"/>
        <w:rPr>
          <w:rFonts w:cstheme="minorHAnsi"/>
        </w:rPr>
      </w:pPr>
      <w:r w:rsidRPr="00E5043A">
        <w:rPr>
          <w:rFonts w:cstheme="minorHAnsi"/>
          <w:lang w:val="pt-BR"/>
        </w:rPr>
        <w:t xml:space="preserve">Carvalho AA, Almeida </w:t>
      </w:r>
      <w:proofErr w:type="spellStart"/>
      <w:r w:rsidRPr="00E5043A">
        <w:rPr>
          <w:rFonts w:cstheme="minorHAnsi"/>
          <w:lang w:val="pt-BR"/>
        </w:rPr>
        <w:t>Junio</w:t>
      </w:r>
      <w:proofErr w:type="spellEnd"/>
      <w:r w:rsidRPr="00E5043A">
        <w:rPr>
          <w:rFonts w:cstheme="minorHAnsi"/>
          <w:lang w:val="pt-BR"/>
        </w:rPr>
        <w:t xml:space="preserve"> LA, Cerdeira CD, Santos GB. Visão </w:t>
      </w:r>
      <w:proofErr w:type="spellStart"/>
      <w:r w:rsidRPr="00E5043A">
        <w:rPr>
          <w:rFonts w:cstheme="minorHAnsi"/>
          <w:lang w:val="pt-BR"/>
        </w:rPr>
        <w:t>farmacoterapêutica</w:t>
      </w:r>
      <w:proofErr w:type="spellEnd"/>
      <w:r w:rsidRPr="00E5043A">
        <w:rPr>
          <w:rFonts w:cstheme="minorHAnsi"/>
          <w:lang w:val="pt-BR"/>
        </w:rPr>
        <w:t xml:space="preserve"> em odontologia, frequência e classes de medicamentos prescritos em uma clínica odontológica de um município do sul de Minas-Gerais – MG. </w:t>
      </w:r>
      <w:proofErr w:type="spellStart"/>
      <w:r w:rsidRPr="0074186C">
        <w:rPr>
          <w:rFonts w:cstheme="minorHAnsi"/>
        </w:rPr>
        <w:t>Rev</w:t>
      </w:r>
      <w:proofErr w:type="spellEnd"/>
      <w:r w:rsidRPr="0074186C">
        <w:rPr>
          <w:rFonts w:cstheme="minorHAnsi"/>
        </w:rPr>
        <w:t xml:space="preserve"> </w:t>
      </w:r>
      <w:proofErr w:type="spellStart"/>
      <w:r w:rsidRPr="0074186C">
        <w:rPr>
          <w:rFonts w:cstheme="minorHAnsi"/>
        </w:rPr>
        <w:t>Odontol</w:t>
      </w:r>
      <w:proofErr w:type="spellEnd"/>
      <w:r w:rsidRPr="0074186C">
        <w:rPr>
          <w:rFonts w:cstheme="minorHAnsi"/>
        </w:rPr>
        <w:t xml:space="preserve"> </w:t>
      </w:r>
      <w:proofErr w:type="spellStart"/>
      <w:r w:rsidRPr="0074186C">
        <w:rPr>
          <w:rFonts w:cstheme="minorHAnsi"/>
        </w:rPr>
        <w:t>Bras</w:t>
      </w:r>
      <w:proofErr w:type="spellEnd"/>
      <w:r w:rsidRPr="0074186C">
        <w:rPr>
          <w:rFonts w:cstheme="minorHAnsi"/>
        </w:rPr>
        <w:t xml:space="preserve"> Central. </w:t>
      </w:r>
      <w:proofErr w:type="gramStart"/>
      <w:r w:rsidRPr="0074186C">
        <w:rPr>
          <w:rFonts w:cstheme="minorHAnsi"/>
        </w:rPr>
        <w:t>2017;26:48</w:t>
      </w:r>
      <w:proofErr w:type="gramEnd"/>
      <w:r w:rsidRPr="0074186C">
        <w:rPr>
          <w:rFonts w:cstheme="minorHAnsi"/>
        </w:rPr>
        <w:t>-51</w:t>
      </w:r>
    </w:p>
    <w:p w:rsidR="006C6B7E" w:rsidRPr="0074186C" w:rsidRDefault="006C6B7E" w:rsidP="006C6B7E">
      <w:pPr>
        <w:pStyle w:val="Prrafodelista"/>
        <w:rPr>
          <w:rFonts w:cstheme="minorHAnsi"/>
        </w:rPr>
      </w:pPr>
    </w:p>
    <w:p w:rsidR="006C6B7E" w:rsidRPr="0074186C" w:rsidRDefault="006C6B7E" w:rsidP="006C6B7E">
      <w:pPr>
        <w:pStyle w:val="Prrafodelista"/>
        <w:numPr>
          <w:ilvl w:val="0"/>
          <w:numId w:val="1"/>
        </w:numPr>
        <w:rPr>
          <w:rFonts w:cstheme="minorHAnsi"/>
        </w:rPr>
      </w:pPr>
      <w:proofErr w:type="spellStart"/>
      <w:r w:rsidRPr="00897354">
        <w:rPr>
          <w:rFonts w:cstheme="minorHAnsi"/>
          <w:lang w:val="en-US"/>
        </w:rPr>
        <w:t>Dyasanoor</w:t>
      </w:r>
      <w:proofErr w:type="spellEnd"/>
      <w:r w:rsidRPr="00897354">
        <w:rPr>
          <w:rFonts w:cstheme="minorHAnsi"/>
          <w:lang w:val="en-US"/>
        </w:rPr>
        <w:t xml:space="preserve"> S, </w:t>
      </w:r>
      <w:proofErr w:type="spellStart"/>
      <w:r w:rsidRPr="00897354">
        <w:rPr>
          <w:rFonts w:cstheme="minorHAnsi"/>
          <w:lang w:val="en-US"/>
        </w:rPr>
        <w:t>Urooge</w:t>
      </w:r>
      <w:proofErr w:type="spellEnd"/>
      <w:r w:rsidRPr="00897354">
        <w:rPr>
          <w:rFonts w:cstheme="minorHAnsi"/>
          <w:lang w:val="en-US"/>
        </w:rPr>
        <w:t xml:space="preserve"> A. Insight </w:t>
      </w:r>
      <w:proofErr w:type="gramStart"/>
      <w:r w:rsidRPr="00897354">
        <w:rPr>
          <w:rFonts w:cstheme="minorHAnsi"/>
          <w:lang w:val="en-US"/>
        </w:rPr>
        <w:t>Into</w:t>
      </w:r>
      <w:proofErr w:type="gramEnd"/>
      <w:r w:rsidRPr="00897354">
        <w:rPr>
          <w:rFonts w:cstheme="minorHAnsi"/>
          <w:lang w:val="en-US"/>
        </w:rPr>
        <w:t xml:space="preserve"> Quality of Prescription Writing - An </w:t>
      </w:r>
      <w:proofErr w:type="spellStart"/>
      <w:r w:rsidRPr="00897354">
        <w:rPr>
          <w:rFonts w:cstheme="minorHAnsi"/>
          <w:lang w:val="en-US"/>
        </w:rPr>
        <w:t>Instituitional</w:t>
      </w:r>
      <w:proofErr w:type="spellEnd"/>
      <w:r w:rsidRPr="00897354">
        <w:rPr>
          <w:rFonts w:cstheme="minorHAnsi"/>
          <w:lang w:val="en-US"/>
        </w:rPr>
        <w:t xml:space="preserve"> Study. </w:t>
      </w:r>
      <w:r w:rsidRPr="0074186C">
        <w:rPr>
          <w:rFonts w:cstheme="minorHAnsi"/>
        </w:rPr>
        <w:t xml:space="preserve">J </w:t>
      </w:r>
      <w:proofErr w:type="spellStart"/>
      <w:r w:rsidRPr="0074186C">
        <w:rPr>
          <w:rFonts w:cstheme="minorHAnsi"/>
        </w:rPr>
        <w:t>Clin</w:t>
      </w:r>
      <w:proofErr w:type="spellEnd"/>
      <w:r w:rsidRPr="0074186C">
        <w:rPr>
          <w:rFonts w:cstheme="minorHAnsi"/>
        </w:rPr>
        <w:t xml:space="preserve"> </w:t>
      </w:r>
      <w:proofErr w:type="spellStart"/>
      <w:r w:rsidRPr="0074186C">
        <w:rPr>
          <w:rFonts w:cstheme="minorHAnsi"/>
        </w:rPr>
        <w:t>Diagn</w:t>
      </w:r>
      <w:proofErr w:type="spellEnd"/>
      <w:r w:rsidRPr="0074186C">
        <w:rPr>
          <w:rFonts w:cstheme="minorHAnsi"/>
        </w:rPr>
        <w:t xml:space="preserve"> Res. 2016;10(3):61–64. </w:t>
      </w:r>
    </w:p>
    <w:p w:rsidR="006C6B7E" w:rsidRPr="00DD77DD" w:rsidRDefault="006C6B7E" w:rsidP="006C6B7E">
      <w:pPr>
        <w:pStyle w:val="Prrafodelista"/>
        <w:rPr>
          <w:rFonts w:ascii="Times New Roman" w:hAnsi="Times New Roman" w:cs="Times New Roman"/>
          <w:sz w:val="24"/>
          <w:szCs w:val="24"/>
        </w:rPr>
      </w:pPr>
    </w:p>
    <w:p w:rsidR="006C6B7E" w:rsidRPr="00DD77DD" w:rsidRDefault="006C6B7E" w:rsidP="006C6B7E">
      <w:pPr>
        <w:pStyle w:val="Prrafodelista"/>
        <w:spacing w:line="276" w:lineRule="auto"/>
        <w:ind w:left="644"/>
        <w:jc w:val="both"/>
        <w:rPr>
          <w:rFonts w:ascii="Times New Roman" w:hAnsi="Times New Roman" w:cs="Times New Roman"/>
          <w:sz w:val="24"/>
          <w:szCs w:val="24"/>
        </w:rPr>
      </w:pPr>
    </w:p>
    <w:p w:rsidR="006C6B7E" w:rsidRDefault="006C6B7E" w:rsidP="006C6B7E">
      <w:pPr>
        <w:pStyle w:val="Prrafodelista"/>
        <w:spacing w:line="276" w:lineRule="auto"/>
        <w:ind w:left="644"/>
        <w:jc w:val="both"/>
        <w:rPr>
          <w:rFonts w:ascii="Times New Roman" w:hAnsi="Times New Roman" w:cs="Times New Roman"/>
          <w:sz w:val="24"/>
          <w:szCs w:val="24"/>
        </w:rPr>
      </w:pPr>
    </w:p>
    <w:p w:rsidR="006C6B7E" w:rsidRDefault="006C6B7E" w:rsidP="006C6B7E">
      <w:pPr>
        <w:pStyle w:val="HTMLconformatoprevio"/>
        <w:shd w:val="clear" w:color="auto" w:fill="FFFFFF"/>
        <w:spacing w:line="360" w:lineRule="auto"/>
        <w:rPr>
          <w:rFonts w:ascii="Times New Roman" w:hAnsi="Times New Roman" w:cs="Times New Roman"/>
          <w:b/>
          <w:color w:val="212121"/>
          <w:sz w:val="24"/>
          <w:szCs w:val="22"/>
        </w:rPr>
      </w:pPr>
    </w:p>
    <w:p w:rsidR="006C6B7E" w:rsidRDefault="006C6B7E"/>
    <w:sectPr w:rsidR="006C6B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5735C"/>
    <w:multiLevelType w:val="hybridMultilevel"/>
    <w:tmpl w:val="5AD0405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59D6B60"/>
    <w:multiLevelType w:val="hybridMultilevel"/>
    <w:tmpl w:val="14F8AC70"/>
    <w:lvl w:ilvl="0" w:tplc="58FA06EE">
      <w:numFmt w:val="decimal"/>
      <w:lvlText w:val="%1"/>
      <w:lvlJc w:val="left"/>
      <w:pPr>
        <w:ind w:left="732" w:hanging="624"/>
      </w:pPr>
      <w:rPr>
        <w:rFonts w:hint="default"/>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7E"/>
    <w:rsid w:val="0028674B"/>
    <w:rsid w:val="006C6B7E"/>
    <w:rsid w:val="007A47F1"/>
    <w:rsid w:val="00831CAD"/>
    <w:rsid w:val="008A3757"/>
    <w:rsid w:val="00C9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B4F4"/>
  <w15:chartTrackingRefBased/>
  <w15:docId w15:val="{8CDECFF2-BB49-43D7-9B00-1A9DBB8F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E74B5" w:themeColor="accent1" w:themeShade="B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6B7E"/>
    <w:rPr>
      <w:rFonts w:ascii="Calibri" w:eastAsia="Calibri" w:hAnsi="Calibri" w:cs="Calibri"/>
      <w:color w:val="auto"/>
      <w:sz w:val="22"/>
      <w:szCs w:val="22"/>
      <w:lang w:val="es-E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6C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basedOn w:val="Fuentedeprrafopredeter"/>
    <w:link w:val="HTMLconformatoprevio"/>
    <w:uiPriority w:val="99"/>
    <w:rsid w:val="006C6B7E"/>
    <w:rPr>
      <w:rFonts w:ascii="Courier New" w:eastAsia="Times New Roman" w:hAnsi="Courier New" w:cs="Courier New"/>
      <w:color w:val="auto"/>
      <w:sz w:val="20"/>
      <w:szCs w:val="20"/>
      <w:lang w:val="es-ES" w:eastAsia="pt-BR"/>
    </w:rPr>
  </w:style>
  <w:style w:type="paragraph" w:styleId="Prrafodelista">
    <w:name w:val="List Paragraph"/>
    <w:basedOn w:val="Normal"/>
    <w:uiPriority w:val="34"/>
    <w:qFormat/>
    <w:rsid w:val="006C6B7E"/>
    <w:pPr>
      <w:ind w:left="720"/>
      <w:contextualSpacing/>
    </w:pPr>
    <w:rPr>
      <w:rFonts w:asciiTheme="minorHAnsi" w:eastAsiaTheme="minorHAnsi" w:hAnsiTheme="minorHAnsi" w:cstheme="minorBidi"/>
      <w:lang w:eastAsia="en-US"/>
    </w:rPr>
  </w:style>
  <w:style w:type="character" w:customStyle="1" w:styleId="ref-journal">
    <w:name w:val="ref-journal"/>
    <w:basedOn w:val="Fuentedeprrafopredeter"/>
    <w:rsid w:val="006C6B7E"/>
  </w:style>
  <w:style w:type="character" w:customStyle="1" w:styleId="ref-vol">
    <w:name w:val="ref-vol"/>
    <w:basedOn w:val="Fuentedeprrafopredeter"/>
    <w:rsid w:val="006C6B7E"/>
  </w:style>
  <w:style w:type="character" w:styleId="Textoennegrita">
    <w:name w:val="Strong"/>
    <w:basedOn w:val="Fuentedeprrafopredeter"/>
    <w:uiPriority w:val="22"/>
    <w:qFormat/>
    <w:rsid w:val="006C6B7E"/>
    <w:rPr>
      <w:b/>
      <w:bCs/>
    </w:rPr>
  </w:style>
  <w:style w:type="character" w:customStyle="1" w:styleId="articletitle">
    <w:name w:val="articletitle"/>
    <w:basedOn w:val="Fuentedeprrafopredeter"/>
    <w:rsid w:val="006C6B7E"/>
  </w:style>
  <w:style w:type="character" w:customStyle="1" w:styleId="vol">
    <w:name w:val="vol"/>
    <w:basedOn w:val="Fuentedeprrafopredeter"/>
    <w:rsid w:val="006C6B7E"/>
  </w:style>
  <w:style w:type="paragraph" w:styleId="Sangradetextonormal">
    <w:name w:val="Body Text Indent"/>
    <w:basedOn w:val="Normal"/>
    <w:link w:val="SangradetextonormalCar"/>
    <w:unhideWhenUsed/>
    <w:rsid w:val="006C6B7E"/>
    <w:pPr>
      <w:spacing w:after="0" w:line="240" w:lineRule="auto"/>
      <w:ind w:left="540"/>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6C6B7E"/>
    <w:rPr>
      <w:rFonts w:ascii="Arial" w:eastAsia="Times New Roman" w:hAnsi="Arial" w:cs="Arial"/>
      <w:color w:val="auto"/>
      <w:lang w:val="es-ES" w:eastAsia="es-ES"/>
    </w:rPr>
  </w:style>
  <w:style w:type="paragraph" w:styleId="Encabezado">
    <w:name w:val="header"/>
    <w:basedOn w:val="Normal"/>
    <w:link w:val="EncabezadoCar"/>
    <w:rsid w:val="006C6B7E"/>
    <w:pPr>
      <w:tabs>
        <w:tab w:val="center" w:pos="4419"/>
        <w:tab w:val="right" w:pos="8838"/>
      </w:tabs>
      <w:spacing w:after="0" w:line="240" w:lineRule="auto"/>
    </w:pPr>
    <w:rPr>
      <w:rFonts w:ascii="Times New Roman" w:eastAsia="Times New Roman" w:hAnsi="Times New Roman" w:cs="Times New Roman"/>
      <w:sz w:val="20"/>
      <w:szCs w:val="20"/>
      <w:lang w:val="pt-BR" w:eastAsia="pt-BR"/>
    </w:rPr>
  </w:style>
  <w:style w:type="character" w:customStyle="1" w:styleId="EncabezadoCar">
    <w:name w:val="Encabezado Car"/>
    <w:basedOn w:val="Fuentedeprrafopredeter"/>
    <w:link w:val="Encabezado"/>
    <w:rsid w:val="006C6B7E"/>
    <w:rPr>
      <w:rFonts w:eastAsia="Times New Roman"/>
      <w:color w:val="auto"/>
      <w:sz w:val="20"/>
      <w:szCs w:val="20"/>
      <w:lang w:val="pt-BR" w:eastAsia="pt-BR"/>
    </w:rPr>
  </w:style>
  <w:style w:type="paragraph" w:styleId="Textoindependiente3">
    <w:name w:val="Body Text 3"/>
    <w:basedOn w:val="Normal"/>
    <w:link w:val="Textoindependiente3Car"/>
    <w:uiPriority w:val="99"/>
    <w:semiHidden/>
    <w:unhideWhenUsed/>
    <w:rsid w:val="006C6B7E"/>
    <w:pPr>
      <w:spacing w:after="120"/>
    </w:pPr>
    <w:rPr>
      <w:rFonts w:ascii="Times New Roman" w:eastAsiaTheme="minorHAnsi" w:hAnsi="Times New Roman" w:cs="Times New Roman"/>
      <w:color w:val="2E74B5" w:themeColor="accent1" w:themeShade="BF"/>
      <w:sz w:val="16"/>
      <w:szCs w:val="16"/>
      <w:lang w:val="es-VE" w:eastAsia="en-US"/>
    </w:rPr>
  </w:style>
  <w:style w:type="character" w:customStyle="1" w:styleId="Textoindependiente3Car">
    <w:name w:val="Texto independiente 3 Car"/>
    <w:basedOn w:val="Fuentedeprrafopredeter"/>
    <w:link w:val="Textoindependiente3"/>
    <w:uiPriority w:val="99"/>
    <w:semiHidden/>
    <w:rsid w:val="006C6B7E"/>
    <w:rPr>
      <w:sz w:val="16"/>
      <w:szCs w:val="16"/>
      <w:lang w:val="es-VE"/>
    </w:rPr>
  </w:style>
  <w:style w:type="character" w:styleId="Hipervnculo">
    <w:name w:val="Hyperlink"/>
    <w:basedOn w:val="Fuentedeprrafopredeter"/>
    <w:uiPriority w:val="99"/>
    <w:unhideWhenUsed/>
    <w:rsid w:val="007A4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3583</Words>
  <Characters>20427</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carolmen14@gmail.com</dc:creator>
  <cp:keywords/>
  <dc:description/>
  <cp:lastModifiedBy>carolmen14@gmail.com</cp:lastModifiedBy>
  <cp:revision>4</cp:revision>
  <dcterms:created xsi:type="dcterms:W3CDTF">2019-12-10T02:10:00Z</dcterms:created>
  <dcterms:modified xsi:type="dcterms:W3CDTF">2019-12-11T01:37:00Z</dcterms:modified>
</cp:coreProperties>
</file>